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135FD">
      <w:pPr>
        <w:spacing w:line="240" w:lineRule="auto"/>
        <w:rPr>
          <w:rFonts w:ascii="仿宋_GB2312" w:hAnsi="仿宋_GB2312" w:eastAsia="仿宋_GB2312" w:cs="仿宋_GB2312"/>
          <w:color w:val="000000" w:themeColor="text1"/>
          <w:sz w:val="36"/>
          <w:szCs w:val="36"/>
          <w14:textFill>
            <w14:solidFill>
              <w14:schemeClr w14:val="tx1"/>
            </w14:solidFill>
          </w14:textFill>
        </w:rPr>
      </w:pPr>
    </w:p>
    <w:p w14:paraId="3633E716">
      <w:pPr>
        <w:tabs>
          <w:tab w:val="left" w:pos="5521"/>
        </w:tabs>
        <w:spacing w:line="240" w:lineRule="auto"/>
        <w:rPr>
          <w:rFonts w:hint="eastAsia" w:ascii="仿宋_GB2312" w:hAnsi="仿宋_GB2312" w:eastAsia="仿宋_GB2312" w:cs="仿宋_GB2312"/>
          <w:color w:val="000000" w:themeColor="text1"/>
          <w:sz w:val="36"/>
          <w:szCs w:val="36"/>
          <w:lang w:eastAsia="zh-CN"/>
          <w14:textFill>
            <w14:solidFill>
              <w14:schemeClr w14:val="tx1"/>
            </w14:solidFill>
          </w14:textFill>
        </w:rPr>
      </w:pPr>
      <w:r>
        <w:rPr>
          <w:rFonts w:hint="eastAsia" w:ascii="仿宋_GB2312" w:hAnsi="仿宋_GB2312" w:eastAsia="仿宋_GB2312" w:cs="仿宋_GB2312"/>
          <w:color w:val="000000" w:themeColor="text1"/>
          <w:sz w:val="36"/>
          <w:szCs w:val="36"/>
          <w:lang w:eastAsia="zh-CN"/>
          <w14:textFill>
            <w14:solidFill>
              <w14:schemeClr w14:val="tx1"/>
            </w14:solidFill>
          </w14:textFill>
        </w:rPr>
        <w:tab/>
      </w:r>
    </w:p>
    <w:p w14:paraId="369F7529">
      <w:pPr>
        <w:spacing w:line="240" w:lineRule="auto"/>
        <w:rPr>
          <w:rFonts w:ascii="仿宋_GB2312" w:hAnsi="仿宋_GB2312" w:eastAsia="仿宋_GB2312" w:cs="仿宋_GB2312"/>
          <w:color w:val="000000" w:themeColor="text1"/>
          <w:sz w:val="36"/>
          <w:szCs w:val="36"/>
          <w14:textFill>
            <w14:solidFill>
              <w14:schemeClr w14:val="tx1"/>
            </w14:solidFill>
          </w14:textFill>
        </w:rPr>
      </w:pPr>
      <w:r>
        <w:rPr>
          <w:rFonts w:hint="eastAsia" w:ascii="仿宋_GB2312" w:hAnsi="仿宋_GB2312" w:eastAsia="仿宋_GB2312" w:cs="仿宋_GB2312"/>
          <w:color w:val="000000" w:themeColor="text1"/>
          <w:sz w:val="36"/>
          <w:szCs w:val="36"/>
          <w:lang w:eastAsia="zh-CN"/>
          <w14:textFill>
            <w14:solidFill>
              <w14:schemeClr w14:val="tx1"/>
            </w14:solidFill>
          </w14:textFill>
        </w:rPr>
        <w:drawing>
          <wp:inline distT="0" distB="0" distL="114300" distR="114300">
            <wp:extent cx="5608955" cy="7924800"/>
            <wp:effectExtent l="0" t="0" r="10795" b="0"/>
            <wp:docPr id="65" name="图片 65" descr="scan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scan2232"/>
                    <pic:cNvPicPr>
                      <a:picLocks noChangeAspect="1"/>
                    </pic:cNvPicPr>
                  </pic:nvPicPr>
                  <pic:blipFill>
                    <a:blip r:embed="rId12"/>
                    <a:stretch>
                      <a:fillRect/>
                    </a:stretch>
                  </pic:blipFill>
                  <pic:spPr>
                    <a:xfrm>
                      <a:off x="0" y="0"/>
                      <a:ext cx="5608955" cy="7924800"/>
                    </a:xfrm>
                    <a:prstGeom prst="rect">
                      <a:avLst/>
                    </a:prstGeom>
                  </pic:spPr>
                </pic:pic>
              </a:graphicData>
            </a:graphic>
          </wp:inline>
        </w:drawing>
      </w:r>
    </w:p>
    <w:p w14:paraId="3FA70B47">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sectPr>
          <w:headerReference r:id="rId5" w:type="default"/>
          <w:footerReference r:id="rId6" w:type="default"/>
          <w:footerReference r:id="rId7" w:type="even"/>
          <w:pgSz w:w="11906" w:h="16838"/>
          <w:pgMar w:top="1701" w:right="1531" w:bottom="1701" w:left="1531" w:header="851" w:footer="1077" w:gutter="0"/>
          <w:pgNumType w:start="3"/>
          <w:cols w:space="720" w:num="1"/>
          <w:docGrid w:linePitch="312" w:charSpace="0"/>
        </w:sectPr>
      </w:pPr>
    </w:p>
    <w:p w14:paraId="5C717DCE">
      <w:pPr>
        <w:spacing w:line="240" w:lineRule="auto"/>
        <w:jc w:val="center"/>
        <w:rPr>
          <w:rFonts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目 录</w:t>
      </w:r>
    </w:p>
    <w:p w14:paraId="716534A6">
      <w:pPr>
        <w:pStyle w:val="41"/>
        <w:tabs>
          <w:tab w:val="right" w:leader="dot" w:pos="8844"/>
        </w:tabs>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TOC \o "1-2" \h \u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instrText xml:space="preserve"> HYPERLINK \l _Toc20829 </w:instrText>
      </w:r>
      <w:r>
        <w:fldChar w:fldCharType="separate"/>
      </w:r>
      <w:r>
        <w:rPr>
          <w:rFonts w:hint="eastAsia" w:ascii="黑体" w:hAnsi="黑体" w:cs="黑体"/>
        </w:rPr>
        <w:t>一、</w:t>
      </w:r>
      <w:r>
        <w:rPr>
          <w:rFonts w:cs="Times New Roman"/>
        </w:rPr>
        <w:t>建设项目基本情况</w:t>
      </w:r>
      <w:r>
        <w:tab/>
      </w:r>
      <w:r>
        <w:fldChar w:fldCharType="begin"/>
      </w:r>
      <w:r>
        <w:instrText xml:space="preserve"> PAGEREF _Toc20829 \h </w:instrText>
      </w:r>
      <w:r>
        <w:fldChar w:fldCharType="separate"/>
      </w:r>
      <w:r>
        <w:t>- 1 -</w:t>
      </w:r>
      <w:r>
        <w:fldChar w:fldCharType="end"/>
      </w:r>
      <w:r>
        <w:rPr>
          <w:color w:val="000000" w:themeColor="text1"/>
          <w14:textFill>
            <w14:solidFill>
              <w14:schemeClr w14:val="tx1"/>
            </w14:solidFill>
          </w14:textFill>
        </w:rPr>
        <w:fldChar w:fldCharType="end"/>
      </w:r>
    </w:p>
    <w:p w14:paraId="08723E2E">
      <w:pPr>
        <w:pStyle w:val="41"/>
        <w:tabs>
          <w:tab w:val="right" w:leader="dot" w:pos="8844"/>
        </w:tabs>
      </w:pPr>
      <w:r>
        <w:rPr>
          <w:color w:val="000000" w:themeColor="text1"/>
          <w14:textFill>
            <w14:solidFill>
              <w14:schemeClr w14:val="tx1"/>
            </w14:solidFill>
          </w14:textFill>
        </w:rPr>
        <w:fldChar w:fldCharType="begin"/>
      </w:r>
      <w:r>
        <w:instrText xml:space="preserve"> HYPERLINK \l _Toc12356 </w:instrText>
      </w:r>
      <w:r>
        <w:fldChar w:fldCharType="separate"/>
      </w:r>
      <w:r>
        <w:rPr>
          <w:rFonts w:hint="eastAsia" w:cs="Times New Roman"/>
          <w:bCs/>
        </w:rPr>
        <w:t>二、</w:t>
      </w:r>
      <w:r>
        <w:rPr>
          <w:rFonts w:cs="Times New Roman"/>
          <w:bCs/>
        </w:rPr>
        <w:t>建设项目工程分析</w:t>
      </w:r>
      <w:r>
        <w:tab/>
      </w:r>
      <w:r>
        <w:fldChar w:fldCharType="begin"/>
      </w:r>
      <w:r>
        <w:instrText xml:space="preserve"> PAGEREF _Toc12356 \h </w:instrText>
      </w:r>
      <w:r>
        <w:fldChar w:fldCharType="separate"/>
      </w:r>
      <w:r>
        <w:t>- 27 -</w:t>
      </w:r>
      <w:r>
        <w:fldChar w:fldCharType="end"/>
      </w:r>
      <w:r>
        <w:rPr>
          <w:color w:val="000000" w:themeColor="text1"/>
          <w14:textFill>
            <w14:solidFill>
              <w14:schemeClr w14:val="tx1"/>
            </w14:solidFill>
          </w14:textFill>
        </w:rPr>
        <w:fldChar w:fldCharType="end"/>
      </w:r>
    </w:p>
    <w:p w14:paraId="5C9C7A4A">
      <w:pPr>
        <w:pStyle w:val="41"/>
        <w:tabs>
          <w:tab w:val="right" w:leader="dot" w:pos="8844"/>
        </w:tabs>
      </w:pPr>
      <w:r>
        <w:rPr>
          <w:color w:val="000000" w:themeColor="text1"/>
          <w14:textFill>
            <w14:solidFill>
              <w14:schemeClr w14:val="tx1"/>
            </w14:solidFill>
          </w14:textFill>
        </w:rPr>
        <w:fldChar w:fldCharType="begin"/>
      </w:r>
      <w:r>
        <w:instrText xml:space="preserve"> HYPERLINK \l _Toc30376 </w:instrText>
      </w:r>
      <w:r>
        <w:fldChar w:fldCharType="separate"/>
      </w:r>
      <w:r>
        <w:rPr>
          <w:rFonts w:hint="eastAsia" w:ascii="黑体" w:hAnsi="黑体" w:cs="黑体"/>
          <w:bCs/>
        </w:rPr>
        <w:t>三、</w:t>
      </w:r>
      <w:r>
        <w:rPr>
          <w:rFonts w:cs="Times New Roman"/>
          <w:bCs/>
        </w:rPr>
        <w:t>区域环境质量现状、环境保护目标及评价标准</w:t>
      </w:r>
      <w:r>
        <w:tab/>
      </w:r>
      <w:r>
        <w:fldChar w:fldCharType="begin"/>
      </w:r>
      <w:r>
        <w:instrText xml:space="preserve"> PAGEREF _Toc30376 \h </w:instrText>
      </w:r>
      <w:r>
        <w:fldChar w:fldCharType="separate"/>
      </w:r>
      <w:r>
        <w:t>- 60 -</w:t>
      </w:r>
      <w:r>
        <w:fldChar w:fldCharType="end"/>
      </w:r>
      <w:r>
        <w:rPr>
          <w:color w:val="000000" w:themeColor="text1"/>
          <w14:textFill>
            <w14:solidFill>
              <w14:schemeClr w14:val="tx1"/>
            </w14:solidFill>
          </w14:textFill>
        </w:rPr>
        <w:fldChar w:fldCharType="end"/>
      </w:r>
    </w:p>
    <w:p w14:paraId="294221E1">
      <w:pPr>
        <w:pStyle w:val="41"/>
        <w:tabs>
          <w:tab w:val="right" w:leader="dot" w:pos="8844"/>
        </w:tabs>
      </w:pPr>
      <w:r>
        <w:rPr>
          <w:color w:val="000000" w:themeColor="text1"/>
          <w14:textFill>
            <w14:solidFill>
              <w14:schemeClr w14:val="tx1"/>
            </w14:solidFill>
          </w14:textFill>
        </w:rPr>
        <w:fldChar w:fldCharType="begin"/>
      </w:r>
      <w:r>
        <w:instrText xml:space="preserve"> HYPERLINK \l _Toc2526 </w:instrText>
      </w:r>
      <w:r>
        <w:fldChar w:fldCharType="separate"/>
      </w:r>
      <w:r>
        <w:rPr>
          <w:rFonts w:hint="eastAsia" w:cs="Times New Roman"/>
          <w:bCs/>
        </w:rPr>
        <w:t>四、</w:t>
      </w:r>
      <w:r>
        <w:rPr>
          <w:rFonts w:cs="Times New Roman"/>
          <w:bCs/>
        </w:rPr>
        <w:t>主要环境影响和保护措施</w:t>
      </w:r>
      <w:r>
        <w:tab/>
      </w:r>
      <w:r>
        <w:fldChar w:fldCharType="begin"/>
      </w:r>
      <w:r>
        <w:instrText xml:space="preserve"> PAGEREF _Toc2526 \h </w:instrText>
      </w:r>
      <w:r>
        <w:fldChar w:fldCharType="separate"/>
      </w:r>
      <w:r>
        <w:t>- 67 -</w:t>
      </w:r>
      <w:r>
        <w:fldChar w:fldCharType="end"/>
      </w:r>
      <w:r>
        <w:rPr>
          <w:color w:val="000000" w:themeColor="text1"/>
          <w14:textFill>
            <w14:solidFill>
              <w14:schemeClr w14:val="tx1"/>
            </w14:solidFill>
          </w14:textFill>
        </w:rPr>
        <w:fldChar w:fldCharType="end"/>
      </w:r>
    </w:p>
    <w:p w14:paraId="1127277E">
      <w:pPr>
        <w:pStyle w:val="41"/>
        <w:tabs>
          <w:tab w:val="right" w:leader="dot" w:pos="8844"/>
        </w:tabs>
      </w:pPr>
      <w:r>
        <w:rPr>
          <w:color w:val="000000" w:themeColor="text1"/>
          <w14:textFill>
            <w14:solidFill>
              <w14:schemeClr w14:val="tx1"/>
            </w14:solidFill>
          </w14:textFill>
        </w:rPr>
        <w:fldChar w:fldCharType="begin"/>
      </w:r>
      <w:r>
        <w:instrText xml:space="preserve"> HYPERLINK \l _Toc1296 </w:instrText>
      </w:r>
      <w:r>
        <w:fldChar w:fldCharType="separate"/>
      </w:r>
      <w:r>
        <w:rPr>
          <w:rFonts w:hint="eastAsia" w:cs="Times New Roman"/>
          <w:bCs/>
        </w:rPr>
        <w:t>五、</w:t>
      </w:r>
      <w:r>
        <w:rPr>
          <w:rFonts w:cs="Times New Roman"/>
          <w:bCs/>
        </w:rPr>
        <w:t>环境保护措施监督检查清单</w:t>
      </w:r>
      <w:r>
        <w:tab/>
      </w:r>
      <w:r>
        <w:fldChar w:fldCharType="begin"/>
      </w:r>
      <w:r>
        <w:instrText xml:space="preserve"> PAGEREF _Toc1296 \h </w:instrText>
      </w:r>
      <w:r>
        <w:fldChar w:fldCharType="separate"/>
      </w:r>
      <w:r>
        <w:t>- 122 -</w:t>
      </w:r>
      <w:r>
        <w:fldChar w:fldCharType="end"/>
      </w:r>
      <w:r>
        <w:rPr>
          <w:color w:val="000000" w:themeColor="text1"/>
          <w14:textFill>
            <w14:solidFill>
              <w14:schemeClr w14:val="tx1"/>
            </w14:solidFill>
          </w14:textFill>
        </w:rPr>
        <w:fldChar w:fldCharType="end"/>
      </w:r>
    </w:p>
    <w:p w14:paraId="4688B609">
      <w:pPr>
        <w:pStyle w:val="41"/>
        <w:tabs>
          <w:tab w:val="right" w:leader="dot" w:pos="8844"/>
        </w:tabs>
      </w:pPr>
      <w:r>
        <w:rPr>
          <w:color w:val="000000" w:themeColor="text1"/>
          <w14:textFill>
            <w14:solidFill>
              <w14:schemeClr w14:val="tx1"/>
            </w14:solidFill>
          </w14:textFill>
        </w:rPr>
        <w:fldChar w:fldCharType="begin"/>
      </w:r>
      <w:r>
        <w:instrText xml:space="preserve"> HYPERLINK \l _Toc27033 </w:instrText>
      </w:r>
      <w:r>
        <w:fldChar w:fldCharType="separate"/>
      </w:r>
      <w:r>
        <w:rPr>
          <w:rFonts w:hint="eastAsia" w:cs="Times New Roman"/>
        </w:rPr>
        <w:t>六、</w:t>
      </w:r>
      <w:r>
        <w:rPr>
          <w:rFonts w:cs="Times New Roman"/>
        </w:rPr>
        <w:t xml:space="preserve"> 结论</w:t>
      </w:r>
      <w:r>
        <w:tab/>
      </w:r>
      <w:r>
        <w:fldChar w:fldCharType="begin"/>
      </w:r>
      <w:r>
        <w:instrText xml:space="preserve"> PAGEREF _Toc27033 \h </w:instrText>
      </w:r>
      <w:r>
        <w:fldChar w:fldCharType="separate"/>
      </w:r>
      <w:r>
        <w:t>- 127 -</w:t>
      </w:r>
      <w:r>
        <w:fldChar w:fldCharType="end"/>
      </w:r>
      <w:r>
        <w:rPr>
          <w:color w:val="000000" w:themeColor="text1"/>
          <w14:textFill>
            <w14:solidFill>
              <w14:schemeClr w14:val="tx1"/>
            </w14:solidFill>
          </w14:textFill>
        </w:rPr>
        <w:fldChar w:fldCharType="end"/>
      </w:r>
    </w:p>
    <w:p w14:paraId="7E2BA727">
      <w:pPr>
        <w:pStyle w:val="41"/>
        <w:tabs>
          <w:tab w:val="right" w:leader="dot" w:pos="8844"/>
        </w:tabs>
      </w:pPr>
      <w:r>
        <w:rPr>
          <w:color w:val="000000" w:themeColor="text1"/>
          <w14:textFill>
            <w14:solidFill>
              <w14:schemeClr w14:val="tx1"/>
            </w14:solidFill>
          </w14:textFill>
        </w:rPr>
        <w:fldChar w:fldCharType="begin"/>
      </w:r>
      <w:r>
        <w:instrText xml:space="preserve"> HYPERLINK \l _Toc7377 </w:instrText>
      </w:r>
      <w:r>
        <w:fldChar w:fldCharType="separate"/>
      </w:r>
      <w:r>
        <w:rPr>
          <w:rFonts w:ascii="Times New Roman"/>
          <w:szCs w:val="24"/>
        </w:rPr>
        <w:t>附图1项目地理位置图</w:t>
      </w:r>
      <w:r>
        <w:tab/>
      </w:r>
      <w:r>
        <w:fldChar w:fldCharType="begin"/>
      </w:r>
      <w:r>
        <w:instrText xml:space="preserve"> PAGEREF _Toc7377 \h </w:instrText>
      </w:r>
      <w:r>
        <w:fldChar w:fldCharType="separate"/>
      </w:r>
      <w:r>
        <w:t>- 128 -</w:t>
      </w:r>
      <w:r>
        <w:fldChar w:fldCharType="end"/>
      </w:r>
      <w:r>
        <w:rPr>
          <w:color w:val="000000" w:themeColor="text1"/>
          <w14:textFill>
            <w14:solidFill>
              <w14:schemeClr w14:val="tx1"/>
            </w14:solidFill>
          </w14:textFill>
        </w:rPr>
        <w:fldChar w:fldCharType="end"/>
      </w:r>
    </w:p>
    <w:p w14:paraId="755F7ABA">
      <w:pPr>
        <w:pStyle w:val="41"/>
        <w:tabs>
          <w:tab w:val="right" w:leader="dot" w:pos="8844"/>
        </w:tabs>
      </w:pPr>
      <w:r>
        <w:rPr>
          <w:color w:val="000000" w:themeColor="text1"/>
          <w14:textFill>
            <w14:solidFill>
              <w14:schemeClr w14:val="tx1"/>
            </w14:solidFill>
          </w14:textFill>
        </w:rPr>
        <w:fldChar w:fldCharType="begin"/>
      </w:r>
      <w:r>
        <w:instrText xml:space="preserve"> HYPERLINK \l _Toc30497 </w:instrText>
      </w:r>
      <w:r>
        <w:fldChar w:fldCharType="separate"/>
      </w:r>
      <w:r>
        <w:rPr>
          <w:rFonts w:ascii="Times New Roman"/>
          <w:szCs w:val="24"/>
        </w:rPr>
        <w:t>附图2 项目四至情况</w:t>
      </w:r>
      <w:r>
        <w:tab/>
      </w:r>
      <w:r>
        <w:fldChar w:fldCharType="begin"/>
      </w:r>
      <w:r>
        <w:instrText xml:space="preserve"> PAGEREF _Toc30497 \h </w:instrText>
      </w:r>
      <w:r>
        <w:fldChar w:fldCharType="separate"/>
      </w:r>
      <w:r>
        <w:t>- 129 -</w:t>
      </w:r>
      <w:r>
        <w:fldChar w:fldCharType="end"/>
      </w:r>
      <w:r>
        <w:rPr>
          <w:color w:val="000000" w:themeColor="text1"/>
          <w14:textFill>
            <w14:solidFill>
              <w14:schemeClr w14:val="tx1"/>
            </w14:solidFill>
          </w14:textFill>
        </w:rPr>
        <w:fldChar w:fldCharType="end"/>
      </w:r>
    </w:p>
    <w:p w14:paraId="604A49FA">
      <w:pPr>
        <w:pStyle w:val="41"/>
        <w:tabs>
          <w:tab w:val="right" w:leader="dot" w:pos="8844"/>
        </w:tabs>
      </w:pPr>
      <w:r>
        <w:rPr>
          <w:color w:val="000000" w:themeColor="text1"/>
          <w14:textFill>
            <w14:solidFill>
              <w14:schemeClr w14:val="tx1"/>
            </w14:solidFill>
          </w14:textFill>
        </w:rPr>
        <w:fldChar w:fldCharType="begin"/>
      </w:r>
      <w:r>
        <w:instrText xml:space="preserve"> HYPERLINK \l _Toc2299 </w:instrText>
      </w:r>
      <w:r>
        <w:fldChar w:fldCharType="separate"/>
      </w:r>
      <w:r>
        <w:rPr>
          <w:rFonts w:hint="eastAsia" w:ascii="Times New Roman"/>
          <w:bCs/>
          <w:lang w:val="en-US" w:eastAsia="zh-CN"/>
        </w:rPr>
        <w:t>附图3-1  厂区平面布置图</w:t>
      </w:r>
      <w:r>
        <w:tab/>
      </w:r>
      <w:r>
        <w:fldChar w:fldCharType="begin"/>
      </w:r>
      <w:r>
        <w:instrText xml:space="preserve"> PAGEREF _Toc2299 \h </w:instrText>
      </w:r>
      <w:r>
        <w:fldChar w:fldCharType="separate"/>
      </w:r>
      <w:r>
        <w:t>- 130 -</w:t>
      </w:r>
      <w:r>
        <w:fldChar w:fldCharType="end"/>
      </w:r>
      <w:r>
        <w:rPr>
          <w:color w:val="000000" w:themeColor="text1"/>
          <w14:textFill>
            <w14:solidFill>
              <w14:schemeClr w14:val="tx1"/>
            </w14:solidFill>
          </w14:textFill>
        </w:rPr>
        <w:fldChar w:fldCharType="end"/>
      </w:r>
    </w:p>
    <w:p w14:paraId="43983899">
      <w:pPr>
        <w:pStyle w:val="41"/>
        <w:tabs>
          <w:tab w:val="right" w:leader="dot" w:pos="8844"/>
        </w:tabs>
      </w:pPr>
      <w:r>
        <w:rPr>
          <w:color w:val="000000" w:themeColor="text1"/>
          <w14:textFill>
            <w14:solidFill>
              <w14:schemeClr w14:val="tx1"/>
            </w14:solidFill>
          </w14:textFill>
        </w:rPr>
        <w:fldChar w:fldCharType="begin"/>
      </w:r>
      <w:r>
        <w:instrText xml:space="preserve"> HYPERLINK \l _Toc15103 </w:instrText>
      </w:r>
      <w:r>
        <w:fldChar w:fldCharType="separate"/>
      </w:r>
      <w:r>
        <w:rPr>
          <w:rFonts w:hint="eastAsia" w:ascii="Times New Roman"/>
          <w:bCs/>
        </w:rPr>
        <w:t>附图3</w:t>
      </w:r>
      <w:r>
        <w:rPr>
          <w:rFonts w:ascii="Times New Roman" w:cs="Times New Roman"/>
          <w:bCs/>
        </w:rPr>
        <w:t>-2</w:t>
      </w:r>
      <w:r>
        <w:rPr>
          <w:rFonts w:hint="eastAsia" w:ascii="Times New Roman"/>
          <w:bCs/>
        </w:rPr>
        <w:t xml:space="preserve"> 厂区雨污管网图</w:t>
      </w:r>
      <w:r>
        <w:tab/>
      </w:r>
      <w:r>
        <w:fldChar w:fldCharType="begin"/>
      </w:r>
      <w:r>
        <w:instrText xml:space="preserve"> PAGEREF _Toc15103 \h </w:instrText>
      </w:r>
      <w:r>
        <w:fldChar w:fldCharType="separate"/>
      </w:r>
      <w:r>
        <w:t>- 131 -</w:t>
      </w:r>
      <w:r>
        <w:fldChar w:fldCharType="end"/>
      </w:r>
      <w:r>
        <w:rPr>
          <w:color w:val="000000" w:themeColor="text1"/>
          <w14:textFill>
            <w14:solidFill>
              <w14:schemeClr w14:val="tx1"/>
            </w14:solidFill>
          </w14:textFill>
        </w:rPr>
        <w:fldChar w:fldCharType="end"/>
      </w:r>
    </w:p>
    <w:p w14:paraId="317034F7">
      <w:pPr>
        <w:pStyle w:val="41"/>
        <w:tabs>
          <w:tab w:val="right" w:leader="dot" w:pos="8844"/>
        </w:tabs>
      </w:pPr>
      <w:r>
        <w:rPr>
          <w:color w:val="000000" w:themeColor="text1"/>
          <w14:textFill>
            <w14:solidFill>
              <w14:schemeClr w14:val="tx1"/>
            </w14:solidFill>
          </w14:textFill>
        </w:rPr>
        <w:fldChar w:fldCharType="begin"/>
      </w:r>
      <w:r>
        <w:instrText xml:space="preserve"> HYPERLINK \l _Toc20587 </w:instrText>
      </w:r>
      <w:r>
        <w:fldChar w:fldCharType="separate"/>
      </w:r>
      <w:r>
        <w:rPr>
          <w:rFonts w:hint="eastAsia" w:ascii="Times New Roman"/>
          <w:szCs w:val="24"/>
        </w:rPr>
        <w:t>附图4 环境保护目标分布图</w:t>
      </w:r>
      <w:r>
        <w:tab/>
      </w:r>
      <w:r>
        <w:fldChar w:fldCharType="begin"/>
      </w:r>
      <w:r>
        <w:instrText xml:space="preserve"> PAGEREF _Toc20587 \h </w:instrText>
      </w:r>
      <w:r>
        <w:fldChar w:fldCharType="separate"/>
      </w:r>
      <w:r>
        <w:t>- 132 -</w:t>
      </w:r>
      <w:r>
        <w:fldChar w:fldCharType="end"/>
      </w:r>
      <w:r>
        <w:rPr>
          <w:color w:val="000000" w:themeColor="text1"/>
          <w14:textFill>
            <w14:solidFill>
              <w14:schemeClr w14:val="tx1"/>
            </w14:solidFill>
          </w14:textFill>
        </w:rPr>
        <w:fldChar w:fldCharType="end"/>
      </w:r>
    </w:p>
    <w:p w14:paraId="3350E340">
      <w:pPr>
        <w:pStyle w:val="41"/>
        <w:tabs>
          <w:tab w:val="right" w:leader="dot" w:pos="8844"/>
        </w:tabs>
      </w:pPr>
      <w:r>
        <w:rPr>
          <w:color w:val="000000" w:themeColor="text1"/>
          <w14:textFill>
            <w14:solidFill>
              <w14:schemeClr w14:val="tx1"/>
            </w14:solidFill>
          </w14:textFill>
        </w:rPr>
        <w:fldChar w:fldCharType="begin"/>
      </w:r>
      <w:r>
        <w:instrText xml:space="preserve"> HYPERLINK \l _Toc10032 </w:instrText>
      </w:r>
      <w:r>
        <w:fldChar w:fldCharType="separate"/>
      </w:r>
      <w:r>
        <w:rPr>
          <w:bCs/>
          <w:szCs w:val="22"/>
        </w:rPr>
        <w:t>附图</w:t>
      </w:r>
      <w:r>
        <w:rPr>
          <w:rFonts w:hint="eastAsia"/>
          <w:bCs/>
          <w:szCs w:val="22"/>
        </w:rPr>
        <w:t>5</w:t>
      </w:r>
      <w:r>
        <w:rPr>
          <w:bCs/>
          <w:szCs w:val="22"/>
        </w:rPr>
        <w:t xml:space="preserve"> </w:t>
      </w:r>
      <w:r>
        <w:rPr>
          <w:rFonts w:hint="eastAsia"/>
          <w:bCs/>
          <w:szCs w:val="22"/>
        </w:rPr>
        <w:t>建设项目土地利用规划图</w:t>
      </w:r>
      <w:r>
        <w:tab/>
      </w:r>
      <w:r>
        <w:fldChar w:fldCharType="begin"/>
      </w:r>
      <w:r>
        <w:instrText xml:space="preserve"> PAGEREF _Toc10032 \h </w:instrText>
      </w:r>
      <w:r>
        <w:fldChar w:fldCharType="separate"/>
      </w:r>
      <w:r>
        <w:t>- 133 -</w:t>
      </w:r>
      <w:r>
        <w:fldChar w:fldCharType="end"/>
      </w:r>
      <w:r>
        <w:rPr>
          <w:color w:val="000000" w:themeColor="text1"/>
          <w14:textFill>
            <w14:solidFill>
              <w14:schemeClr w14:val="tx1"/>
            </w14:solidFill>
          </w14:textFill>
        </w:rPr>
        <w:fldChar w:fldCharType="end"/>
      </w:r>
    </w:p>
    <w:p w14:paraId="7C27358A">
      <w:pPr>
        <w:pStyle w:val="41"/>
        <w:tabs>
          <w:tab w:val="right" w:leader="dot" w:pos="8844"/>
        </w:tabs>
      </w:pPr>
      <w:r>
        <w:rPr>
          <w:color w:val="000000" w:themeColor="text1"/>
          <w14:textFill>
            <w14:solidFill>
              <w14:schemeClr w14:val="tx1"/>
            </w14:solidFill>
          </w14:textFill>
        </w:rPr>
        <w:fldChar w:fldCharType="begin"/>
      </w:r>
      <w:r>
        <w:instrText xml:space="preserve"> HYPERLINK \l _Toc20853 </w:instrText>
      </w:r>
      <w:r>
        <w:fldChar w:fldCharType="separate"/>
      </w:r>
      <w:r>
        <w:rPr>
          <w:bCs/>
          <w:szCs w:val="22"/>
        </w:rPr>
        <w:t>附图</w:t>
      </w:r>
      <w:r>
        <w:rPr>
          <w:rFonts w:hint="eastAsia"/>
          <w:bCs/>
          <w:szCs w:val="22"/>
        </w:rPr>
        <w:t>6</w:t>
      </w:r>
      <w:r>
        <w:rPr>
          <w:bCs/>
          <w:szCs w:val="22"/>
        </w:rPr>
        <w:t xml:space="preserve"> </w:t>
      </w:r>
      <w:r>
        <w:rPr>
          <w:rFonts w:hint="eastAsia"/>
          <w:bCs/>
          <w:szCs w:val="22"/>
        </w:rPr>
        <w:t>大气环境功能区划图</w:t>
      </w:r>
      <w:r>
        <w:tab/>
      </w:r>
      <w:r>
        <w:fldChar w:fldCharType="begin"/>
      </w:r>
      <w:r>
        <w:instrText xml:space="preserve"> PAGEREF _Toc20853 \h </w:instrText>
      </w:r>
      <w:r>
        <w:fldChar w:fldCharType="separate"/>
      </w:r>
      <w:r>
        <w:t>- 134 -</w:t>
      </w:r>
      <w:r>
        <w:fldChar w:fldCharType="end"/>
      </w:r>
      <w:r>
        <w:rPr>
          <w:color w:val="000000" w:themeColor="text1"/>
          <w14:textFill>
            <w14:solidFill>
              <w14:schemeClr w14:val="tx1"/>
            </w14:solidFill>
          </w14:textFill>
        </w:rPr>
        <w:fldChar w:fldCharType="end"/>
      </w:r>
    </w:p>
    <w:p w14:paraId="54A19539">
      <w:pPr>
        <w:pStyle w:val="41"/>
        <w:tabs>
          <w:tab w:val="right" w:leader="dot" w:pos="8844"/>
        </w:tabs>
      </w:pPr>
      <w:r>
        <w:rPr>
          <w:color w:val="000000" w:themeColor="text1"/>
          <w14:textFill>
            <w14:solidFill>
              <w14:schemeClr w14:val="tx1"/>
            </w14:solidFill>
          </w14:textFill>
        </w:rPr>
        <w:fldChar w:fldCharType="begin"/>
      </w:r>
      <w:r>
        <w:instrText xml:space="preserve"> HYPERLINK \l _Toc11225 </w:instrText>
      </w:r>
      <w:r>
        <w:fldChar w:fldCharType="separate"/>
      </w:r>
      <w:r>
        <w:rPr>
          <w:bCs/>
          <w:szCs w:val="22"/>
        </w:rPr>
        <w:t>附图7 水环境功能区划图</w:t>
      </w:r>
      <w:r>
        <w:tab/>
      </w:r>
      <w:r>
        <w:fldChar w:fldCharType="begin"/>
      </w:r>
      <w:r>
        <w:instrText xml:space="preserve"> PAGEREF _Toc11225 \h </w:instrText>
      </w:r>
      <w:r>
        <w:fldChar w:fldCharType="separate"/>
      </w:r>
      <w:r>
        <w:t>- 135 -</w:t>
      </w:r>
      <w:r>
        <w:fldChar w:fldCharType="end"/>
      </w:r>
      <w:r>
        <w:rPr>
          <w:color w:val="000000" w:themeColor="text1"/>
          <w14:textFill>
            <w14:solidFill>
              <w14:schemeClr w14:val="tx1"/>
            </w14:solidFill>
          </w14:textFill>
        </w:rPr>
        <w:fldChar w:fldCharType="end"/>
      </w:r>
    </w:p>
    <w:p w14:paraId="4D8CDE8F">
      <w:pPr>
        <w:pStyle w:val="41"/>
        <w:tabs>
          <w:tab w:val="right" w:leader="dot" w:pos="8844"/>
        </w:tabs>
      </w:pPr>
      <w:r>
        <w:rPr>
          <w:color w:val="000000" w:themeColor="text1"/>
          <w14:textFill>
            <w14:solidFill>
              <w14:schemeClr w14:val="tx1"/>
            </w14:solidFill>
          </w14:textFill>
        </w:rPr>
        <w:fldChar w:fldCharType="begin"/>
      </w:r>
      <w:r>
        <w:instrText xml:space="preserve"> HYPERLINK \l _Toc8772 </w:instrText>
      </w:r>
      <w:r>
        <w:fldChar w:fldCharType="separate"/>
      </w:r>
      <w:r>
        <w:rPr>
          <w:rFonts w:ascii="Times New Roman" w:hAnsi="Times New Roman"/>
          <w:bCs/>
          <w:szCs w:val="22"/>
        </w:rPr>
        <w:t>附图8 生态</w:t>
      </w:r>
      <w:r>
        <w:rPr>
          <w:rFonts w:hint="eastAsia" w:ascii="Times New Roman" w:hAnsi="Times New Roman"/>
          <w:bCs/>
          <w:szCs w:val="22"/>
        </w:rPr>
        <w:t>保护</w:t>
      </w:r>
      <w:r>
        <w:rPr>
          <w:rFonts w:ascii="Times New Roman" w:hAnsi="Times New Roman"/>
          <w:bCs/>
          <w:szCs w:val="22"/>
        </w:rPr>
        <w:t>红线分布图</w:t>
      </w:r>
      <w:r>
        <w:tab/>
      </w:r>
      <w:r>
        <w:fldChar w:fldCharType="begin"/>
      </w:r>
      <w:r>
        <w:instrText xml:space="preserve"> PAGEREF _Toc8772 \h </w:instrText>
      </w:r>
      <w:r>
        <w:fldChar w:fldCharType="separate"/>
      </w:r>
      <w:r>
        <w:t>- 136 -</w:t>
      </w:r>
      <w:r>
        <w:fldChar w:fldCharType="end"/>
      </w:r>
      <w:r>
        <w:rPr>
          <w:color w:val="000000" w:themeColor="text1"/>
          <w14:textFill>
            <w14:solidFill>
              <w14:schemeClr w14:val="tx1"/>
            </w14:solidFill>
          </w14:textFill>
        </w:rPr>
        <w:fldChar w:fldCharType="end"/>
      </w:r>
    </w:p>
    <w:p w14:paraId="555AC9EC">
      <w:pPr>
        <w:pStyle w:val="41"/>
        <w:tabs>
          <w:tab w:val="right" w:leader="dot" w:pos="8844"/>
        </w:tabs>
      </w:pPr>
      <w:r>
        <w:rPr>
          <w:color w:val="000000" w:themeColor="text1"/>
          <w14:textFill>
            <w14:solidFill>
              <w14:schemeClr w14:val="tx1"/>
            </w14:solidFill>
          </w14:textFill>
        </w:rPr>
        <w:fldChar w:fldCharType="begin"/>
      </w:r>
      <w:r>
        <w:instrText xml:space="preserve"> HYPERLINK \l _Toc15018 </w:instrText>
      </w:r>
      <w:r>
        <w:fldChar w:fldCharType="separate"/>
      </w:r>
      <w:r>
        <w:rPr>
          <w:rFonts w:ascii="Times New Roman" w:hAnsi="Times New Roman"/>
          <w:bCs/>
          <w:szCs w:val="22"/>
        </w:rPr>
        <w:t xml:space="preserve">附图9 </w:t>
      </w:r>
      <w:r>
        <w:rPr>
          <w:rFonts w:ascii="Times New Roman" w:hAnsi="Times New Roman"/>
          <w:bCs/>
        </w:rPr>
        <w:t>水环境管控单元</w:t>
      </w:r>
      <w:r>
        <w:rPr>
          <w:rFonts w:hint="eastAsia" w:ascii="Times New Roman" w:hAnsi="Times New Roman"/>
          <w:bCs/>
        </w:rPr>
        <w:t>分区</w:t>
      </w:r>
      <w:r>
        <w:rPr>
          <w:rFonts w:ascii="Times New Roman" w:hAnsi="Times New Roman"/>
          <w:bCs/>
          <w:szCs w:val="22"/>
        </w:rPr>
        <w:t>图</w:t>
      </w:r>
      <w:r>
        <w:tab/>
      </w:r>
      <w:r>
        <w:fldChar w:fldCharType="begin"/>
      </w:r>
      <w:r>
        <w:instrText xml:space="preserve"> PAGEREF _Toc15018 \h </w:instrText>
      </w:r>
      <w:r>
        <w:fldChar w:fldCharType="separate"/>
      </w:r>
      <w:r>
        <w:t>- 137 -</w:t>
      </w:r>
      <w:r>
        <w:fldChar w:fldCharType="end"/>
      </w:r>
      <w:r>
        <w:rPr>
          <w:color w:val="000000" w:themeColor="text1"/>
          <w14:textFill>
            <w14:solidFill>
              <w14:schemeClr w14:val="tx1"/>
            </w14:solidFill>
          </w14:textFill>
        </w:rPr>
        <w:fldChar w:fldCharType="end"/>
      </w:r>
    </w:p>
    <w:p w14:paraId="660BF932">
      <w:pPr>
        <w:pStyle w:val="41"/>
        <w:tabs>
          <w:tab w:val="right" w:leader="dot" w:pos="8844"/>
        </w:tabs>
      </w:pPr>
      <w:r>
        <w:rPr>
          <w:color w:val="000000" w:themeColor="text1"/>
          <w14:textFill>
            <w14:solidFill>
              <w14:schemeClr w14:val="tx1"/>
            </w14:solidFill>
          </w14:textFill>
        </w:rPr>
        <w:fldChar w:fldCharType="begin"/>
      </w:r>
      <w:r>
        <w:instrText xml:space="preserve"> HYPERLINK \l _Toc6452 </w:instrText>
      </w:r>
      <w:r>
        <w:fldChar w:fldCharType="separate"/>
      </w:r>
      <w:r>
        <w:rPr>
          <w:rFonts w:ascii="Times New Roman" w:hAnsi="Times New Roman"/>
          <w:bCs/>
          <w:szCs w:val="22"/>
        </w:rPr>
        <w:t>附图10 大气环境管控单元图</w:t>
      </w:r>
      <w:r>
        <w:tab/>
      </w:r>
      <w:r>
        <w:fldChar w:fldCharType="begin"/>
      </w:r>
      <w:r>
        <w:instrText xml:space="preserve"> PAGEREF _Toc6452 \h </w:instrText>
      </w:r>
      <w:r>
        <w:fldChar w:fldCharType="separate"/>
      </w:r>
      <w:r>
        <w:t>- 138 -</w:t>
      </w:r>
      <w:r>
        <w:fldChar w:fldCharType="end"/>
      </w:r>
      <w:r>
        <w:rPr>
          <w:color w:val="000000" w:themeColor="text1"/>
          <w14:textFill>
            <w14:solidFill>
              <w14:schemeClr w14:val="tx1"/>
            </w14:solidFill>
          </w14:textFill>
        </w:rPr>
        <w:fldChar w:fldCharType="end"/>
      </w:r>
    </w:p>
    <w:p w14:paraId="5DA232DF">
      <w:pPr>
        <w:pStyle w:val="41"/>
        <w:tabs>
          <w:tab w:val="right" w:leader="dot" w:pos="8844"/>
        </w:tabs>
      </w:pPr>
      <w:r>
        <w:rPr>
          <w:color w:val="000000" w:themeColor="text1"/>
          <w14:textFill>
            <w14:solidFill>
              <w14:schemeClr w14:val="tx1"/>
            </w14:solidFill>
          </w14:textFill>
        </w:rPr>
        <w:fldChar w:fldCharType="begin"/>
      </w:r>
      <w:r>
        <w:instrText xml:space="preserve"> HYPERLINK \l _Toc30293 </w:instrText>
      </w:r>
      <w:r>
        <w:fldChar w:fldCharType="separate"/>
      </w:r>
      <w:r>
        <w:rPr>
          <w:bCs/>
          <w:szCs w:val="22"/>
        </w:rPr>
        <w:t>附图1</w:t>
      </w:r>
      <w:r>
        <w:rPr>
          <w:rFonts w:hint="eastAsia"/>
          <w:bCs/>
          <w:szCs w:val="22"/>
        </w:rPr>
        <w:t>1</w:t>
      </w:r>
      <w:r>
        <w:rPr>
          <w:bCs/>
          <w:szCs w:val="22"/>
        </w:rPr>
        <w:t xml:space="preserve"> </w:t>
      </w:r>
      <w:r>
        <w:rPr>
          <w:rFonts w:hint="eastAsia"/>
          <w:bCs/>
          <w:szCs w:val="22"/>
        </w:rPr>
        <w:t>生态管控单元分区图</w:t>
      </w:r>
      <w:r>
        <w:tab/>
      </w:r>
      <w:r>
        <w:fldChar w:fldCharType="begin"/>
      </w:r>
      <w:r>
        <w:instrText xml:space="preserve"> PAGEREF _Toc30293 \h </w:instrText>
      </w:r>
      <w:r>
        <w:fldChar w:fldCharType="separate"/>
      </w:r>
      <w:r>
        <w:t>- 139 -</w:t>
      </w:r>
      <w:r>
        <w:fldChar w:fldCharType="end"/>
      </w:r>
      <w:r>
        <w:rPr>
          <w:color w:val="000000" w:themeColor="text1"/>
          <w14:textFill>
            <w14:solidFill>
              <w14:schemeClr w14:val="tx1"/>
            </w14:solidFill>
          </w14:textFill>
        </w:rPr>
        <w:fldChar w:fldCharType="end"/>
      </w:r>
    </w:p>
    <w:p w14:paraId="4E97569D">
      <w:pPr>
        <w:pStyle w:val="41"/>
        <w:tabs>
          <w:tab w:val="right" w:leader="dot" w:pos="8844"/>
        </w:tabs>
      </w:pPr>
      <w:r>
        <w:rPr>
          <w:color w:val="000000" w:themeColor="text1"/>
          <w14:textFill>
            <w14:solidFill>
              <w14:schemeClr w14:val="tx1"/>
            </w14:solidFill>
          </w14:textFill>
        </w:rPr>
        <w:fldChar w:fldCharType="begin"/>
      </w:r>
      <w:r>
        <w:instrText xml:space="preserve"> HYPERLINK \l _Toc25830 </w:instrText>
      </w:r>
      <w:r>
        <w:fldChar w:fldCharType="separate"/>
      </w:r>
      <w:r>
        <w:rPr>
          <w:bCs/>
          <w:szCs w:val="22"/>
        </w:rPr>
        <w:t>附图</w:t>
      </w:r>
      <w:r>
        <w:rPr>
          <w:rFonts w:hint="eastAsia"/>
          <w:bCs/>
          <w:szCs w:val="22"/>
        </w:rPr>
        <w:t>12</w:t>
      </w:r>
      <w:r>
        <w:rPr>
          <w:bCs/>
          <w:szCs w:val="22"/>
        </w:rPr>
        <w:t xml:space="preserve"> 项目</w:t>
      </w:r>
      <w:r>
        <w:rPr>
          <w:rFonts w:hint="eastAsia"/>
          <w:bCs/>
          <w:szCs w:val="22"/>
        </w:rPr>
        <w:t>和项目</w:t>
      </w:r>
      <w:r>
        <w:rPr>
          <w:bCs/>
          <w:szCs w:val="22"/>
        </w:rPr>
        <w:t>周边现状</w:t>
      </w:r>
      <w:r>
        <w:rPr>
          <w:rFonts w:hint="eastAsia"/>
          <w:bCs/>
          <w:szCs w:val="22"/>
        </w:rPr>
        <w:t>图</w:t>
      </w:r>
      <w:r>
        <w:tab/>
      </w:r>
      <w:r>
        <w:fldChar w:fldCharType="begin"/>
      </w:r>
      <w:r>
        <w:instrText xml:space="preserve"> PAGEREF _Toc25830 \h </w:instrText>
      </w:r>
      <w:r>
        <w:fldChar w:fldCharType="separate"/>
      </w:r>
      <w:r>
        <w:t>- 140 -</w:t>
      </w:r>
      <w:r>
        <w:fldChar w:fldCharType="end"/>
      </w:r>
      <w:r>
        <w:rPr>
          <w:color w:val="000000" w:themeColor="text1"/>
          <w14:textFill>
            <w14:solidFill>
              <w14:schemeClr w14:val="tx1"/>
            </w14:solidFill>
          </w14:textFill>
        </w:rPr>
        <w:fldChar w:fldCharType="end"/>
      </w:r>
    </w:p>
    <w:p w14:paraId="0CC263F6">
      <w:pPr>
        <w:pStyle w:val="41"/>
        <w:tabs>
          <w:tab w:val="right" w:leader="dot" w:pos="8844"/>
        </w:tabs>
      </w:pPr>
      <w:r>
        <w:rPr>
          <w:color w:val="000000" w:themeColor="text1"/>
          <w14:textFill>
            <w14:solidFill>
              <w14:schemeClr w14:val="tx1"/>
            </w14:solidFill>
          </w14:textFill>
        </w:rPr>
        <w:fldChar w:fldCharType="begin"/>
      </w:r>
      <w:r>
        <w:instrText xml:space="preserve"> HYPERLINK \l _Toc6696 </w:instrText>
      </w:r>
      <w:r>
        <w:fldChar w:fldCharType="separate"/>
      </w:r>
      <w:r>
        <w:rPr>
          <w:rFonts w:hint="eastAsia" w:ascii="Times New Roman" w:cs="Times New Roman"/>
          <w:bCs/>
        </w:rPr>
        <w:t>附图13-1 广东省“三线一单”平台陆域环境管控单元截图</w:t>
      </w:r>
      <w:r>
        <w:tab/>
      </w:r>
      <w:r>
        <w:fldChar w:fldCharType="begin"/>
      </w:r>
      <w:r>
        <w:instrText xml:space="preserve"> PAGEREF _Toc6696 \h </w:instrText>
      </w:r>
      <w:r>
        <w:fldChar w:fldCharType="separate"/>
      </w:r>
      <w:r>
        <w:t>- 141 -</w:t>
      </w:r>
      <w:r>
        <w:fldChar w:fldCharType="end"/>
      </w:r>
      <w:r>
        <w:rPr>
          <w:color w:val="000000" w:themeColor="text1"/>
          <w14:textFill>
            <w14:solidFill>
              <w14:schemeClr w14:val="tx1"/>
            </w14:solidFill>
          </w14:textFill>
        </w:rPr>
        <w:fldChar w:fldCharType="end"/>
      </w:r>
    </w:p>
    <w:p w14:paraId="443B409D">
      <w:pPr>
        <w:pStyle w:val="41"/>
        <w:tabs>
          <w:tab w:val="right" w:leader="dot" w:pos="8844"/>
        </w:tabs>
      </w:pPr>
      <w:r>
        <w:rPr>
          <w:color w:val="000000" w:themeColor="text1"/>
          <w14:textFill>
            <w14:solidFill>
              <w14:schemeClr w14:val="tx1"/>
            </w14:solidFill>
          </w14:textFill>
        </w:rPr>
        <w:fldChar w:fldCharType="begin"/>
      </w:r>
      <w:r>
        <w:instrText xml:space="preserve"> HYPERLINK \l _Toc4081 </w:instrText>
      </w:r>
      <w:r>
        <w:fldChar w:fldCharType="separate"/>
      </w:r>
      <w:r>
        <w:rPr>
          <w:rFonts w:hint="eastAsia" w:ascii="Times New Roman" w:cs="Times New Roman"/>
          <w:bCs/>
        </w:rPr>
        <w:t>附图13-2 广东省“三线一单”平台生态空间一般管控区截图</w:t>
      </w:r>
      <w:r>
        <w:tab/>
      </w:r>
      <w:r>
        <w:fldChar w:fldCharType="begin"/>
      </w:r>
      <w:r>
        <w:instrText xml:space="preserve"> PAGEREF _Toc4081 \h </w:instrText>
      </w:r>
      <w:r>
        <w:fldChar w:fldCharType="separate"/>
      </w:r>
      <w:r>
        <w:t>- 143 -</w:t>
      </w:r>
      <w:r>
        <w:fldChar w:fldCharType="end"/>
      </w:r>
      <w:r>
        <w:rPr>
          <w:color w:val="000000" w:themeColor="text1"/>
          <w14:textFill>
            <w14:solidFill>
              <w14:schemeClr w14:val="tx1"/>
            </w14:solidFill>
          </w14:textFill>
        </w:rPr>
        <w:fldChar w:fldCharType="end"/>
      </w:r>
    </w:p>
    <w:p w14:paraId="66037D2E">
      <w:pPr>
        <w:pStyle w:val="41"/>
        <w:tabs>
          <w:tab w:val="right" w:leader="dot" w:pos="8844"/>
        </w:tabs>
      </w:pPr>
      <w:r>
        <w:rPr>
          <w:color w:val="000000" w:themeColor="text1"/>
          <w14:textFill>
            <w14:solidFill>
              <w14:schemeClr w14:val="tx1"/>
            </w14:solidFill>
          </w14:textFill>
        </w:rPr>
        <w:fldChar w:fldCharType="begin"/>
      </w:r>
      <w:r>
        <w:instrText xml:space="preserve"> HYPERLINK \l _Toc3558 </w:instrText>
      </w:r>
      <w:r>
        <w:fldChar w:fldCharType="separate"/>
      </w:r>
      <w:r>
        <w:rPr>
          <w:rFonts w:hint="eastAsia" w:ascii="Times New Roman" w:cs="Times New Roman"/>
          <w:bCs/>
        </w:rPr>
        <w:t>附图13-3 广东省“三线一单”平台水环境管控分区截图</w:t>
      </w:r>
      <w:r>
        <w:tab/>
      </w:r>
      <w:r>
        <w:fldChar w:fldCharType="begin"/>
      </w:r>
      <w:r>
        <w:instrText xml:space="preserve"> PAGEREF _Toc3558 \h </w:instrText>
      </w:r>
      <w:r>
        <w:fldChar w:fldCharType="separate"/>
      </w:r>
      <w:r>
        <w:t>- 145 -</w:t>
      </w:r>
      <w:r>
        <w:fldChar w:fldCharType="end"/>
      </w:r>
      <w:r>
        <w:rPr>
          <w:color w:val="000000" w:themeColor="text1"/>
          <w14:textFill>
            <w14:solidFill>
              <w14:schemeClr w14:val="tx1"/>
            </w14:solidFill>
          </w14:textFill>
        </w:rPr>
        <w:fldChar w:fldCharType="end"/>
      </w:r>
    </w:p>
    <w:p w14:paraId="7DAD82D5">
      <w:pPr>
        <w:pStyle w:val="41"/>
        <w:tabs>
          <w:tab w:val="right" w:leader="dot" w:pos="8844"/>
        </w:tabs>
      </w:pPr>
      <w:r>
        <w:rPr>
          <w:color w:val="000000" w:themeColor="text1"/>
          <w14:textFill>
            <w14:solidFill>
              <w14:schemeClr w14:val="tx1"/>
            </w14:solidFill>
          </w14:textFill>
        </w:rPr>
        <w:fldChar w:fldCharType="begin"/>
      </w:r>
      <w:r>
        <w:instrText xml:space="preserve"> HYPERLINK \l _Toc14478 </w:instrText>
      </w:r>
      <w:r>
        <w:fldChar w:fldCharType="separate"/>
      </w:r>
      <w:r>
        <w:rPr>
          <w:rFonts w:hint="eastAsia" w:ascii="Times New Roman" w:cs="Times New Roman"/>
          <w:bCs/>
        </w:rPr>
        <w:t>附图13-4 广东省“三线一单”平台大气环境管控分区截图</w:t>
      </w:r>
      <w:r>
        <w:tab/>
      </w:r>
      <w:r>
        <w:fldChar w:fldCharType="begin"/>
      </w:r>
      <w:r>
        <w:instrText xml:space="preserve"> PAGEREF _Toc14478 \h </w:instrText>
      </w:r>
      <w:r>
        <w:fldChar w:fldCharType="separate"/>
      </w:r>
      <w:r>
        <w:t>- 146 -</w:t>
      </w:r>
      <w:r>
        <w:fldChar w:fldCharType="end"/>
      </w:r>
      <w:r>
        <w:rPr>
          <w:color w:val="000000" w:themeColor="text1"/>
          <w14:textFill>
            <w14:solidFill>
              <w14:schemeClr w14:val="tx1"/>
            </w14:solidFill>
          </w14:textFill>
        </w:rPr>
        <w:fldChar w:fldCharType="end"/>
      </w:r>
    </w:p>
    <w:p w14:paraId="0B2193F7">
      <w:pPr>
        <w:pStyle w:val="41"/>
        <w:tabs>
          <w:tab w:val="right" w:leader="dot" w:pos="8844"/>
        </w:tabs>
      </w:pPr>
      <w:r>
        <w:rPr>
          <w:color w:val="000000" w:themeColor="text1"/>
          <w14:textFill>
            <w14:solidFill>
              <w14:schemeClr w14:val="tx1"/>
            </w14:solidFill>
          </w14:textFill>
        </w:rPr>
        <w:fldChar w:fldCharType="begin"/>
      </w:r>
      <w:r>
        <w:instrText xml:space="preserve"> HYPERLINK \l _Toc17330 </w:instrText>
      </w:r>
      <w:r>
        <w:fldChar w:fldCharType="separate"/>
      </w:r>
      <w:r>
        <w:rPr>
          <w:rFonts w:hint="eastAsia" w:ascii="Times New Roman" w:cs="Times New Roman"/>
          <w:bCs/>
        </w:rPr>
        <w:t>附图13-5 广东省“三线一单”平台自然资源管控分区截图</w:t>
      </w:r>
      <w:r>
        <w:tab/>
      </w:r>
      <w:r>
        <w:fldChar w:fldCharType="begin"/>
      </w:r>
      <w:r>
        <w:instrText xml:space="preserve"> PAGEREF _Toc17330 \h </w:instrText>
      </w:r>
      <w:r>
        <w:fldChar w:fldCharType="separate"/>
      </w:r>
      <w:r>
        <w:t>- 147 -</w:t>
      </w:r>
      <w:r>
        <w:fldChar w:fldCharType="end"/>
      </w:r>
      <w:r>
        <w:rPr>
          <w:color w:val="000000" w:themeColor="text1"/>
          <w14:textFill>
            <w14:solidFill>
              <w14:schemeClr w14:val="tx1"/>
            </w14:solidFill>
          </w14:textFill>
        </w:rPr>
        <w:fldChar w:fldCharType="end"/>
      </w:r>
    </w:p>
    <w:p w14:paraId="63E2CC61">
      <w:pPr>
        <w:pStyle w:val="41"/>
        <w:tabs>
          <w:tab w:val="right" w:leader="dot" w:pos="8844"/>
        </w:tabs>
      </w:pPr>
      <w:r>
        <w:rPr>
          <w:color w:val="000000" w:themeColor="text1"/>
          <w14:textFill>
            <w14:solidFill>
              <w14:schemeClr w14:val="tx1"/>
            </w14:solidFill>
          </w14:textFill>
        </w:rPr>
        <w:fldChar w:fldCharType="begin"/>
      </w:r>
      <w:r>
        <w:instrText xml:space="preserve"> HYPERLINK \l _Toc22240 </w:instrText>
      </w:r>
      <w:r>
        <w:fldChar w:fldCharType="separate"/>
      </w:r>
      <w:r>
        <w:rPr>
          <w:rFonts w:hint="eastAsia"/>
          <w:bCs/>
        </w:rPr>
        <w:t>附图14项目与大气补充监测点位置图</w:t>
      </w:r>
      <w:r>
        <w:tab/>
      </w:r>
      <w:r>
        <w:fldChar w:fldCharType="begin"/>
      </w:r>
      <w:r>
        <w:instrText xml:space="preserve"> PAGEREF _Toc22240 \h </w:instrText>
      </w:r>
      <w:r>
        <w:fldChar w:fldCharType="separate"/>
      </w:r>
      <w:r>
        <w:t>- 149 -</w:t>
      </w:r>
      <w:r>
        <w:fldChar w:fldCharType="end"/>
      </w:r>
      <w:r>
        <w:rPr>
          <w:color w:val="000000" w:themeColor="text1"/>
          <w14:textFill>
            <w14:solidFill>
              <w14:schemeClr w14:val="tx1"/>
            </w14:solidFill>
          </w14:textFill>
        </w:rPr>
        <w:fldChar w:fldCharType="end"/>
      </w:r>
    </w:p>
    <w:p w14:paraId="25B8038F">
      <w:pPr>
        <w:pStyle w:val="41"/>
        <w:tabs>
          <w:tab w:val="right" w:leader="dot" w:pos="8844"/>
        </w:tabs>
      </w:pPr>
      <w:r>
        <w:rPr>
          <w:color w:val="000000" w:themeColor="text1"/>
          <w14:textFill>
            <w14:solidFill>
              <w14:schemeClr w14:val="tx1"/>
            </w14:solidFill>
          </w14:textFill>
        </w:rPr>
        <w:fldChar w:fldCharType="begin"/>
      </w:r>
      <w:r>
        <w:instrText xml:space="preserve"> HYPERLINK \l _Toc15800 </w:instrText>
      </w:r>
      <w:r>
        <w:fldChar w:fldCharType="separate"/>
      </w:r>
      <w:r>
        <w:rPr>
          <w:rFonts w:ascii="Times New Roman" w:cs="Times New Roman"/>
          <w:bCs/>
        </w:rPr>
        <w:t>附图15 乐昌产业转移工业园管网分布图</w:t>
      </w:r>
      <w:r>
        <w:tab/>
      </w:r>
      <w:r>
        <w:fldChar w:fldCharType="begin"/>
      </w:r>
      <w:r>
        <w:instrText xml:space="preserve"> PAGEREF _Toc15800 \h </w:instrText>
      </w:r>
      <w:r>
        <w:fldChar w:fldCharType="separate"/>
      </w:r>
      <w:r>
        <w:t>- 150 -</w:t>
      </w:r>
      <w:r>
        <w:fldChar w:fldCharType="end"/>
      </w:r>
      <w:r>
        <w:rPr>
          <w:color w:val="000000" w:themeColor="text1"/>
          <w14:textFill>
            <w14:solidFill>
              <w14:schemeClr w14:val="tx1"/>
            </w14:solidFill>
          </w14:textFill>
        </w:rPr>
        <w:fldChar w:fldCharType="end"/>
      </w:r>
    </w:p>
    <w:p w14:paraId="131BD051">
      <w:pPr>
        <w:pStyle w:val="41"/>
        <w:tabs>
          <w:tab w:val="right" w:leader="dot" w:pos="8844"/>
        </w:tabs>
      </w:pPr>
      <w:r>
        <w:rPr>
          <w:color w:val="000000" w:themeColor="text1"/>
          <w14:textFill>
            <w14:solidFill>
              <w14:schemeClr w14:val="tx1"/>
            </w14:solidFill>
          </w14:textFill>
        </w:rPr>
        <w:fldChar w:fldCharType="begin"/>
      </w:r>
      <w:r>
        <w:instrText xml:space="preserve"> HYPERLINK \l _Toc11640 </w:instrText>
      </w:r>
      <w:r>
        <w:fldChar w:fldCharType="separate"/>
      </w:r>
      <w:r>
        <w:rPr>
          <w:rFonts w:hint="eastAsia" w:ascii="Times New Roman"/>
          <w:szCs w:val="24"/>
          <w:lang w:val="en-US" w:eastAsia="zh-CN"/>
        </w:rPr>
        <w:t>附图17 声环境功能区划</w:t>
      </w:r>
      <w:r>
        <w:tab/>
      </w:r>
      <w:r>
        <w:fldChar w:fldCharType="begin"/>
      </w:r>
      <w:r>
        <w:instrText xml:space="preserve"> PAGEREF _Toc11640 \h </w:instrText>
      </w:r>
      <w:r>
        <w:fldChar w:fldCharType="separate"/>
      </w:r>
      <w:r>
        <w:t>- 151 -</w:t>
      </w:r>
      <w:r>
        <w:fldChar w:fldCharType="end"/>
      </w:r>
      <w:r>
        <w:rPr>
          <w:color w:val="000000" w:themeColor="text1"/>
          <w14:textFill>
            <w14:solidFill>
              <w14:schemeClr w14:val="tx1"/>
            </w14:solidFill>
          </w14:textFill>
        </w:rPr>
        <w:fldChar w:fldCharType="end"/>
      </w:r>
    </w:p>
    <w:p w14:paraId="2DD357C8">
      <w:pPr>
        <w:pStyle w:val="41"/>
        <w:tabs>
          <w:tab w:val="right" w:leader="dot" w:pos="8844"/>
        </w:tabs>
      </w:pPr>
      <w:r>
        <w:rPr>
          <w:color w:val="000000" w:themeColor="text1"/>
          <w14:textFill>
            <w14:solidFill>
              <w14:schemeClr w14:val="tx1"/>
            </w14:solidFill>
          </w14:textFill>
        </w:rPr>
        <w:fldChar w:fldCharType="begin"/>
      </w:r>
      <w:r>
        <w:instrText xml:space="preserve"> HYPERLINK \l _Toc8465 </w:instrText>
      </w:r>
      <w:r>
        <w:fldChar w:fldCharType="separate"/>
      </w:r>
      <w:r>
        <w:rPr>
          <w:rFonts w:ascii="Times New Roman"/>
          <w:szCs w:val="24"/>
        </w:rPr>
        <w:t>附件1营业执照</w:t>
      </w:r>
      <w:r>
        <w:tab/>
      </w:r>
      <w:r>
        <w:fldChar w:fldCharType="begin"/>
      </w:r>
      <w:r>
        <w:instrText xml:space="preserve"> PAGEREF _Toc8465 \h </w:instrText>
      </w:r>
      <w:r>
        <w:fldChar w:fldCharType="separate"/>
      </w:r>
      <w:r>
        <w:t>- 152 -</w:t>
      </w:r>
      <w:r>
        <w:fldChar w:fldCharType="end"/>
      </w:r>
      <w:r>
        <w:rPr>
          <w:color w:val="000000" w:themeColor="text1"/>
          <w14:textFill>
            <w14:solidFill>
              <w14:schemeClr w14:val="tx1"/>
            </w14:solidFill>
          </w14:textFill>
        </w:rPr>
        <w:fldChar w:fldCharType="end"/>
      </w:r>
    </w:p>
    <w:p w14:paraId="2B42CEDD">
      <w:pPr>
        <w:pStyle w:val="41"/>
        <w:tabs>
          <w:tab w:val="right" w:leader="dot" w:pos="8844"/>
        </w:tabs>
      </w:pPr>
      <w:r>
        <w:rPr>
          <w:color w:val="000000" w:themeColor="text1"/>
          <w14:textFill>
            <w14:solidFill>
              <w14:schemeClr w14:val="tx1"/>
            </w14:solidFill>
          </w14:textFill>
        </w:rPr>
        <w:fldChar w:fldCharType="begin"/>
      </w:r>
      <w:r>
        <w:instrText xml:space="preserve"> HYPERLINK \l _Toc11951 </w:instrText>
      </w:r>
      <w:r>
        <w:fldChar w:fldCharType="separate"/>
      </w:r>
      <w:r>
        <w:rPr>
          <w:bCs/>
        </w:rPr>
        <w:t>附件2 法人身份证复印件</w:t>
      </w:r>
      <w:r>
        <w:tab/>
      </w:r>
      <w:r>
        <w:fldChar w:fldCharType="begin"/>
      </w:r>
      <w:r>
        <w:instrText xml:space="preserve"> PAGEREF _Toc11951 \h </w:instrText>
      </w:r>
      <w:r>
        <w:fldChar w:fldCharType="separate"/>
      </w:r>
      <w:r>
        <w:t>- 153 -</w:t>
      </w:r>
      <w:r>
        <w:fldChar w:fldCharType="end"/>
      </w:r>
      <w:r>
        <w:rPr>
          <w:color w:val="000000" w:themeColor="text1"/>
          <w14:textFill>
            <w14:solidFill>
              <w14:schemeClr w14:val="tx1"/>
            </w14:solidFill>
          </w14:textFill>
        </w:rPr>
        <w:fldChar w:fldCharType="end"/>
      </w:r>
    </w:p>
    <w:p w14:paraId="2A0F71EC">
      <w:pPr>
        <w:pStyle w:val="41"/>
        <w:tabs>
          <w:tab w:val="right" w:leader="dot" w:pos="8844"/>
        </w:tabs>
      </w:pPr>
      <w:r>
        <w:rPr>
          <w:color w:val="000000" w:themeColor="text1"/>
          <w14:textFill>
            <w14:solidFill>
              <w14:schemeClr w14:val="tx1"/>
            </w14:solidFill>
          </w14:textFill>
        </w:rPr>
        <w:fldChar w:fldCharType="begin"/>
      </w:r>
      <w:r>
        <w:instrText xml:space="preserve"> HYPERLINK \l _Toc31175 </w:instrText>
      </w:r>
      <w:r>
        <w:fldChar w:fldCharType="separate"/>
      </w:r>
      <w:r>
        <w:rPr>
          <w:bCs/>
        </w:rPr>
        <w:t>附件3</w:t>
      </w:r>
      <w:r>
        <w:rPr>
          <w:bCs/>
          <w:szCs w:val="28"/>
        </w:rPr>
        <w:t xml:space="preserve"> </w:t>
      </w:r>
      <w:r>
        <w:rPr>
          <w:rFonts w:hint="eastAsia"/>
          <w:bCs/>
        </w:rPr>
        <w:t>建设用地不动产权证</w:t>
      </w:r>
      <w:r>
        <w:tab/>
      </w:r>
      <w:r>
        <w:fldChar w:fldCharType="begin"/>
      </w:r>
      <w:r>
        <w:instrText xml:space="preserve"> PAGEREF _Toc31175 \h </w:instrText>
      </w:r>
      <w:r>
        <w:fldChar w:fldCharType="separate"/>
      </w:r>
      <w:r>
        <w:t>- 154 -</w:t>
      </w:r>
      <w:r>
        <w:fldChar w:fldCharType="end"/>
      </w:r>
      <w:r>
        <w:rPr>
          <w:color w:val="000000" w:themeColor="text1"/>
          <w14:textFill>
            <w14:solidFill>
              <w14:schemeClr w14:val="tx1"/>
            </w14:solidFill>
          </w14:textFill>
        </w:rPr>
        <w:fldChar w:fldCharType="end"/>
      </w:r>
    </w:p>
    <w:p w14:paraId="43B94815">
      <w:pPr>
        <w:pStyle w:val="41"/>
        <w:tabs>
          <w:tab w:val="right" w:leader="dot" w:pos="8844"/>
        </w:tabs>
      </w:pPr>
      <w:r>
        <w:rPr>
          <w:color w:val="000000" w:themeColor="text1"/>
          <w14:textFill>
            <w14:solidFill>
              <w14:schemeClr w14:val="tx1"/>
            </w14:solidFill>
          </w14:textFill>
        </w:rPr>
        <w:fldChar w:fldCharType="begin"/>
      </w:r>
      <w:r>
        <w:instrText xml:space="preserve"> HYPERLINK \l _Toc29972 </w:instrText>
      </w:r>
      <w:r>
        <w:fldChar w:fldCharType="separate"/>
      </w:r>
      <w:r>
        <w:rPr>
          <w:rFonts w:ascii="Times New Roman" w:cs="Times New Roman"/>
          <w:bCs w:val="0"/>
          <w:szCs w:val="24"/>
        </w:rPr>
        <w:t>附件4 备案证</w:t>
      </w:r>
      <w:r>
        <w:tab/>
      </w:r>
      <w:r>
        <w:fldChar w:fldCharType="begin"/>
      </w:r>
      <w:r>
        <w:instrText xml:space="preserve"> PAGEREF _Toc29972 \h </w:instrText>
      </w:r>
      <w:r>
        <w:fldChar w:fldCharType="separate"/>
      </w:r>
      <w:r>
        <w:t>- 157 -</w:t>
      </w:r>
      <w:r>
        <w:fldChar w:fldCharType="end"/>
      </w:r>
      <w:r>
        <w:rPr>
          <w:color w:val="000000" w:themeColor="text1"/>
          <w14:textFill>
            <w14:solidFill>
              <w14:schemeClr w14:val="tx1"/>
            </w14:solidFill>
          </w14:textFill>
        </w:rPr>
        <w:fldChar w:fldCharType="end"/>
      </w:r>
    </w:p>
    <w:p w14:paraId="6B097CFC">
      <w:pPr>
        <w:pStyle w:val="41"/>
        <w:tabs>
          <w:tab w:val="right" w:leader="dot" w:pos="8844"/>
        </w:tabs>
      </w:pPr>
      <w:r>
        <w:rPr>
          <w:color w:val="000000" w:themeColor="text1"/>
          <w14:textFill>
            <w14:solidFill>
              <w14:schemeClr w14:val="tx1"/>
            </w14:solidFill>
          </w14:textFill>
        </w:rPr>
        <w:fldChar w:fldCharType="begin"/>
      </w:r>
      <w:r>
        <w:instrText xml:space="preserve"> HYPERLINK \l _Toc1053 </w:instrText>
      </w:r>
      <w:r>
        <w:fldChar w:fldCharType="separate"/>
      </w:r>
      <w:r>
        <w:rPr>
          <w:rFonts w:hint="eastAsia"/>
          <w:bCs/>
        </w:rPr>
        <w:t>附件5 环境质量现状监测报告（摘录部分）</w:t>
      </w:r>
      <w:r>
        <w:tab/>
      </w:r>
      <w:r>
        <w:fldChar w:fldCharType="begin"/>
      </w:r>
      <w:r>
        <w:instrText xml:space="preserve"> PAGEREF _Toc1053 \h </w:instrText>
      </w:r>
      <w:r>
        <w:fldChar w:fldCharType="separate"/>
      </w:r>
      <w:r>
        <w:t>- 158 -</w:t>
      </w:r>
      <w:r>
        <w:fldChar w:fldCharType="end"/>
      </w:r>
      <w:r>
        <w:rPr>
          <w:color w:val="000000" w:themeColor="text1"/>
          <w14:textFill>
            <w14:solidFill>
              <w14:schemeClr w14:val="tx1"/>
            </w14:solidFill>
          </w14:textFill>
        </w:rPr>
        <w:fldChar w:fldCharType="end"/>
      </w:r>
    </w:p>
    <w:p w14:paraId="18BEF6D1">
      <w:pPr>
        <w:pStyle w:val="41"/>
        <w:tabs>
          <w:tab w:val="right" w:leader="dot" w:pos="8844"/>
        </w:tabs>
      </w:pPr>
      <w:r>
        <w:rPr>
          <w:color w:val="000000" w:themeColor="text1"/>
          <w14:textFill>
            <w14:solidFill>
              <w14:schemeClr w14:val="tx1"/>
            </w14:solidFill>
          </w14:textFill>
        </w:rPr>
        <w:fldChar w:fldCharType="begin"/>
      </w:r>
      <w:r>
        <w:instrText xml:space="preserve"> HYPERLINK \l _Toc20520 </w:instrText>
      </w:r>
      <w:r>
        <w:fldChar w:fldCharType="separate"/>
      </w:r>
      <w:r>
        <w:rPr>
          <w:rFonts w:hint="eastAsia"/>
          <w:bCs/>
          <w:lang w:val="en-US" w:eastAsia="zh-CN"/>
        </w:rPr>
        <w:t>附件6  环评批复</w:t>
      </w:r>
      <w:r>
        <w:tab/>
      </w:r>
      <w:r>
        <w:fldChar w:fldCharType="begin"/>
      </w:r>
      <w:r>
        <w:instrText xml:space="preserve"> PAGEREF _Toc20520 \h </w:instrText>
      </w:r>
      <w:r>
        <w:fldChar w:fldCharType="separate"/>
      </w:r>
      <w:r>
        <w:t>- 165 -</w:t>
      </w:r>
      <w:r>
        <w:fldChar w:fldCharType="end"/>
      </w:r>
      <w:r>
        <w:rPr>
          <w:color w:val="000000" w:themeColor="text1"/>
          <w14:textFill>
            <w14:solidFill>
              <w14:schemeClr w14:val="tx1"/>
            </w14:solidFill>
          </w14:textFill>
        </w:rPr>
        <w:fldChar w:fldCharType="end"/>
      </w:r>
    </w:p>
    <w:p w14:paraId="5166A6E1">
      <w:pPr>
        <w:pStyle w:val="41"/>
        <w:tabs>
          <w:tab w:val="right" w:leader="dot" w:pos="8844"/>
        </w:tabs>
      </w:pPr>
      <w:r>
        <w:rPr>
          <w:color w:val="000000" w:themeColor="text1"/>
          <w14:textFill>
            <w14:solidFill>
              <w14:schemeClr w14:val="tx1"/>
            </w14:solidFill>
          </w14:textFill>
        </w:rPr>
        <w:fldChar w:fldCharType="begin"/>
      </w:r>
      <w:r>
        <w:instrText xml:space="preserve"> HYPERLINK \l _Toc19653 </w:instrText>
      </w:r>
      <w:r>
        <w:fldChar w:fldCharType="separate"/>
      </w:r>
      <w:r>
        <w:rPr>
          <w:rFonts w:eastAsia="黑体"/>
          <w:bCs/>
          <w:szCs w:val="40"/>
        </w:rPr>
        <w:t>建设项目污染物排放量汇总表</w:t>
      </w:r>
      <w:r>
        <w:tab/>
      </w:r>
      <w:r>
        <w:fldChar w:fldCharType="begin"/>
      </w:r>
      <w:r>
        <w:instrText xml:space="preserve"> PAGEREF _Toc19653 \h </w:instrText>
      </w:r>
      <w:r>
        <w:fldChar w:fldCharType="separate"/>
      </w:r>
      <w:r>
        <w:t>- 170 -</w:t>
      </w:r>
      <w:r>
        <w:fldChar w:fldCharType="end"/>
      </w:r>
      <w:r>
        <w:rPr>
          <w:color w:val="000000" w:themeColor="text1"/>
          <w14:textFill>
            <w14:solidFill>
              <w14:schemeClr w14:val="tx1"/>
            </w14:solidFill>
          </w14:textFill>
        </w:rPr>
        <w:fldChar w:fldCharType="end"/>
      </w:r>
    </w:p>
    <w:p w14:paraId="3E24A79D">
      <w:pPr>
        <w:pStyle w:val="41"/>
        <w:tabs>
          <w:tab w:val="right" w:leader="dot" w:pos="8844"/>
        </w:tabs>
        <w:snapToGrid w:val="0"/>
        <w:rPr>
          <w:color w:val="000000" w:themeColor="text1"/>
          <w14:textFill>
            <w14:solidFill>
              <w14:schemeClr w14:val="tx1"/>
            </w14:solidFill>
          </w14:textFill>
        </w:rPr>
      </w:pPr>
      <w:r>
        <w:rPr>
          <w:color w:val="000000" w:themeColor="text1"/>
          <w14:textFill>
            <w14:solidFill>
              <w14:schemeClr w14:val="tx1"/>
            </w14:solidFill>
          </w14:textFill>
        </w:rPr>
        <w:fldChar w:fldCharType="end"/>
      </w:r>
    </w:p>
    <w:p w14:paraId="1D79C24F">
      <w:pPr>
        <w:adjustRightInd w:val="0"/>
        <w:spacing w:line="288" w:lineRule="auto"/>
        <w:rPr>
          <w:rFonts w:eastAsia="楷体_GB2312"/>
          <w:color w:val="000000" w:themeColor="text1"/>
          <w:sz w:val="36"/>
          <w:szCs w:val="36"/>
          <w14:textFill>
            <w14:solidFill>
              <w14:schemeClr w14:val="tx1"/>
            </w14:solidFill>
          </w14:textFill>
        </w:rPr>
      </w:pPr>
    </w:p>
    <w:p w14:paraId="58965B7D">
      <w:pPr>
        <w:rPr>
          <w:color w:val="000000" w:themeColor="text1"/>
          <w14:textFill>
            <w14:solidFill>
              <w14:schemeClr w14:val="tx1"/>
            </w14:solidFill>
          </w14:textFill>
        </w:rPr>
        <w:sectPr>
          <w:headerReference r:id="rId8" w:type="default"/>
          <w:footerReference r:id="rId9" w:type="default"/>
          <w:pgSz w:w="11906" w:h="16838"/>
          <w:pgMar w:top="1701" w:right="1531" w:bottom="1701" w:left="1531" w:header="851" w:footer="1077" w:gutter="0"/>
          <w:pgNumType w:fmt="upperRoman" w:start="1"/>
          <w:cols w:space="0" w:num="1"/>
          <w:docGrid w:linePitch="312" w:charSpace="0"/>
        </w:sectPr>
      </w:pPr>
    </w:p>
    <w:p w14:paraId="22E4C061">
      <w:pPr>
        <w:pStyle w:val="18"/>
        <w:numPr>
          <w:ilvl w:val="0"/>
          <w:numId w:val="0"/>
        </w:numPr>
        <w:rPr>
          <w:rFonts w:cs="Times New Roman"/>
          <w:color w:val="000000" w:themeColor="text1"/>
          <w14:textFill>
            <w14:solidFill>
              <w14:schemeClr w14:val="tx1"/>
            </w14:solidFill>
          </w14:textFill>
        </w:rPr>
      </w:pPr>
      <w:bookmarkStart w:id="0" w:name="_Toc20829"/>
      <w:bookmarkStart w:id="1" w:name="_Toc2620"/>
      <w:bookmarkStart w:id="2" w:name="_Toc20765"/>
      <w:r>
        <w:rPr>
          <w:rFonts w:hint="eastAsia" w:ascii="黑体" w:hAnsi="黑体" w:cs="黑体"/>
          <w:color w:val="000000" w:themeColor="text1"/>
          <w14:textFill>
            <w14:solidFill>
              <w14:schemeClr w14:val="tx1"/>
            </w14:solidFill>
          </w14:textFill>
        </w:rPr>
        <w:t>一、</w:t>
      </w:r>
      <w:r>
        <w:rPr>
          <w:rFonts w:cs="Times New Roman"/>
          <w:color w:val="000000" w:themeColor="text1"/>
          <w14:textFill>
            <w14:solidFill>
              <w14:schemeClr w14:val="tx1"/>
            </w14:solidFill>
          </w14:textFill>
        </w:rPr>
        <w:t>建设项目基本情况</w:t>
      </w:r>
      <w:bookmarkEnd w:id="0"/>
      <w:bookmarkEnd w:id="1"/>
      <w:bookmarkEnd w:id="2"/>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1244"/>
        <w:gridCol w:w="2627"/>
        <w:gridCol w:w="592"/>
        <w:gridCol w:w="1345"/>
        <w:gridCol w:w="1136"/>
        <w:gridCol w:w="2537"/>
      </w:tblGrid>
      <w:tr w14:paraId="1F3F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 w:type="pct"/>
            <w:gridSpan w:val="2"/>
            <w:vAlign w:val="center"/>
          </w:tcPr>
          <w:p w14:paraId="71162116">
            <w:pPr>
              <w:pStyle w:val="64"/>
              <w:spacing w:line="276" w:lineRule="auto"/>
              <w:rPr>
                <w:b/>
                <w:bCs/>
                <w:color w:val="auto"/>
                <w:kern w:val="2"/>
                <w:sz w:val="24"/>
                <w:szCs w:val="24"/>
                <w:highlight w:val="none"/>
              </w:rPr>
            </w:pPr>
            <w:r>
              <w:rPr>
                <w:b/>
                <w:bCs/>
                <w:color w:val="auto"/>
                <w:kern w:val="2"/>
                <w:sz w:val="24"/>
                <w:szCs w:val="24"/>
                <w:highlight w:val="none"/>
              </w:rPr>
              <w:t>建设项目名称</w:t>
            </w:r>
          </w:p>
        </w:tc>
        <w:tc>
          <w:tcPr>
            <w:tcW w:w="4133" w:type="pct"/>
            <w:gridSpan w:val="5"/>
            <w:vAlign w:val="center"/>
          </w:tcPr>
          <w:p w14:paraId="6B61C68E">
            <w:pPr>
              <w:spacing w:line="276" w:lineRule="auto"/>
              <w:jc w:val="center"/>
              <w:rPr>
                <w:rFonts w:hint="eastAsia" w:eastAsia="宋体"/>
                <w:color w:val="auto"/>
                <w:highlight w:val="none"/>
                <w:lang w:val="en-US" w:eastAsia="zh-CN"/>
              </w:rPr>
            </w:pPr>
            <w:r>
              <w:rPr>
                <w:rFonts w:hint="eastAsia"/>
                <w:color w:val="auto"/>
                <w:highlight w:val="none"/>
              </w:rPr>
              <w:t>乐昌市运南新材料项目</w:t>
            </w:r>
            <w:r>
              <w:rPr>
                <w:rFonts w:hint="eastAsia"/>
                <w:color w:val="auto"/>
                <w:highlight w:val="none"/>
                <w:lang w:eastAsia="zh-CN"/>
              </w:rPr>
              <w:t>（</w:t>
            </w:r>
            <w:r>
              <w:rPr>
                <w:rFonts w:hint="eastAsia"/>
                <w:color w:val="auto"/>
                <w:highlight w:val="none"/>
                <w:lang w:val="en-US" w:eastAsia="zh-CN"/>
              </w:rPr>
              <w:t>重新报批）</w:t>
            </w:r>
          </w:p>
        </w:tc>
      </w:tr>
      <w:tr w14:paraId="05A8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 w:type="pct"/>
            <w:gridSpan w:val="2"/>
            <w:vAlign w:val="center"/>
          </w:tcPr>
          <w:p w14:paraId="4A901AC5">
            <w:pPr>
              <w:pStyle w:val="64"/>
              <w:spacing w:line="276" w:lineRule="auto"/>
              <w:rPr>
                <w:b/>
                <w:bCs/>
                <w:color w:val="auto"/>
                <w:kern w:val="2"/>
                <w:sz w:val="24"/>
                <w:szCs w:val="24"/>
                <w:highlight w:val="none"/>
              </w:rPr>
            </w:pPr>
            <w:r>
              <w:rPr>
                <w:b/>
                <w:bCs/>
                <w:color w:val="auto"/>
                <w:kern w:val="2"/>
                <w:sz w:val="24"/>
                <w:szCs w:val="24"/>
                <w:highlight w:val="none"/>
              </w:rPr>
              <w:t>项目代码</w:t>
            </w:r>
          </w:p>
        </w:tc>
        <w:tc>
          <w:tcPr>
            <w:tcW w:w="4133" w:type="pct"/>
            <w:gridSpan w:val="5"/>
            <w:vAlign w:val="center"/>
          </w:tcPr>
          <w:p w14:paraId="33248697">
            <w:pPr>
              <w:pStyle w:val="64"/>
              <w:spacing w:line="276" w:lineRule="auto"/>
              <w:rPr>
                <w:color w:val="auto"/>
                <w:kern w:val="2"/>
                <w:sz w:val="24"/>
                <w:szCs w:val="24"/>
                <w:highlight w:val="none"/>
              </w:rPr>
            </w:pPr>
            <w:r>
              <w:rPr>
                <w:rFonts w:hint="eastAsia"/>
                <w:color w:val="auto"/>
                <w:kern w:val="2"/>
                <w:sz w:val="24"/>
                <w:szCs w:val="24"/>
                <w:highlight w:val="none"/>
              </w:rPr>
              <w:t>2412-440281-04-01-492808</w:t>
            </w:r>
          </w:p>
        </w:tc>
      </w:tr>
      <w:tr w14:paraId="7954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 w:type="pct"/>
            <w:gridSpan w:val="2"/>
            <w:vAlign w:val="center"/>
          </w:tcPr>
          <w:p w14:paraId="74D4B70F">
            <w:pPr>
              <w:pStyle w:val="64"/>
              <w:spacing w:line="276" w:lineRule="auto"/>
              <w:rPr>
                <w:b/>
                <w:bCs/>
                <w:color w:val="auto"/>
                <w:kern w:val="2"/>
                <w:sz w:val="24"/>
                <w:szCs w:val="24"/>
                <w:highlight w:val="none"/>
              </w:rPr>
            </w:pPr>
            <w:r>
              <w:rPr>
                <w:b/>
                <w:bCs/>
                <w:color w:val="auto"/>
                <w:kern w:val="2"/>
                <w:sz w:val="24"/>
                <w:szCs w:val="24"/>
                <w:highlight w:val="none"/>
              </w:rPr>
              <w:t>建设单位联系人</w:t>
            </w:r>
          </w:p>
        </w:tc>
        <w:tc>
          <w:tcPr>
            <w:tcW w:w="1615" w:type="pct"/>
            <w:gridSpan w:val="2"/>
            <w:vAlign w:val="center"/>
          </w:tcPr>
          <w:p w14:paraId="61B7A76D">
            <w:pPr>
              <w:pStyle w:val="64"/>
              <w:spacing w:line="276" w:lineRule="auto"/>
              <w:rPr>
                <w:color w:val="auto"/>
                <w:kern w:val="2"/>
                <w:sz w:val="24"/>
                <w:szCs w:val="24"/>
                <w:highlight w:val="none"/>
              </w:rPr>
            </w:pPr>
          </w:p>
        </w:tc>
        <w:tc>
          <w:tcPr>
            <w:tcW w:w="1245" w:type="pct"/>
            <w:gridSpan w:val="2"/>
            <w:vAlign w:val="center"/>
          </w:tcPr>
          <w:p w14:paraId="3EF5670B">
            <w:pPr>
              <w:pStyle w:val="64"/>
              <w:spacing w:line="276" w:lineRule="auto"/>
              <w:rPr>
                <w:color w:val="auto"/>
                <w:kern w:val="2"/>
                <w:sz w:val="24"/>
                <w:szCs w:val="24"/>
                <w:highlight w:val="none"/>
              </w:rPr>
            </w:pPr>
            <w:r>
              <w:rPr>
                <w:b/>
                <w:bCs/>
                <w:color w:val="auto"/>
                <w:kern w:val="2"/>
                <w:sz w:val="24"/>
                <w:szCs w:val="24"/>
                <w:highlight w:val="none"/>
              </w:rPr>
              <w:t>联系方式</w:t>
            </w:r>
          </w:p>
        </w:tc>
        <w:tc>
          <w:tcPr>
            <w:tcW w:w="1273" w:type="pct"/>
            <w:vAlign w:val="center"/>
          </w:tcPr>
          <w:p w14:paraId="41630EFE">
            <w:pPr>
              <w:pStyle w:val="64"/>
              <w:spacing w:line="276" w:lineRule="auto"/>
              <w:rPr>
                <w:color w:val="auto"/>
                <w:kern w:val="2"/>
                <w:sz w:val="24"/>
                <w:szCs w:val="24"/>
                <w:highlight w:val="none"/>
              </w:rPr>
            </w:pPr>
          </w:p>
        </w:tc>
      </w:tr>
      <w:tr w14:paraId="37DC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 w:type="pct"/>
            <w:gridSpan w:val="2"/>
            <w:vAlign w:val="center"/>
          </w:tcPr>
          <w:p w14:paraId="3A6CBD6D">
            <w:pPr>
              <w:pStyle w:val="64"/>
              <w:spacing w:line="276" w:lineRule="auto"/>
              <w:rPr>
                <w:b/>
                <w:bCs/>
                <w:color w:val="auto"/>
                <w:kern w:val="2"/>
                <w:sz w:val="24"/>
                <w:szCs w:val="24"/>
                <w:highlight w:val="none"/>
              </w:rPr>
            </w:pPr>
            <w:r>
              <w:rPr>
                <w:b/>
                <w:bCs/>
                <w:color w:val="auto"/>
                <w:kern w:val="2"/>
                <w:sz w:val="24"/>
                <w:szCs w:val="24"/>
                <w:highlight w:val="none"/>
              </w:rPr>
              <w:t>建设地点</w:t>
            </w:r>
          </w:p>
        </w:tc>
        <w:tc>
          <w:tcPr>
            <w:tcW w:w="4133" w:type="pct"/>
            <w:gridSpan w:val="5"/>
            <w:vAlign w:val="center"/>
          </w:tcPr>
          <w:p w14:paraId="1A31A17C">
            <w:pPr>
              <w:widowControl/>
              <w:spacing w:line="276" w:lineRule="auto"/>
              <w:jc w:val="center"/>
              <w:rPr>
                <w:color w:val="auto"/>
                <w:highlight w:val="none"/>
              </w:rPr>
            </w:pPr>
            <w:r>
              <w:rPr>
                <w:rFonts w:hint="eastAsia"/>
                <w:color w:val="auto"/>
                <w:highlight w:val="none"/>
              </w:rPr>
              <w:t>韶关市乐昌市乐昌产业转移工业园GL-02-04-02-03地块</w:t>
            </w:r>
          </w:p>
        </w:tc>
      </w:tr>
      <w:tr w14:paraId="2F64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 w:type="pct"/>
            <w:gridSpan w:val="2"/>
            <w:vAlign w:val="center"/>
          </w:tcPr>
          <w:p w14:paraId="7FAF436F">
            <w:pPr>
              <w:pStyle w:val="64"/>
              <w:spacing w:line="276" w:lineRule="auto"/>
              <w:rPr>
                <w:b/>
                <w:bCs/>
                <w:color w:val="auto"/>
                <w:kern w:val="2"/>
                <w:sz w:val="24"/>
                <w:szCs w:val="24"/>
                <w:highlight w:val="none"/>
              </w:rPr>
            </w:pPr>
            <w:r>
              <w:rPr>
                <w:b/>
                <w:bCs/>
                <w:color w:val="auto"/>
                <w:kern w:val="2"/>
                <w:sz w:val="24"/>
                <w:szCs w:val="24"/>
                <w:highlight w:val="none"/>
              </w:rPr>
              <w:t>地理坐标</w:t>
            </w:r>
          </w:p>
        </w:tc>
        <w:tc>
          <w:tcPr>
            <w:tcW w:w="4133" w:type="pct"/>
            <w:gridSpan w:val="5"/>
            <w:vAlign w:val="center"/>
          </w:tcPr>
          <w:p w14:paraId="75FE5780">
            <w:pPr>
              <w:pStyle w:val="64"/>
              <w:spacing w:line="276" w:lineRule="auto"/>
              <w:rPr>
                <w:color w:val="auto"/>
                <w:kern w:val="2"/>
                <w:sz w:val="24"/>
                <w:highlight w:val="none"/>
              </w:rPr>
            </w:pPr>
            <w:r>
              <w:rPr>
                <w:rFonts w:hint="eastAsia"/>
                <w:color w:val="auto"/>
                <w:kern w:val="2"/>
                <w:sz w:val="24"/>
                <w:highlight w:val="none"/>
              </w:rPr>
              <w:t>E113°24′30.358″,N5°9′15.495″</w:t>
            </w:r>
          </w:p>
        </w:tc>
      </w:tr>
      <w:tr w14:paraId="0CBF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866" w:type="pct"/>
            <w:gridSpan w:val="2"/>
            <w:vAlign w:val="center"/>
          </w:tcPr>
          <w:p w14:paraId="672DACAA">
            <w:pPr>
              <w:pStyle w:val="64"/>
              <w:spacing w:line="276" w:lineRule="auto"/>
              <w:rPr>
                <w:b/>
                <w:bCs/>
                <w:color w:val="auto"/>
                <w:kern w:val="2"/>
                <w:sz w:val="24"/>
                <w:szCs w:val="24"/>
                <w:highlight w:val="none"/>
              </w:rPr>
            </w:pPr>
            <w:r>
              <w:rPr>
                <w:b/>
                <w:bCs/>
                <w:color w:val="auto"/>
                <w:kern w:val="2"/>
                <w:sz w:val="24"/>
                <w:szCs w:val="24"/>
                <w:highlight w:val="none"/>
              </w:rPr>
              <w:t>国民经济</w:t>
            </w:r>
          </w:p>
          <w:p w14:paraId="4D705BC3">
            <w:pPr>
              <w:pStyle w:val="64"/>
              <w:spacing w:line="276" w:lineRule="auto"/>
              <w:rPr>
                <w:b/>
                <w:bCs/>
                <w:color w:val="auto"/>
                <w:kern w:val="2"/>
                <w:sz w:val="24"/>
                <w:szCs w:val="24"/>
                <w:highlight w:val="none"/>
              </w:rPr>
            </w:pPr>
            <w:r>
              <w:rPr>
                <w:b/>
                <w:bCs/>
                <w:color w:val="auto"/>
                <w:kern w:val="2"/>
                <w:sz w:val="24"/>
                <w:szCs w:val="24"/>
                <w:highlight w:val="none"/>
              </w:rPr>
              <w:t>行业类别</w:t>
            </w:r>
          </w:p>
        </w:tc>
        <w:tc>
          <w:tcPr>
            <w:tcW w:w="1318" w:type="pct"/>
            <w:vAlign w:val="center"/>
          </w:tcPr>
          <w:p w14:paraId="76B91B59">
            <w:pPr>
              <w:pStyle w:val="64"/>
              <w:spacing w:line="276" w:lineRule="auto"/>
              <w:rPr>
                <w:color w:val="auto"/>
                <w:kern w:val="2"/>
                <w:sz w:val="24"/>
                <w:szCs w:val="24"/>
                <w:highlight w:val="none"/>
              </w:rPr>
            </w:pPr>
            <w:r>
              <w:rPr>
                <w:rFonts w:hint="eastAsia"/>
                <w:color w:val="auto"/>
                <w:kern w:val="2"/>
                <w:sz w:val="24"/>
                <w:szCs w:val="24"/>
                <w:highlight w:val="none"/>
              </w:rPr>
              <w:t>C4220 非金属废料和碎屑加工处理</w:t>
            </w:r>
          </w:p>
        </w:tc>
        <w:tc>
          <w:tcPr>
            <w:tcW w:w="972" w:type="pct"/>
            <w:gridSpan w:val="2"/>
            <w:vAlign w:val="center"/>
          </w:tcPr>
          <w:p w14:paraId="539CBF8E">
            <w:pPr>
              <w:pStyle w:val="64"/>
              <w:spacing w:line="276" w:lineRule="auto"/>
              <w:rPr>
                <w:b/>
                <w:bCs/>
                <w:color w:val="auto"/>
                <w:kern w:val="2"/>
                <w:sz w:val="24"/>
                <w:szCs w:val="24"/>
                <w:highlight w:val="none"/>
              </w:rPr>
            </w:pPr>
            <w:r>
              <w:rPr>
                <w:b/>
                <w:bCs/>
                <w:color w:val="auto"/>
                <w:kern w:val="2"/>
                <w:sz w:val="24"/>
                <w:szCs w:val="24"/>
                <w:highlight w:val="none"/>
              </w:rPr>
              <w:t>建设项目</w:t>
            </w:r>
          </w:p>
          <w:p w14:paraId="36AADFBB">
            <w:pPr>
              <w:pStyle w:val="64"/>
              <w:spacing w:line="276" w:lineRule="auto"/>
              <w:rPr>
                <w:b/>
                <w:bCs/>
                <w:color w:val="auto"/>
                <w:kern w:val="2"/>
                <w:sz w:val="24"/>
                <w:szCs w:val="24"/>
                <w:highlight w:val="none"/>
              </w:rPr>
            </w:pPr>
            <w:r>
              <w:rPr>
                <w:b/>
                <w:bCs/>
                <w:color w:val="auto"/>
                <w:kern w:val="2"/>
                <w:sz w:val="24"/>
                <w:szCs w:val="24"/>
                <w:highlight w:val="none"/>
              </w:rPr>
              <w:t>行业类别</w:t>
            </w:r>
          </w:p>
        </w:tc>
        <w:tc>
          <w:tcPr>
            <w:tcW w:w="1843" w:type="pct"/>
            <w:gridSpan w:val="2"/>
            <w:vAlign w:val="center"/>
          </w:tcPr>
          <w:p w14:paraId="2FCB3210">
            <w:pPr>
              <w:pStyle w:val="64"/>
              <w:spacing w:line="276" w:lineRule="auto"/>
              <w:rPr>
                <w:color w:val="auto"/>
                <w:kern w:val="2"/>
                <w:sz w:val="24"/>
                <w:szCs w:val="24"/>
                <w:highlight w:val="none"/>
              </w:rPr>
            </w:pPr>
            <w:r>
              <w:rPr>
                <w:rFonts w:hint="eastAsia"/>
                <w:color w:val="auto"/>
                <w:kern w:val="2"/>
                <w:sz w:val="24"/>
                <w:szCs w:val="24"/>
                <w:highlight w:val="none"/>
              </w:rPr>
              <w:t>三十九、废弃资源综合利用业42—85非金属废料和碎屑加工处理422</w:t>
            </w:r>
          </w:p>
        </w:tc>
      </w:tr>
      <w:tr w14:paraId="2497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866" w:type="pct"/>
            <w:gridSpan w:val="2"/>
            <w:vAlign w:val="center"/>
          </w:tcPr>
          <w:p w14:paraId="3E1F7253">
            <w:pPr>
              <w:pStyle w:val="64"/>
              <w:spacing w:line="276" w:lineRule="auto"/>
              <w:rPr>
                <w:b/>
                <w:bCs/>
                <w:color w:val="auto"/>
                <w:kern w:val="2"/>
                <w:sz w:val="24"/>
                <w:szCs w:val="24"/>
                <w:highlight w:val="none"/>
              </w:rPr>
            </w:pPr>
            <w:r>
              <w:rPr>
                <w:b/>
                <w:bCs/>
                <w:color w:val="auto"/>
                <w:kern w:val="2"/>
                <w:sz w:val="24"/>
                <w:szCs w:val="24"/>
                <w:highlight w:val="none"/>
              </w:rPr>
              <w:t>建设性质</w:t>
            </w:r>
          </w:p>
        </w:tc>
        <w:tc>
          <w:tcPr>
            <w:tcW w:w="1318" w:type="pct"/>
            <w:vAlign w:val="center"/>
          </w:tcPr>
          <w:p w14:paraId="02F94360">
            <w:pPr>
              <w:spacing w:line="276" w:lineRule="auto"/>
              <w:jc w:val="left"/>
              <w:rPr>
                <w:color w:val="auto"/>
                <w:highlight w:val="none"/>
              </w:rPr>
            </w:pPr>
            <w:r>
              <w:rPr>
                <w:color w:val="auto"/>
                <w:highlight w:val="none"/>
              </w:rPr>
              <w:sym w:font="Wingdings" w:char="00FE"/>
            </w:r>
            <w:r>
              <w:rPr>
                <w:color w:val="auto"/>
                <w:highlight w:val="none"/>
              </w:rPr>
              <w:t>新建（迁建）</w:t>
            </w:r>
          </w:p>
          <w:p w14:paraId="0E8DB499">
            <w:pPr>
              <w:spacing w:line="276" w:lineRule="auto"/>
              <w:jc w:val="left"/>
              <w:rPr>
                <w:color w:val="auto"/>
                <w:highlight w:val="none"/>
              </w:rPr>
            </w:pPr>
            <w:r>
              <w:rPr>
                <w:color w:val="auto"/>
                <w:highlight w:val="none"/>
              </w:rPr>
              <w:sym w:font="Wingdings" w:char="00A8"/>
            </w:r>
            <w:r>
              <w:rPr>
                <w:color w:val="auto"/>
                <w:highlight w:val="none"/>
              </w:rPr>
              <w:t>改建</w:t>
            </w:r>
          </w:p>
          <w:p w14:paraId="0465F45D">
            <w:pPr>
              <w:spacing w:line="276" w:lineRule="auto"/>
              <w:jc w:val="left"/>
              <w:rPr>
                <w:color w:val="auto"/>
                <w:highlight w:val="none"/>
              </w:rPr>
            </w:pPr>
            <w:r>
              <w:rPr>
                <w:color w:val="auto"/>
                <w:highlight w:val="none"/>
              </w:rPr>
              <w:sym w:font="Wingdings" w:char="00A8"/>
            </w:r>
            <w:r>
              <w:rPr>
                <w:color w:val="auto"/>
                <w:highlight w:val="none"/>
              </w:rPr>
              <w:t>扩建</w:t>
            </w:r>
          </w:p>
          <w:p w14:paraId="60E457A9">
            <w:pPr>
              <w:spacing w:line="276" w:lineRule="auto"/>
              <w:jc w:val="left"/>
              <w:rPr>
                <w:color w:val="auto"/>
                <w:highlight w:val="none"/>
              </w:rPr>
            </w:pPr>
            <w:r>
              <w:rPr>
                <w:color w:val="auto"/>
                <w:highlight w:val="none"/>
              </w:rPr>
              <w:sym w:font="Wingdings" w:char="00A8"/>
            </w:r>
            <w:r>
              <w:rPr>
                <w:color w:val="auto"/>
                <w:highlight w:val="none"/>
              </w:rPr>
              <w:t>技术改造</w:t>
            </w:r>
          </w:p>
        </w:tc>
        <w:tc>
          <w:tcPr>
            <w:tcW w:w="972" w:type="pct"/>
            <w:gridSpan w:val="2"/>
            <w:vAlign w:val="center"/>
          </w:tcPr>
          <w:p w14:paraId="7B22E4B2">
            <w:pPr>
              <w:pStyle w:val="64"/>
              <w:spacing w:line="276" w:lineRule="auto"/>
              <w:rPr>
                <w:b/>
                <w:bCs/>
                <w:color w:val="auto"/>
                <w:kern w:val="2"/>
                <w:sz w:val="24"/>
                <w:szCs w:val="24"/>
                <w:highlight w:val="none"/>
              </w:rPr>
            </w:pPr>
            <w:r>
              <w:rPr>
                <w:b/>
                <w:bCs/>
                <w:color w:val="auto"/>
                <w:kern w:val="2"/>
                <w:sz w:val="24"/>
                <w:szCs w:val="24"/>
                <w:highlight w:val="none"/>
              </w:rPr>
              <w:t>建设项目</w:t>
            </w:r>
          </w:p>
          <w:p w14:paraId="69712001">
            <w:pPr>
              <w:pStyle w:val="64"/>
              <w:spacing w:line="276" w:lineRule="auto"/>
              <w:rPr>
                <w:b/>
                <w:bCs/>
                <w:color w:val="auto"/>
                <w:kern w:val="2"/>
                <w:sz w:val="24"/>
                <w:szCs w:val="24"/>
                <w:highlight w:val="none"/>
              </w:rPr>
            </w:pPr>
            <w:r>
              <w:rPr>
                <w:b/>
                <w:bCs/>
                <w:color w:val="auto"/>
                <w:kern w:val="2"/>
                <w:sz w:val="24"/>
                <w:szCs w:val="24"/>
                <w:highlight w:val="none"/>
              </w:rPr>
              <w:t>申报情形</w:t>
            </w:r>
          </w:p>
        </w:tc>
        <w:tc>
          <w:tcPr>
            <w:tcW w:w="1843" w:type="pct"/>
            <w:gridSpan w:val="2"/>
            <w:vAlign w:val="center"/>
          </w:tcPr>
          <w:p w14:paraId="42B77D16">
            <w:pPr>
              <w:spacing w:line="276" w:lineRule="auto"/>
              <w:jc w:val="left"/>
              <w:rPr>
                <w:color w:val="auto"/>
                <w:highlight w:val="none"/>
              </w:rPr>
            </w:pPr>
            <w:r>
              <w:rPr>
                <w:color w:val="auto"/>
                <w:highlight w:val="none"/>
              </w:rPr>
              <w:sym w:font="Wingdings" w:char="00A8"/>
            </w:r>
            <w:r>
              <w:rPr>
                <w:color w:val="auto"/>
                <w:highlight w:val="none"/>
              </w:rPr>
              <w:t>首次申报项目</w:t>
            </w:r>
          </w:p>
          <w:p w14:paraId="1EA1B26A">
            <w:pPr>
              <w:spacing w:line="276" w:lineRule="auto"/>
              <w:jc w:val="left"/>
              <w:rPr>
                <w:color w:val="auto"/>
                <w:highlight w:val="none"/>
              </w:rPr>
            </w:pPr>
            <w:r>
              <w:rPr>
                <w:color w:val="auto"/>
                <w:highlight w:val="none"/>
              </w:rPr>
              <w:sym w:font="Wingdings" w:char="00A8"/>
            </w:r>
            <w:r>
              <w:rPr>
                <w:color w:val="auto"/>
                <w:highlight w:val="none"/>
              </w:rPr>
              <w:t>不予批准后再次申报项目</w:t>
            </w:r>
          </w:p>
          <w:p w14:paraId="5FFDAF61">
            <w:pPr>
              <w:spacing w:line="276" w:lineRule="auto"/>
              <w:jc w:val="left"/>
              <w:rPr>
                <w:color w:val="auto"/>
                <w:highlight w:val="none"/>
              </w:rPr>
            </w:pPr>
            <w:r>
              <w:rPr>
                <w:color w:val="auto"/>
                <w:highlight w:val="none"/>
              </w:rPr>
              <w:sym w:font="Wingdings" w:char="00A8"/>
            </w:r>
            <w:r>
              <w:rPr>
                <w:color w:val="auto"/>
                <w:highlight w:val="none"/>
              </w:rPr>
              <w:t>超五年重新审核项目</w:t>
            </w:r>
          </w:p>
          <w:p w14:paraId="0CA978F1">
            <w:pPr>
              <w:spacing w:line="276" w:lineRule="auto"/>
              <w:jc w:val="left"/>
              <w:rPr>
                <w:color w:val="auto"/>
                <w:highlight w:val="none"/>
              </w:rPr>
            </w:pPr>
            <w:r>
              <w:rPr>
                <w:color w:val="auto"/>
                <w:highlight w:val="none"/>
              </w:rPr>
              <w:sym w:font="Wingdings" w:char="00FE"/>
            </w:r>
            <w:r>
              <w:rPr>
                <w:color w:val="auto"/>
                <w:highlight w:val="none"/>
              </w:rPr>
              <w:t>重大变动重新报批项目</w:t>
            </w:r>
          </w:p>
        </w:tc>
      </w:tr>
      <w:tr w14:paraId="5093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866" w:type="pct"/>
            <w:gridSpan w:val="2"/>
            <w:vAlign w:val="center"/>
          </w:tcPr>
          <w:p w14:paraId="3524188D">
            <w:pPr>
              <w:pStyle w:val="64"/>
              <w:spacing w:line="276" w:lineRule="auto"/>
              <w:rPr>
                <w:b/>
                <w:bCs/>
                <w:color w:val="auto"/>
                <w:kern w:val="2"/>
                <w:sz w:val="24"/>
                <w:szCs w:val="24"/>
                <w:highlight w:val="none"/>
              </w:rPr>
            </w:pPr>
            <w:r>
              <w:rPr>
                <w:b/>
                <w:bCs/>
                <w:color w:val="auto"/>
                <w:kern w:val="2"/>
                <w:sz w:val="24"/>
                <w:szCs w:val="24"/>
                <w:highlight w:val="none"/>
              </w:rPr>
              <w:t>项目审批（核准/备案）部门（选填）</w:t>
            </w:r>
          </w:p>
        </w:tc>
        <w:tc>
          <w:tcPr>
            <w:tcW w:w="1318" w:type="pct"/>
            <w:vAlign w:val="center"/>
          </w:tcPr>
          <w:p w14:paraId="0411FBB1">
            <w:pPr>
              <w:pStyle w:val="64"/>
              <w:spacing w:line="276" w:lineRule="auto"/>
              <w:rPr>
                <w:color w:val="auto"/>
                <w:kern w:val="2"/>
                <w:sz w:val="24"/>
                <w:szCs w:val="24"/>
                <w:highlight w:val="none"/>
              </w:rPr>
            </w:pPr>
            <w:r>
              <w:rPr>
                <w:color w:val="auto"/>
                <w:kern w:val="2"/>
                <w:sz w:val="24"/>
                <w:szCs w:val="24"/>
                <w:highlight w:val="none"/>
              </w:rPr>
              <w:t>/</w:t>
            </w:r>
          </w:p>
        </w:tc>
        <w:tc>
          <w:tcPr>
            <w:tcW w:w="972" w:type="pct"/>
            <w:gridSpan w:val="2"/>
            <w:vAlign w:val="center"/>
          </w:tcPr>
          <w:p w14:paraId="10B9768A">
            <w:pPr>
              <w:pStyle w:val="64"/>
              <w:spacing w:line="276" w:lineRule="auto"/>
              <w:rPr>
                <w:b/>
                <w:bCs/>
                <w:color w:val="auto"/>
                <w:kern w:val="2"/>
                <w:sz w:val="24"/>
                <w:szCs w:val="24"/>
                <w:highlight w:val="none"/>
              </w:rPr>
            </w:pPr>
            <w:r>
              <w:rPr>
                <w:b/>
                <w:bCs/>
                <w:color w:val="auto"/>
                <w:kern w:val="2"/>
                <w:sz w:val="24"/>
                <w:szCs w:val="24"/>
                <w:highlight w:val="none"/>
              </w:rPr>
              <w:t>项目审批（核准/备案）文号（选填）</w:t>
            </w:r>
          </w:p>
        </w:tc>
        <w:tc>
          <w:tcPr>
            <w:tcW w:w="1843" w:type="pct"/>
            <w:gridSpan w:val="2"/>
            <w:vAlign w:val="center"/>
          </w:tcPr>
          <w:p w14:paraId="3C3812B7">
            <w:pPr>
              <w:pStyle w:val="64"/>
              <w:spacing w:line="276" w:lineRule="auto"/>
              <w:rPr>
                <w:color w:val="auto"/>
                <w:kern w:val="2"/>
                <w:sz w:val="24"/>
                <w:szCs w:val="24"/>
                <w:highlight w:val="none"/>
              </w:rPr>
            </w:pPr>
            <w:r>
              <w:rPr>
                <w:color w:val="auto"/>
                <w:kern w:val="2"/>
                <w:sz w:val="24"/>
                <w:szCs w:val="24"/>
                <w:highlight w:val="none"/>
              </w:rPr>
              <w:t>/</w:t>
            </w:r>
          </w:p>
        </w:tc>
      </w:tr>
      <w:tr w14:paraId="6C4C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66" w:type="pct"/>
            <w:gridSpan w:val="2"/>
            <w:vAlign w:val="center"/>
          </w:tcPr>
          <w:p w14:paraId="3323DCC4">
            <w:pPr>
              <w:pStyle w:val="64"/>
              <w:spacing w:line="276" w:lineRule="auto"/>
              <w:rPr>
                <w:b/>
                <w:bCs/>
                <w:color w:val="auto"/>
                <w:kern w:val="2"/>
                <w:sz w:val="24"/>
                <w:szCs w:val="24"/>
                <w:highlight w:val="none"/>
              </w:rPr>
            </w:pPr>
            <w:r>
              <w:rPr>
                <w:b/>
                <w:bCs/>
                <w:color w:val="auto"/>
                <w:kern w:val="2"/>
                <w:sz w:val="24"/>
                <w:szCs w:val="24"/>
                <w:highlight w:val="none"/>
              </w:rPr>
              <w:t>总投资（万元）</w:t>
            </w:r>
          </w:p>
        </w:tc>
        <w:tc>
          <w:tcPr>
            <w:tcW w:w="1318" w:type="pct"/>
            <w:vAlign w:val="center"/>
          </w:tcPr>
          <w:p w14:paraId="2F25A3AE">
            <w:pPr>
              <w:pStyle w:val="64"/>
              <w:spacing w:line="276" w:lineRule="auto"/>
              <w:rPr>
                <w:color w:val="auto"/>
                <w:kern w:val="2"/>
                <w:sz w:val="24"/>
                <w:szCs w:val="24"/>
                <w:highlight w:val="none"/>
              </w:rPr>
            </w:pPr>
            <w:r>
              <w:rPr>
                <w:rFonts w:hint="eastAsia"/>
                <w:color w:val="auto"/>
                <w:kern w:val="2"/>
                <w:sz w:val="24"/>
                <w:szCs w:val="24"/>
                <w:highlight w:val="none"/>
              </w:rPr>
              <w:t>15000</w:t>
            </w:r>
          </w:p>
        </w:tc>
        <w:tc>
          <w:tcPr>
            <w:tcW w:w="972" w:type="pct"/>
            <w:gridSpan w:val="2"/>
            <w:vAlign w:val="center"/>
          </w:tcPr>
          <w:p w14:paraId="50BF0B80">
            <w:pPr>
              <w:pStyle w:val="64"/>
              <w:spacing w:line="276" w:lineRule="auto"/>
              <w:rPr>
                <w:b/>
                <w:bCs/>
                <w:color w:val="auto"/>
                <w:kern w:val="2"/>
                <w:sz w:val="24"/>
                <w:szCs w:val="24"/>
                <w:highlight w:val="none"/>
              </w:rPr>
            </w:pPr>
            <w:r>
              <w:rPr>
                <w:b/>
                <w:bCs/>
                <w:color w:val="auto"/>
                <w:kern w:val="2"/>
                <w:sz w:val="24"/>
                <w:szCs w:val="24"/>
                <w:highlight w:val="none"/>
              </w:rPr>
              <w:t>环保投资</w:t>
            </w:r>
          </w:p>
          <w:p w14:paraId="74CD85F8">
            <w:pPr>
              <w:pStyle w:val="64"/>
              <w:spacing w:line="276" w:lineRule="auto"/>
              <w:rPr>
                <w:b/>
                <w:bCs/>
                <w:color w:val="auto"/>
                <w:kern w:val="2"/>
                <w:sz w:val="24"/>
                <w:szCs w:val="24"/>
                <w:highlight w:val="none"/>
              </w:rPr>
            </w:pPr>
            <w:r>
              <w:rPr>
                <w:b/>
                <w:bCs/>
                <w:color w:val="auto"/>
                <w:kern w:val="2"/>
                <w:sz w:val="24"/>
                <w:szCs w:val="24"/>
                <w:highlight w:val="none"/>
              </w:rPr>
              <w:t>（万元）</w:t>
            </w:r>
          </w:p>
        </w:tc>
        <w:tc>
          <w:tcPr>
            <w:tcW w:w="1843" w:type="pct"/>
            <w:gridSpan w:val="2"/>
            <w:vAlign w:val="center"/>
          </w:tcPr>
          <w:p w14:paraId="439DAA90">
            <w:pPr>
              <w:pStyle w:val="64"/>
              <w:spacing w:line="276" w:lineRule="auto"/>
              <w:rPr>
                <w:color w:val="auto"/>
                <w:kern w:val="2"/>
                <w:sz w:val="24"/>
                <w:szCs w:val="24"/>
                <w:highlight w:val="none"/>
              </w:rPr>
            </w:pPr>
            <w:r>
              <w:rPr>
                <w:rFonts w:hint="eastAsia"/>
                <w:color w:val="auto"/>
                <w:kern w:val="2"/>
                <w:sz w:val="24"/>
                <w:szCs w:val="24"/>
                <w:highlight w:val="none"/>
                <w:lang w:val="en-US" w:eastAsia="zh-CN"/>
              </w:rPr>
              <w:t>2</w:t>
            </w:r>
            <w:r>
              <w:rPr>
                <w:color w:val="auto"/>
                <w:kern w:val="2"/>
                <w:sz w:val="24"/>
                <w:szCs w:val="24"/>
                <w:highlight w:val="none"/>
              </w:rPr>
              <w:t>00</w:t>
            </w:r>
          </w:p>
        </w:tc>
      </w:tr>
      <w:tr w14:paraId="7ECA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866" w:type="pct"/>
            <w:gridSpan w:val="2"/>
            <w:vAlign w:val="center"/>
          </w:tcPr>
          <w:p w14:paraId="4BB240C8">
            <w:pPr>
              <w:pStyle w:val="64"/>
              <w:spacing w:line="276" w:lineRule="auto"/>
              <w:rPr>
                <w:b/>
                <w:bCs/>
                <w:color w:val="auto"/>
                <w:kern w:val="2"/>
                <w:sz w:val="24"/>
                <w:szCs w:val="24"/>
                <w:highlight w:val="none"/>
              </w:rPr>
            </w:pPr>
            <w:r>
              <w:rPr>
                <w:b/>
                <w:bCs/>
                <w:color w:val="auto"/>
                <w:kern w:val="2"/>
                <w:sz w:val="24"/>
                <w:szCs w:val="24"/>
                <w:highlight w:val="none"/>
              </w:rPr>
              <w:t>环保投资占比（%）</w:t>
            </w:r>
          </w:p>
        </w:tc>
        <w:tc>
          <w:tcPr>
            <w:tcW w:w="1318" w:type="pct"/>
            <w:vAlign w:val="center"/>
          </w:tcPr>
          <w:p w14:paraId="20A0D726">
            <w:pPr>
              <w:pStyle w:val="64"/>
              <w:spacing w:line="276" w:lineRule="auto"/>
              <w:rPr>
                <w:color w:val="auto"/>
                <w:kern w:val="2"/>
                <w:sz w:val="24"/>
                <w:szCs w:val="24"/>
                <w:highlight w:val="none"/>
              </w:rPr>
            </w:pPr>
            <w:r>
              <w:rPr>
                <w:rFonts w:hint="eastAsia"/>
                <w:color w:val="auto"/>
                <w:kern w:val="2"/>
                <w:sz w:val="24"/>
                <w:szCs w:val="24"/>
                <w:highlight w:val="none"/>
              </w:rPr>
              <w:t>0.67</w:t>
            </w:r>
          </w:p>
        </w:tc>
        <w:tc>
          <w:tcPr>
            <w:tcW w:w="972" w:type="pct"/>
            <w:gridSpan w:val="2"/>
            <w:vAlign w:val="center"/>
          </w:tcPr>
          <w:p w14:paraId="4EB65556">
            <w:pPr>
              <w:pStyle w:val="64"/>
              <w:spacing w:line="276" w:lineRule="auto"/>
              <w:rPr>
                <w:b/>
                <w:bCs/>
                <w:color w:val="auto"/>
                <w:kern w:val="2"/>
                <w:sz w:val="24"/>
                <w:szCs w:val="24"/>
                <w:highlight w:val="none"/>
              </w:rPr>
            </w:pPr>
            <w:r>
              <w:rPr>
                <w:b/>
                <w:bCs/>
                <w:color w:val="auto"/>
                <w:kern w:val="2"/>
                <w:sz w:val="24"/>
                <w:szCs w:val="24"/>
                <w:highlight w:val="none"/>
              </w:rPr>
              <w:t>施工工期</w:t>
            </w:r>
          </w:p>
        </w:tc>
        <w:tc>
          <w:tcPr>
            <w:tcW w:w="1843" w:type="pct"/>
            <w:gridSpan w:val="2"/>
            <w:vAlign w:val="center"/>
          </w:tcPr>
          <w:p w14:paraId="327D4AC8">
            <w:pPr>
              <w:pStyle w:val="64"/>
              <w:spacing w:line="276" w:lineRule="auto"/>
              <w:rPr>
                <w:color w:val="auto"/>
                <w:kern w:val="2"/>
                <w:sz w:val="24"/>
                <w:szCs w:val="24"/>
                <w:highlight w:val="none"/>
              </w:rPr>
            </w:pPr>
            <w:r>
              <w:rPr>
                <w:rFonts w:hint="eastAsia"/>
                <w:color w:val="auto"/>
                <w:kern w:val="2"/>
                <w:sz w:val="24"/>
                <w:szCs w:val="24"/>
                <w:highlight w:val="none"/>
              </w:rPr>
              <w:t>4</w:t>
            </w:r>
            <w:r>
              <w:rPr>
                <w:color w:val="auto"/>
                <w:kern w:val="2"/>
                <w:sz w:val="24"/>
                <w:szCs w:val="24"/>
                <w:highlight w:val="none"/>
              </w:rPr>
              <w:t>个月</w:t>
            </w:r>
          </w:p>
        </w:tc>
      </w:tr>
      <w:tr w14:paraId="7AB3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66" w:type="pct"/>
            <w:gridSpan w:val="2"/>
            <w:vAlign w:val="center"/>
          </w:tcPr>
          <w:p w14:paraId="61F60D69">
            <w:pPr>
              <w:pStyle w:val="64"/>
              <w:spacing w:line="276" w:lineRule="auto"/>
              <w:rPr>
                <w:b/>
                <w:bCs/>
                <w:color w:val="auto"/>
                <w:kern w:val="2"/>
                <w:sz w:val="24"/>
                <w:szCs w:val="24"/>
                <w:highlight w:val="none"/>
              </w:rPr>
            </w:pPr>
            <w:r>
              <w:rPr>
                <w:b/>
                <w:bCs/>
                <w:color w:val="auto"/>
                <w:kern w:val="2"/>
                <w:sz w:val="24"/>
                <w:szCs w:val="24"/>
                <w:highlight w:val="none"/>
              </w:rPr>
              <w:t>是否开工建设</w:t>
            </w:r>
          </w:p>
        </w:tc>
        <w:tc>
          <w:tcPr>
            <w:tcW w:w="1318" w:type="pct"/>
            <w:vAlign w:val="center"/>
          </w:tcPr>
          <w:p w14:paraId="410FC249">
            <w:pPr>
              <w:spacing w:line="276" w:lineRule="auto"/>
              <w:jc w:val="left"/>
              <w:rPr>
                <w:color w:val="auto"/>
                <w:highlight w:val="none"/>
              </w:rPr>
            </w:pPr>
            <w:r>
              <w:rPr>
                <w:color w:val="auto"/>
                <w:highlight w:val="none"/>
              </w:rPr>
              <w:sym w:font="Wingdings" w:char="00A8"/>
            </w:r>
            <w:r>
              <w:rPr>
                <w:color w:val="auto"/>
                <w:highlight w:val="none"/>
              </w:rPr>
              <w:t>否</w:t>
            </w:r>
          </w:p>
          <w:p w14:paraId="277AB2BB">
            <w:pPr>
              <w:spacing w:line="276" w:lineRule="auto"/>
              <w:jc w:val="left"/>
              <w:rPr>
                <w:color w:val="auto"/>
                <w:highlight w:val="none"/>
                <w:u w:val="single"/>
              </w:rPr>
            </w:pPr>
            <w:r>
              <w:rPr>
                <w:color w:val="auto"/>
                <w:highlight w:val="none"/>
              </w:rPr>
              <w:sym w:font="Wingdings" w:char="00FE"/>
            </w:r>
            <w:r>
              <w:rPr>
                <w:color w:val="auto"/>
                <w:highlight w:val="none"/>
              </w:rPr>
              <w:t>是：</w:t>
            </w:r>
            <w:r>
              <w:rPr>
                <w:rFonts w:hint="eastAsia"/>
                <w:color w:val="auto"/>
                <w:highlight w:val="none"/>
              </w:rPr>
              <w:t>原项目建设过程中存在重大变动，需重新申报</w:t>
            </w:r>
          </w:p>
        </w:tc>
        <w:tc>
          <w:tcPr>
            <w:tcW w:w="972" w:type="pct"/>
            <w:gridSpan w:val="2"/>
            <w:vAlign w:val="center"/>
          </w:tcPr>
          <w:p w14:paraId="47DF8DB5">
            <w:pPr>
              <w:pStyle w:val="64"/>
              <w:spacing w:line="276" w:lineRule="auto"/>
              <w:rPr>
                <w:b/>
                <w:bCs/>
                <w:color w:val="auto"/>
                <w:kern w:val="2"/>
                <w:sz w:val="24"/>
                <w:szCs w:val="24"/>
                <w:highlight w:val="none"/>
              </w:rPr>
            </w:pPr>
            <w:r>
              <w:rPr>
                <w:b/>
                <w:bCs/>
                <w:color w:val="auto"/>
                <w:kern w:val="2"/>
                <w:sz w:val="24"/>
                <w:szCs w:val="24"/>
                <w:highlight w:val="none"/>
              </w:rPr>
              <w:t>用地（用海）面积（m</w:t>
            </w:r>
            <w:r>
              <w:rPr>
                <w:b/>
                <w:bCs/>
                <w:color w:val="auto"/>
                <w:kern w:val="2"/>
                <w:sz w:val="24"/>
                <w:szCs w:val="24"/>
                <w:highlight w:val="none"/>
                <w:vertAlign w:val="superscript"/>
              </w:rPr>
              <w:t>2</w:t>
            </w:r>
            <w:r>
              <w:rPr>
                <w:b/>
                <w:bCs/>
                <w:color w:val="auto"/>
                <w:kern w:val="2"/>
                <w:sz w:val="24"/>
                <w:szCs w:val="24"/>
                <w:highlight w:val="none"/>
              </w:rPr>
              <w:t>）</w:t>
            </w:r>
          </w:p>
        </w:tc>
        <w:tc>
          <w:tcPr>
            <w:tcW w:w="1843" w:type="pct"/>
            <w:gridSpan w:val="2"/>
            <w:vAlign w:val="center"/>
          </w:tcPr>
          <w:p w14:paraId="561928FA">
            <w:pPr>
              <w:pStyle w:val="64"/>
              <w:spacing w:line="276" w:lineRule="auto"/>
              <w:rPr>
                <w:color w:val="auto"/>
                <w:kern w:val="2"/>
                <w:sz w:val="24"/>
                <w:szCs w:val="24"/>
                <w:highlight w:val="none"/>
              </w:rPr>
            </w:pPr>
            <w:r>
              <w:rPr>
                <w:rFonts w:hint="eastAsia"/>
                <w:color w:val="auto"/>
                <w:kern w:val="2"/>
                <w:sz w:val="24"/>
                <w:szCs w:val="24"/>
                <w:highlight w:val="none"/>
              </w:rPr>
              <w:t>37346.12</w:t>
            </w:r>
          </w:p>
        </w:tc>
      </w:tr>
      <w:tr w14:paraId="5020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6" w:type="pct"/>
            <w:gridSpan w:val="2"/>
            <w:vAlign w:val="center"/>
          </w:tcPr>
          <w:p w14:paraId="6251F034">
            <w:pPr>
              <w:pStyle w:val="64"/>
              <w:spacing w:line="276" w:lineRule="auto"/>
              <w:rPr>
                <w:b/>
                <w:bCs/>
                <w:color w:val="auto"/>
                <w:kern w:val="2"/>
                <w:sz w:val="24"/>
                <w:szCs w:val="22"/>
                <w:highlight w:val="none"/>
              </w:rPr>
            </w:pPr>
            <w:r>
              <w:rPr>
                <w:b/>
                <w:bCs/>
                <w:color w:val="auto"/>
                <w:kern w:val="2"/>
                <w:sz w:val="24"/>
                <w:szCs w:val="22"/>
                <w:highlight w:val="none"/>
              </w:rPr>
              <w:t>专项评价设置情况</w:t>
            </w:r>
          </w:p>
        </w:tc>
        <w:tc>
          <w:tcPr>
            <w:tcW w:w="4133" w:type="pct"/>
            <w:gridSpan w:val="5"/>
            <w:vAlign w:val="center"/>
          </w:tcPr>
          <w:p w14:paraId="564A22A0">
            <w:pPr>
              <w:pStyle w:val="107"/>
              <w:spacing w:line="276" w:lineRule="auto"/>
              <w:rPr>
                <w:color w:val="auto"/>
                <w:sz w:val="21"/>
                <w:szCs w:val="21"/>
                <w:highlight w:val="none"/>
              </w:rPr>
            </w:pPr>
            <w:r>
              <w:rPr>
                <w:color w:val="auto"/>
                <w:sz w:val="21"/>
                <w:szCs w:val="21"/>
                <w:highlight w:val="none"/>
              </w:rPr>
              <w:t>项目专项评价设置情况一览表</w:t>
            </w:r>
          </w:p>
          <w:tbl>
            <w:tblPr>
              <w:tblStyle w:val="10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3330"/>
              <w:gridCol w:w="2867"/>
              <w:gridCol w:w="907"/>
            </w:tblGrid>
            <w:tr w14:paraId="3CB4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3C57BA2F">
                  <w:pPr>
                    <w:pStyle w:val="69"/>
                    <w:adjustRightInd/>
                    <w:snapToGrid/>
                    <w:spacing w:line="276"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专项评价</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6A818C86">
                  <w:pPr>
                    <w:pStyle w:val="69"/>
                    <w:adjustRightInd/>
                    <w:snapToGrid/>
                    <w:spacing w:line="276"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设置原则</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567164D8">
                  <w:pPr>
                    <w:pStyle w:val="69"/>
                    <w:adjustRightInd/>
                    <w:snapToGrid/>
                    <w:spacing w:line="276"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本项目情况</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E384F69">
                  <w:pPr>
                    <w:pStyle w:val="69"/>
                    <w:adjustRightInd/>
                    <w:snapToGrid/>
                    <w:spacing w:line="276"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判定结果</w:t>
                  </w:r>
                </w:p>
              </w:tc>
            </w:tr>
            <w:tr w14:paraId="5E1E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73BD557C">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大气</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39ECC5E2">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排放废气含有毒有害污染物、二噁英、苯并芘、氰化物、氯气且厂界外500米范围内有环境空气保护目标的建设项目</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78D4D22B">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本项目排放的</w:t>
                  </w:r>
                  <w:r>
                    <w:rPr>
                      <w:rFonts w:hint="eastAsia" w:ascii="Times New Roman" w:hAnsi="Times New Roman" w:eastAsia="宋体" w:cs="Times New Roman"/>
                      <w:b w:val="0"/>
                      <w:color w:val="auto"/>
                      <w:sz w:val="21"/>
                      <w:szCs w:val="21"/>
                      <w:highlight w:val="none"/>
                    </w:rPr>
                    <w:t>废气</w:t>
                  </w:r>
                  <w:r>
                    <w:rPr>
                      <w:rFonts w:hint="default" w:ascii="Times New Roman" w:hAnsi="Times New Roman" w:eastAsia="宋体" w:cs="Times New Roman"/>
                      <w:b w:val="0"/>
                      <w:color w:val="auto"/>
                      <w:sz w:val="21"/>
                      <w:szCs w:val="21"/>
                      <w:highlight w:val="none"/>
                    </w:rPr>
                    <w:t>不涉及技术指南规定的有毒有害废气污染物</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34761E91">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不需设置</w:t>
                  </w:r>
                </w:p>
              </w:tc>
            </w:tr>
            <w:tr w14:paraId="2AD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68723F73">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地表水</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1531D157">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新增工业废水直排建设项目（槽罐车外送污水处理厂的除外）；新增废水直排的污水集中处理厂</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26C409E6">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eastAsia" w:ascii="Times New Roman" w:cs="Times New Roman"/>
                      <w:b w:val="0"/>
                      <w:color w:val="auto"/>
                      <w:sz w:val="21"/>
                      <w:szCs w:val="21"/>
                      <w:highlight w:val="none"/>
                      <w:lang w:val="en-US" w:eastAsia="zh-CN"/>
                    </w:rPr>
                    <w:t>本项目不涉及废水</w:t>
                  </w:r>
                  <w:r>
                    <w:rPr>
                      <w:rFonts w:hint="default" w:ascii="Times New Roman" w:hAnsi="Times New Roman" w:eastAsia="宋体" w:cs="Times New Roman"/>
                      <w:b w:val="0"/>
                      <w:color w:val="auto"/>
                      <w:sz w:val="21"/>
                      <w:szCs w:val="21"/>
                      <w:highlight w:val="none"/>
                    </w:rPr>
                    <w:t>直排</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062EABA">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不需设置</w:t>
                  </w:r>
                </w:p>
              </w:tc>
            </w:tr>
            <w:tr w14:paraId="276E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368504DA">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环境风险</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0909B9A8">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有毒有害和易燃易爆危险物质存储量超过临界量的建设项目</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4A8CC092">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经分析，本项目危险物质存储量总计未超过临界量</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98621D2">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不需设置</w:t>
                  </w:r>
                </w:p>
              </w:tc>
            </w:tr>
            <w:tr w14:paraId="0CEE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1A7DA9C8">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生态</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7E52EEC5">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取水口下游500米范围内有重要水生生物的自然产卵场、索饵场、越冬场和洄游通道的新增河道取水的污染类建设项目</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428AA078">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本项目不涉及直接从河道取水</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56A1217">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不需设置</w:t>
                  </w:r>
                </w:p>
              </w:tc>
            </w:tr>
            <w:tr w14:paraId="4575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tcBorders>
                    <w:top w:val="single" w:color="auto" w:sz="4" w:space="0"/>
                    <w:left w:val="single" w:color="auto" w:sz="4" w:space="0"/>
                    <w:bottom w:val="single" w:color="auto" w:sz="4" w:space="0"/>
                    <w:right w:val="single" w:color="auto" w:sz="4" w:space="0"/>
                  </w:tcBorders>
                  <w:shd w:val="clear" w:color="auto" w:fill="auto"/>
                  <w:vAlign w:val="center"/>
                </w:tcPr>
                <w:p w14:paraId="103BB1B2">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海洋</w:t>
                  </w:r>
                </w:p>
              </w:tc>
              <w:tc>
                <w:tcPr>
                  <w:tcW w:w="2152" w:type="pct"/>
                  <w:tcBorders>
                    <w:top w:val="single" w:color="auto" w:sz="4" w:space="0"/>
                    <w:left w:val="single" w:color="auto" w:sz="4" w:space="0"/>
                    <w:bottom w:val="single" w:color="auto" w:sz="4" w:space="0"/>
                    <w:right w:val="single" w:color="auto" w:sz="4" w:space="0"/>
                  </w:tcBorders>
                  <w:shd w:val="clear" w:color="auto" w:fill="auto"/>
                  <w:vAlign w:val="center"/>
                </w:tcPr>
                <w:p w14:paraId="048B5093">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直接向海排放污染物的海洋工程建设项目</w:t>
                  </w:r>
                </w:p>
              </w:tc>
              <w:tc>
                <w:tcPr>
                  <w:tcW w:w="1863" w:type="pct"/>
                  <w:tcBorders>
                    <w:top w:val="single" w:color="auto" w:sz="4" w:space="0"/>
                    <w:left w:val="single" w:color="auto" w:sz="4" w:space="0"/>
                    <w:bottom w:val="single" w:color="auto" w:sz="4" w:space="0"/>
                    <w:right w:val="single" w:color="auto" w:sz="4" w:space="0"/>
                  </w:tcBorders>
                  <w:shd w:val="clear" w:color="auto" w:fill="auto"/>
                  <w:vAlign w:val="center"/>
                </w:tcPr>
                <w:p w14:paraId="2A605CCF">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本项目污水排放不涉及海洋</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E979218">
                  <w:pPr>
                    <w:pStyle w:val="69"/>
                    <w:adjustRightInd/>
                    <w:snapToGrid/>
                    <w:spacing w:line="276" w:lineRule="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不需设置</w:t>
                  </w:r>
                </w:p>
              </w:tc>
            </w:tr>
          </w:tbl>
          <w:p w14:paraId="18953F38">
            <w:pPr>
              <w:pStyle w:val="64"/>
              <w:jc w:val="both"/>
              <w:rPr>
                <w:color w:val="auto"/>
                <w:kern w:val="2"/>
                <w:sz w:val="24"/>
                <w:szCs w:val="22"/>
                <w:highlight w:val="none"/>
              </w:rPr>
            </w:pPr>
            <w:r>
              <w:rPr>
                <w:color w:val="auto"/>
                <w:kern w:val="2"/>
                <w:sz w:val="24"/>
                <w:szCs w:val="22"/>
                <w:highlight w:val="none"/>
              </w:rPr>
              <w:t xml:space="preserve"> </w:t>
            </w:r>
          </w:p>
        </w:tc>
      </w:tr>
      <w:tr w14:paraId="2FA3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866" w:type="pct"/>
            <w:gridSpan w:val="2"/>
            <w:vAlign w:val="center"/>
          </w:tcPr>
          <w:p w14:paraId="2981C77D">
            <w:pPr>
              <w:pStyle w:val="64"/>
              <w:spacing w:line="276" w:lineRule="auto"/>
              <w:rPr>
                <w:b/>
                <w:bCs/>
                <w:color w:val="auto"/>
                <w:kern w:val="2"/>
                <w:sz w:val="24"/>
                <w:szCs w:val="22"/>
                <w:highlight w:val="none"/>
              </w:rPr>
            </w:pPr>
            <w:r>
              <w:rPr>
                <w:b/>
                <w:bCs/>
                <w:color w:val="auto"/>
                <w:kern w:val="2"/>
                <w:sz w:val="24"/>
                <w:szCs w:val="22"/>
                <w:highlight w:val="none"/>
              </w:rPr>
              <w:t>规划情况</w:t>
            </w:r>
          </w:p>
        </w:tc>
        <w:tc>
          <w:tcPr>
            <w:tcW w:w="4133" w:type="pct"/>
            <w:gridSpan w:val="5"/>
            <w:vAlign w:val="center"/>
          </w:tcPr>
          <w:p w14:paraId="2D63C052">
            <w:pPr>
              <w:pStyle w:val="64"/>
              <w:rPr>
                <w:color w:val="auto"/>
                <w:kern w:val="2"/>
                <w:sz w:val="24"/>
                <w:szCs w:val="22"/>
                <w:highlight w:val="none"/>
              </w:rPr>
            </w:pPr>
            <w:r>
              <w:rPr>
                <w:color w:val="auto"/>
                <w:spacing w:val="-1"/>
                <w:kern w:val="2"/>
                <w:sz w:val="24"/>
                <w:szCs w:val="24"/>
                <w:highlight w:val="none"/>
              </w:rPr>
              <w:t>《乐昌产业转移工业园城东片区控制性详细规划修编》</w:t>
            </w:r>
          </w:p>
        </w:tc>
      </w:tr>
      <w:tr w14:paraId="7D21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66" w:type="pct"/>
            <w:gridSpan w:val="2"/>
            <w:vAlign w:val="center"/>
          </w:tcPr>
          <w:p w14:paraId="138E6E8F">
            <w:pPr>
              <w:pStyle w:val="64"/>
              <w:spacing w:line="276" w:lineRule="auto"/>
              <w:rPr>
                <w:b/>
                <w:bCs/>
                <w:color w:val="auto"/>
                <w:kern w:val="2"/>
                <w:sz w:val="24"/>
                <w:szCs w:val="22"/>
                <w:highlight w:val="none"/>
              </w:rPr>
            </w:pPr>
            <w:r>
              <w:rPr>
                <w:b/>
                <w:bCs/>
                <w:color w:val="auto"/>
                <w:kern w:val="2"/>
                <w:sz w:val="24"/>
                <w:szCs w:val="22"/>
                <w:highlight w:val="none"/>
              </w:rPr>
              <w:t>规划环境影响评价情况</w:t>
            </w:r>
          </w:p>
        </w:tc>
        <w:tc>
          <w:tcPr>
            <w:tcW w:w="8237" w:type="dxa"/>
            <w:gridSpan w:val="5"/>
            <w:vAlign w:val="center"/>
          </w:tcPr>
          <w:p w14:paraId="51D58C8A">
            <w:pPr>
              <w:pStyle w:val="64"/>
              <w:keepNext w:val="0"/>
              <w:keepLines w:val="0"/>
              <w:pageBreakBefore w:val="0"/>
              <w:kinsoku/>
              <w:wordWrap w:val="0"/>
              <w:overflowPunct/>
              <w:topLinePunct w:val="0"/>
              <w:bidi w:val="0"/>
              <w:adjustRightInd/>
              <w:snapToGrid/>
              <w:spacing w:line="360" w:lineRule="auto"/>
              <w:outlineLvl w:val="9"/>
              <w:rPr>
                <w:color w:val="auto"/>
                <w:kern w:val="2"/>
                <w:sz w:val="24"/>
                <w:szCs w:val="22"/>
                <w:highlight w:val="none"/>
              </w:rPr>
            </w:pPr>
            <w:r>
              <w:rPr>
                <w:rFonts w:hint="default" w:ascii="Times New Roman" w:hAnsi="Times New Roman" w:eastAsia="宋体" w:cs="Times New Roman"/>
                <w:color w:val="auto"/>
                <w:spacing w:val="-1"/>
                <w:sz w:val="24"/>
                <w:szCs w:val="24"/>
                <w:highlight w:val="none"/>
              </w:rPr>
              <w:t>《韶关乐昌经济开发区规划环境影响报告书》，</w:t>
            </w:r>
            <w:r>
              <w:rPr>
                <w:rFonts w:hint="default" w:ascii="Times New Roman" w:hAnsi="Times New Roman" w:eastAsia="宋体" w:cs="Times New Roman"/>
                <w:color w:val="auto"/>
                <w:spacing w:val="-1"/>
                <w:sz w:val="24"/>
                <w:szCs w:val="24"/>
                <w:highlight w:val="none"/>
                <w:lang w:eastAsia="zh-CN"/>
              </w:rPr>
              <w:t>审查单位：</w:t>
            </w:r>
            <w:r>
              <w:rPr>
                <w:rFonts w:hint="default" w:ascii="Times New Roman" w:hAnsi="Times New Roman" w:eastAsia="宋体" w:cs="Times New Roman"/>
                <w:color w:val="auto"/>
                <w:spacing w:val="-1"/>
                <w:sz w:val="24"/>
                <w:szCs w:val="24"/>
                <w:highlight w:val="none"/>
              </w:rPr>
              <w:t>广东省</w:t>
            </w:r>
            <w:r>
              <w:rPr>
                <w:rFonts w:hint="default" w:ascii="Times New Roman" w:hAnsi="Times New Roman" w:eastAsia="宋体" w:cs="Times New Roman"/>
                <w:color w:val="auto"/>
                <w:spacing w:val="-1"/>
                <w:sz w:val="24"/>
                <w:szCs w:val="24"/>
                <w:highlight w:val="none"/>
                <w:lang w:val="en-US" w:eastAsia="zh-CN"/>
              </w:rPr>
              <w:t>生态环境</w:t>
            </w:r>
            <w:r>
              <w:rPr>
                <w:rFonts w:hint="default" w:ascii="Times New Roman" w:hAnsi="Times New Roman" w:eastAsia="宋体" w:cs="Times New Roman"/>
                <w:color w:val="auto"/>
                <w:spacing w:val="-1"/>
                <w:sz w:val="24"/>
                <w:szCs w:val="24"/>
                <w:highlight w:val="none"/>
              </w:rPr>
              <w:t>厅，广东省生态环境厅关于印发</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的函</w:t>
            </w:r>
            <w:r>
              <w:rPr>
                <w:rFonts w:hint="default" w:ascii="Times New Roman" w:hAnsi="Times New Roman" w:eastAsia="宋体"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粤环审〔2026〕80 号</w:t>
            </w:r>
          </w:p>
        </w:tc>
      </w:tr>
      <w:tr w14:paraId="5C06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0" w:hRule="atLeast"/>
          <w:jc w:val="center"/>
        </w:trPr>
        <w:tc>
          <w:tcPr>
            <w:tcW w:w="866" w:type="pct"/>
            <w:gridSpan w:val="2"/>
            <w:vAlign w:val="center"/>
          </w:tcPr>
          <w:p w14:paraId="62B90861">
            <w:pPr>
              <w:pStyle w:val="64"/>
              <w:spacing w:line="276" w:lineRule="auto"/>
              <w:rPr>
                <w:b/>
                <w:bCs/>
                <w:color w:val="auto"/>
                <w:kern w:val="2"/>
                <w:sz w:val="24"/>
                <w:szCs w:val="22"/>
                <w:highlight w:val="none"/>
              </w:rPr>
            </w:pPr>
            <w:r>
              <w:rPr>
                <w:b/>
                <w:bCs/>
                <w:color w:val="auto"/>
                <w:kern w:val="2"/>
                <w:sz w:val="24"/>
                <w:szCs w:val="22"/>
                <w:highlight w:val="none"/>
              </w:rPr>
              <w:t>规划及规划环境影响评价符合性分析</w:t>
            </w:r>
          </w:p>
        </w:tc>
        <w:tc>
          <w:tcPr>
            <w:tcW w:w="8237" w:type="dxa"/>
            <w:gridSpan w:val="5"/>
            <w:vAlign w:val="center"/>
          </w:tcPr>
          <w:p w14:paraId="6D14DD4A">
            <w:pPr>
              <w:keepNext w:val="0"/>
              <w:keepLines w:val="0"/>
              <w:pageBreakBefore w:val="0"/>
              <w:numPr>
                <w:ilvl w:val="0"/>
                <w:numId w:val="0"/>
              </w:numPr>
              <w:tabs>
                <w:tab w:val="left" w:pos="0"/>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根据</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，新引入企业</w:t>
            </w:r>
            <w:r>
              <w:rPr>
                <w:rFonts w:hint="default" w:ascii="Times New Roman" w:hAnsi="Times New Roman" w:eastAsia="宋体" w:cs="Times New Roman"/>
                <w:color w:val="auto"/>
                <w:sz w:val="24"/>
                <w:szCs w:val="24"/>
                <w:highlight w:val="none"/>
                <w:vertAlign w:val="baseline"/>
              </w:rPr>
              <w:t>应符合现行有效的《产业结构调整指导目录</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2024</w:t>
            </w:r>
            <w:r>
              <w:rPr>
                <w:rFonts w:hint="eastAsia" w:ascii="Times New Roman" w:hAnsi="Times New Roman" w:eastAsia="宋体" w:cs="Times New Roman"/>
                <w:color w:val="auto"/>
                <w:sz w:val="24"/>
                <w:szCs w:val="24"/>
                <w:highlight w:val="none"/>
                <w:vertAlign w:val="baseline"/>
                <w:lang w:val="en-US" w:eastAsia="zh-CN"/>
              </w:rPr>
              <w:t>年</w:t>
            </w:r>
            <w:r>
              <w:rPr>
                <w:rFonts w:hint="default" w:ascii="Times New Roman" w:hAnsi="Times New Roman" w:eastAsia="宋体" w:cs="Times New Roman"/>
                <w:color w:val="auto"/>
                <w:sz w:val="24"/>
                <w:szCs w:val="24"/>
                <w:highlight w:val="none"/>
                <w:vertAlign w:val="baseline"/>
                <w:lang w:val="en-US" w:eastAsia="zh-CN"/>
              </w:rPr>
              <w:t>本</w:t>
            </w:r>
            <w:r>
              <w:rPr>
                <w:rFonts w:hint="eastAsia"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vertAlign w:val="baseline"/>
              </w:rPr>
              <w:t>》、《市场准入负面清单》</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发改体改规〔2025〕466 号</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rPr>
              <w:t>、《广东省国家重点生态功能区产业准入负面清单(试行</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rPr>
              <w:t>》</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粤发改规划〔2017〕331 号</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rPr>
              <w:t>等相关产业政策要求</w:t>
            </w:r>
            <w:r>
              <w:rPr>
                <w:rFonts w:hint="default" w:ascii="Times New Roman" w:hAnsi="Times New Roman" w:eastAsia="宋体" w:cs="Times New Roman"/>
                <w:color w:val="auto"/>
                <w:spacing w:val="-1"/>
                <w:sz w:val="24"/>
                <w:szCs w:val="24"/>
                <w:highlight w:val="none"/>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eastAsia="宋体" w:cs="Times New Roman"/>
                <w:color w:val="auto"/>
                <w:sz w:val="24"/>
                <w:szCs w:val="24"/>
                <w:highlight w:val="none"/>
              </w:rPr>
              <w:t>禁止建设生产和使用高VOCs含量的溶剂型涂料、油墨、胶粘剂等项目。</w:t>
            </w:r>
            <w:r>
              <w:rPr>
                <w:rFonts w:hint="default" w:ascii="Times New Roman" w:hAnsi="Times New Roman" w:eastAsia="宋体" w:cs="Times New Roman"/>
                <w:color w:val="auto"/>
                <w:sz w:val="24"/>
                <w:szCs w:val="24"/>
                <w:highlight w:val="none"/>
                <w:vertAlign w:val="baseline"/>
              </w:rPr>
              <w:t>禁止新建、扩建专业电镀、鞣革、印染、化学制浆等水污染物排放量大或排放一类污染物、持久性有机污染物的项目。</w:t>
            </w:r>
          </w:p>
          <w:p w14:paraId="7CC23A34">
            <w:pPr>
              <w:pStyle w:val="64"/>
              <w:keepNext w:val="0"/>
              <w:keepLines w:val="0"/>
              <w:pageBreakBefore w:val="0"/>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本项目满足国家和地方相关产业政策，</w:t>
            </w:r>
            <w:r>
              <w:rPr>
                <w:rFonts w:hint="default" w:ascii="Times New Roman" w:hAnsi="Times New Roman" w:eastAsia="宋体" w:cs="Times New Roman"/>
                <w:color w:val="auto"/>
                <w:spacing w:val="-1"/>
                <w:sz w:val="24"/>
                <w:szCs w:val="24"/>
                <w:highlight w:val="none"/>
                <w:lang w:val="en-US" w:eastAsia="zh-CN"/>
              </w:rPr>
              <w:t>项目</w:t>
            </w:r>
            <w:r>
              <w:rPr>
                <w:rFonts w:hint="eastAsia" w:ascii="Times New Roman" w:hAnsi="Times New Roman" w:eastAsia="宋体" w:cs="Times New Roman"/>
                <w:color w:val="auto"/>
                <w:spacing w:val="-1"/>
                <w:sz w:val="24"/>
                <w:szCs w:val="24"/>
                <w:highlight w:val="none"/>
                <w:lang w:val="en-US" w:eastAsia="zh-CN"/>
              </w:rPr>
              <w:t>不</w:t>
            </w:r>
            <w:r>
              <w:rPr>
                <w:rFonts w:hint="default" w:ascii="Times New Roman" w:hAnsi="Times New Roman" w:eastAsia="宋体" w:cs="Times New Roman"/>
                <w:color w:val="auto"/>
                <w:spacing w:val="-1"/>
                <w:sz w:val="24"/>
                <w:szCs w:val="24"/>
                <w:highlight w:val="none"/>
                <w:lang w:val="en-US" w:eastAsia="zh-CN"/>
              </w:rPr>
              <w:t>使用</w:t>
            </w:r>
            <w:r>
              <w:rPr>
                <w:rFonts w:hint="eastAsia" w:ascii="Times New Roman" w:hAnsi="Times New Roman" w:eastAsia="宋体" w:cs="Times New Roman"/>
                <w:color w:val="auto"/>
                <w:spacing w:val="-1"/>
                <w:sz w:val="24"/>
                <w:szCs w:val="24"/>
                <w:highlight w:val="none"/>
                <w:lang w:val="en-US" w:eastAsia="zh-CN"/>
              </w:rPr>
              <w:t>VOCs物料</w:t>
            </w:r>
            <w:r>
              <w:rPr>
                <w:rFonts w:hint="default" w:ascii="Times New Roman" w:hAnsi="Times New Roman" w:eastAsia="宋体" w:cs="Times New Roman"/>
                <w:color w:val="auto"/>
                <w:spacing w:val="-1"/>
                <w:sz w:val="24"/>
                <w:szCs w:val="24"/>
                <w:highlight w:val="none"/>
                <w:lang w:val="en-US" w:eastAsia="zh-CN"/>
              </w:rPr>
              <w:t>，项目</w:t>
            </w:r>
            <w:r>
              <w:rPr>
                <w:rFonts w:hint="default" w:ascii="Times New Roman" w:hAnsi="Times New Roman" w:eastAsia="宋体" w:cs="Times New Roman"/>
                <w:color w:val="auto"/>
                <w:spacing w:val="-1"/>
                <w:sz w:val="24"/>
                <w:szCs w:val="24"/>
                <w:highlight w:val="none"/>
              </w:rPr>
              <w:t>不排放一类污染物和有毒有害物质，不向河流排放含汞、砷、镉、铬、铅等重金属污染物和持久性有机污染物，不属于园区禁止项目，符合园区准入条件。</w:t>
            </w:r>
          </w:p>
          <w:p w14:paraId="3F0F64B0">
            <w:pPr>
              <w:pStyle w:val="10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lang w:val="en-US" w:eastAsia="zh-CN"/>
              </w:rPr>
              <w:t>《韶关乐昌经济开发区规划</w:t>
            </w:r>
          </w:p>
          <w:p w14:paraId="72C9B0A2">
            <w:pPr>
              <w:pStyle w:val="10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环境影响报告书审查意见》的</w:t>
            </w:r>
            <w:r>
              <w:rPr>
                <w:rFonts w:hint="eastAsia" w:ascii="Times New Roman" w:hAnsi="Times New Roman" w:eastAsia="宋体" w:cs="Times New Roman"/>
                <w:color w:val="auto"/>
                <w:sz w:val="21"/>
                <w:szCs w:val="21"/>
                <w:highlight w:val="none"/>
                <w:lang w:val="en-US" w:eastAsia="zh-CN"/>
              </w:rPr>
              <w:t>相符性分析</w:t>
            </w:r>
          </w:p>
          <w:tbl>
            <w:tblPr>
              <w:tblStyle w:val="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4284"/>
              <w:gridCol w:w="2072"/>
              <w:gridCol w:w="901"/>
            </w:tblGrid>
            <w:tr w14:paraId="2D28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noWrap w:val="0"/>
                  <w:vAlign w:val="center"/>
                </w:tcPr>
                <w:p w14:paraId="7F294EE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管控要求</w:t>
                  </w:r>
                </w:p>
              </w:tc>
              <w:tc>
                <w:tcPr>
                  <w:tcW w:w="2674" w:type="pct"/>
                  <w:noWrap w:val="0"/>
                  <w:vAlign w:val="center"/>
                </w:tcPr>
                <w:p w14:paraId="67FD54E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总体准入要求</w:t>
                  </w:r>
                </w:p>
              </w:tc>
              <w:tc>
                <w:tcPr>
                  <w:tcW w:w="1293" w:type="pct"/>
                  <w:noWrap w:val="0"/>
                  <w:vAlign w:val="center"/>
                </w:tcPr>
                <w:p w14:paraId="788B35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项目情况</w:t>
                  </w:r>
                </w:p>
              </w:tc>
              <w:tc>
                <w:tcPr>
                  <w:tcW w:w="562" w:type="pct"/>
                  <w:noWrap w:val="0"/>
                  <w:vAlign w:val="center"/>
                </w:tcPr>
                <w:p w14:paraId="4EE087D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相符性</w:t>
                  </w:r>
                </w:p>
              </w:tc>
            </w:tr>
            <w:tr w14:paraId="7CEC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469" w:type="pct"/>
                  <w:noWrap w:val="0"/>
                  <w:vAlign w:val="center"/>
                </w:tcPr>
                <w:p w14:paraId="487929C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空间布局约束</w:t>
                  </w:r>
                </w:p>
              </w:tc>
              <w:tc>
                <w:tcPr>
                  <w:tcW w:w="2674" w:type="pct"/>
                  <w:noWrap w:val="0"/>
                  <w:vAlign w:val="center"/>
                </w:tcPr>
                <w:p w14:paraId="639E00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引入产业应符合现行有效的《产业结构调整指导目录》、《市场准入负面清单》、《广东省国家重点生态功能区产业准入负面清单(试行</w:t>
                  </w:r>
                  <w:r>
                    <w:rPr>
                      <w:rFonts w:hint="default"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》等相关产业政策要求。</w:t>
                  </w:r>
                </w:p>
                <w:p w14:paraId="7643A2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严格控制高污染高能耗项目建设。</w:t>
                  </w:r>
                  <w:r>
                    <w:rPr>
                      <w:rFonts w:hint="default" w:ascii="Times New Roman" w:hAnsi="Times New Roman" w:eastAsia="宋体" w:cs="Times New Roman"/>
                      <w:color w:val="auto"/>
                      <w:sz w:val="21"/>
                      <w:szCs w:val="21"/>
                      <w:highlight w:val="none"/>
                      <w:vertAlign w:val="baseline"/>
                    </w:rPr>
                    <w:t>新、改、扩建项目要达到国内清洁生产先进水平。</w:t>
                  </w:r>
                </w:p>
                <w:p w14:paraId="1DCF22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禁止销售、燃用高污染燃料</w:t>
                  </w:r>
                  <w:r>
                    <w:rPr>
                      <w:rFonts w:hint="default"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禁止新建、扩建燃用高污染燃料的设施</w:t>
                  </w:r>
                  <w:r>
                    <w:rPr>
                      <w:rFonts w:hint="default"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rPr>
                    <w:t>禁止建设生产和使用高VOCs含量的溶剂型涂料、油墨、胶粘剂等项目。</w:t>
                  </w:r>
                </w:p>
                <w:p w14:paraId="78A4D3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禁止新建、扩建专业电镀、鞣革、印染、化学制浆等水污染物排放量大或排放一类污染物、持久性有机污染物的项目。</w:t>
                  </w:r>
                </w:p>
                <w:p w14:paraId="391D75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0BF4BB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与饮用水源准保护区重叠区域划定为优先保护单元，不进行工业开发利用，禁止新建、扩建对水体污染严重的建设项目，改建项目不得增加排污量。</w:t>
                  </w:r>
                </w:p>
                <w:p w14:paraId="0E8FBA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1293" w:type="pct"/>
                  <w:noWrap w:val="0"/>
                  <w:vAlign w:val="center"/>
                </w:tcPr>
                <w:p w14:paraId="2F2BEF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本项目为</w:t>
                  </w:r>
                  <w:r>
                    <w:rPr>
                      <w:rFonts w:hint="eastAsia" w:ascii="Times New Roman" w:hAnsi="Times New Roman" w:eastAsia="宋体" w:cs="Times New Roman"/>
                      <w:color w:val="auto"/>
                      <w:sz w:val="21"/>
                      <w:szCs w:val="21"/>
                      <w:highlight w:val="none"/>
                      <w:lang w:val="en-US" w:eastAsia="zh-CN"/>
                    </w:rPr>
                    <w:t>废弃资源回收利用</w:t>
                  </w:r>
                  <w:r>
                    <w:rPr>
                      <w:rFonts w:hint="default" w:ascii="Times New Roman" w:hAnsi="Times New Roman" w:eastAsia="宋体" w:cs="Times New Roman"/>
                      <w:color w:val="auto"/>
                      <w:sz w:val="21"/>
                      <w:szCs w:val="21"/>
                      <w:highlight w:val="none"/>
                    </w:rPr>
                    <w:t>加工行业，不属于造纸、焦化、有色金属、印染、农副食品加工、原料药制造、制革、农药、电镀等行业，不属于“两高”项目。</w:t>
                  </w:r>
                  <w:r>
                    <w:rPr>
                      <w:rFonts w:hint="default" w:ascii="Times New Roman" w:hAnsi="Times New Roman" w:eastAsia="宋体" w:cs="Times New Roman"/>
                      <w:color w:val="auto"/>
                      <w:spacing w:val="-1"/>
                      <w:sz w:val="21"/>
                      <w:szCs w:val="21"/>
                      <w:highlight w:val="none"/>
                    </w:rPr>
                    <w:t>本项目满足国家和地方相关产业政策，</w:t>
                  </w:r>
                  <w:r>
                    <w:rPr>
                      <w:rFonts w:hint="default" w:ascii="Times New Roman" w:hAnsi="Times New Roman" w:eastAsia="宋体" w:cs="Times New Roman"/>
                      <w:color w:val="auto"/>
                      <w:spacing w:val="-1"/>
                      <w:sz w:val="21"/>
                      <w:szCs w:val="21"/>
                      <w:highlight w:val="none"/>
                      <w:lang w:val="en-US" w:eastAsia="zh-CN"/>
                    </w:rPr>
                    <w:t>项目</w:t>
                  </w:r>
                  <w:r>
                    <w:rPr>
                      <w:rFonts w:hint="eastAsia" w:ascii="Times New Roman" w:hAnsi="Times New Roman" w:eastAsia="宋体" w:cs="Times New Roman"/>
                      <w:color w:val="auto"/>
                      <w:spacing w:val="-1"/>
                      <w:sz w:val="21"/>
                      <w:szCs w:val="21"/>
                      <w:highlight w:val="none"/>
                      <w:lang w:val="en-US" w:eastAsia="zh-CN"/>
                    </w:rPr>
                    <w:t>不</w:t>
                  </w:r>
                  <w:r>
                    <w:rPr>
                      <w:rFonts w:hint="default" w:ascii="Times New Roman" w:hAnsi="Times New Roman" w:eastAsia="宋体" w:cs="Times New Roman"/>
                      <w:color w:val="auto"/>
                      <w:spacing w:val="-1"/>
                      <w:sz w:val="21"/>
                      <w:szCs w:val="21"/>
                      <w:highlight w:val="none"/>
                      <w:lang w:val="en-US" w:eastAsia="zh-CN"/>
                    </w:rPr>
                    <w:t>使用</w:t>
                  </w:r>
                  <w:r>
                    <w:rPr>
                      <w:rFonts w:hint="eastAsia" w:ascii="Times New Roman" w:hAnsi="Times New Roman" w:eastAsia="宋体" w:cs="Times New Roman"/>
                      <w:color w:val="auto"/>
                      <w:spacing w:val="-1"/>
                      <w:sz w:val="21"/>
                      <w:szCs w:val="21"/>
                      <w:highlight w:val="none"/>
                      <w:lang w:val="en-US" w:eastAsia="zh-CN"/>
                    </w:rPr>
                    <w:t>VOCs物料</w:t>
                  </w:r>
                  <w:r>
                    <w:rPr>
                      <w:rFonts w:hint="default" w:ascii="Times New Roman" w:hAnsi="Times New Roman" w:eastAsia="宋体" w:cs="Times New Roman"/>
                      <w:color w:val="auto"/>
                      <w:spacing w:val="-1"/>
                      <w:sz w:val="21"/>
                      <w:szCs w:val="21"/>
                      <w:highlight w:val="none"/>
                      <w:lang w:val="en-US" w:eastAsia="zh-CN"/>
                    </w:rPr>
                    <w:t>，项目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default" w:ascii="Times New Roman" w:hAnsi="Times New Roman" w:eastAsia="宋体" w:cs="Times New Roman"/>
                      <w:color w:val="auto"/>
                      <w:sz w:val="21"/>
                      <w:szCs w:val="21"/>
                      <w:highlight w:val="none"/>
                    </w:rPr>
                    <w:t>。</w:t>
                  </w:r>
                </w:p>
              </w:tc>
              <w:tc>
                <w:tcPr>
                  <w:tcW w:w="562" w:type="pct"/>
                  <w:noWrap w:val="0"/>
                  <w:vAlign w:val="center"/>
                </w:tcPr>
                <w:p w14:paraId="065A74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5A59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69" w:type="pct"/>
                  <w:noWrap w:val="0"/>
                  <w:vAlign w:val="center"/>
                </w:tcPr>
                <w:p w14:paraId="31F4EF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污染物排放管控</w:t>
                  </w:r>
                </w:p>
              </w:tc>
              <w:tc>
                <w:tcPr>
                  <w:tcW w:w="2674" w:type="pct"/>
                  <w:noWrap w:val="0"/>
                  <w:vAlign w:val="center"/>
                </w:tcPr>
                <w:p w14:paraId="77EA155D">
                  <w:pPr>
                    <w:keepNext w:val="0"/>
                    <w:keepLines w:val="0"/>
                    <w:numPr>
                      <w:ilvl w:val="0"/>
                      <w:numId w:val="0"/>
                    </w:numPr>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在可核查、可监管的基础上，新建项目原则上实施氮氧化物(NOx)和挥发性有机物(VOCs)等量替代。</w:t>
                  </w:r>
                </w:p>
                <w:p w14:paraId="0E44CD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根据《广东省生态环境厅关于在重点区域执行污染物特别排放限值的公告》(粤环发(2023)1号)要求，执行相应特别排放限值要求。</w:t>
                  </w:r>
                </w:p>
                <w:p w14:paraId="44E628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4B69E9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50329F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产生固体废物(含危险废物)的企业须配套建设符合规范且满足需求的贮存场所，固体废物(含危险废物)贮存、转移过程中应配套防扬散、防流失、防渗漏及其它防止污染环境的措施。</w:t>
                  </w:r>
                </w:p>
                <w:p w14:paraId="762A7F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重点重金属按照韶关市生态环境分区管控要求执行。</w:t>
                  </w:r>
                </w:p>
              </w:tc>
              <w:tc>
                <w:tcPr>
                  <w:tcW w:w="1293" w:type="pct"/>
                  <w:noWrap w:val="0"/>
                  <w:vAlign w:val="center"/>
                </w:tcPr>
                <w:p w14:paraId="5FE053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1"/>
                      <w:sz w:val="21"/>
                      <w:szCs w:val="21"/>
                      <w:highlight w:val="none"/>
                      <w:lang w:val="en-US" w:eastAsia="zh-CN"/>
                    </w:rPr>
                    <w:t>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default" w:ascii="Times New Roman" w:hAnsi="Times New Roman" w:eastAsia="宋体" w:cs="Times New Roman"/>
                      <w:color w:val="auto"/>
                      <w:spacing w:val="-1"/>
                      <w:sz w:val="21"/>
                      <w:szCs w:val="21"/>
                      <w:highlight w:val="none"/>
                      <w:lang w:eastAsia="zh-CN"/>
                    </w:rPr>
                    <w:t>。</w:t>
                  </w:r>
                  <w:r>
                    <w:rPr>
                      <w:rFonts w:hint="default" w:ascii="Times New Roman" w:hAnsi="Times New Roman" w:eastAsia="宋体" w:cs="Times New Roman"/>
                      <w:color w:val="auto"/>
                      <w:sz w:val="21"/>
                      <w:szCs w:val="21"/>
                      <w:highlight w:val="none"/>
                    </w:rPr>
                    <w:t>VOCs实行总量控制。项目所在地不涉及饮用水水源保护区，生产废水经自建污水处理站处理后排入园区污水处理厂</w:t>
                  </w:r>
                  <w:r>
                    <w:rPr>
                      <w:rFonts w:hint="default" w:ascii="Times New Roman" w:hAnsi="Times New Roman" w:eastAsia="宋体" w:cs="Times New Roman"/>
                      <w:color w:val="auto"/>
                      <w:sz w:val="21"/>
                      <w:szCs w:val="21"/>
                      <w:highlight w:val="none"/>
                      <w:lang w:val="en-US" w:eastAsia="zh-CN"/>
                    </w:rPr>
                    <w:t>深度处理</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处理</w:t>
                  </w:r>
                  <w:r>
                    <w:rPr>
                      <w:rFonts w:hint="default" w:ascii="Times New Roman" w:hAnsi="Times New Roman" w:eastAsia="宋体" w:cs="Times New Roman"/>
                      <w:color w:val="auto"/>
                      <w:sz w:val="21"/>
                      <w:szCs w:val="21"/>
                      <w:highlight w:val="none"/>
                    </w:rPr>
                    <w:t>达标后通过出水管道输送</w:t>
                  </w:r>
                  <w:r>
                    <w:rPr>
                      <w:rFonts w:hint="default" w:ascii="Times New Roman" w:hAnsi="Times New Roman" w:eastAsia="宋体" w:cs="Times New Roman"/>
                      <w:color w:val="auto"/>
                      <w:sz w:val="21"/>
                      <w:szCs w:val="21"/>
                      <w:highlight w:val="none"/>
                      <w:lang w:val="en-US" w:eastAsia="zh-CN"/>
                    </w:rPr>
                    <w:t>尾水</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rPr>
                    <w:t>废水排放口</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WS-LC005001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排放至</w:t>
                  </w:r>
                  <w:r>
                    <w:rPr>
                      <w:rFonts w:hint="default" w:ascii="Times New Roman" w:hAnsi="Times New Roman" w:eastAsia="宋体" w:cs="Times New Roman"/>
                      <w:color w:val="auto"/>
                      <w:sz w:val="21"/>
                      <w:szCs w:val="21"/>
                      <w:highlight w:val="none"/>
                    </w:rPr>
                    <w:t>榴村霜降坑河</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最终</w:t>
                  </w:r>
                  <w:r>
                    <w:rPr>
                      <w:rFonts w:hint="default" w:ascii="Times New Roman" w:hAnsi="Times New Roman" w:eastAsia="宋体" w:cs="Times New Roman"/>
                      <w:color w:val="auto"/>
                      <w:sz w:val="21"/>
                      <w:szCs w:val="21"/>
                      <w:highlight w:val="none"/>
                    </w:rPr>
                    <w:t>流入武江；生活污水经三级化粪池</w:t>
                  </w:r>
                  <w:r>
                    <w:rPr>
                      <w:rFonts w:hint="default" w:ascii="Times New Roman" w:hAnsi="Times New Roman" w:eastAsia="宋体" w:cs="Times New Roman"/>
                      <w:color w:val="auto"/>
                      <w:sz w:val="21"/>
                      <w:szCs w:val="21"/>
                      <w:highlight w:val="none"/>
                      <w:lang w:val="en-US" w:eastAsia="zh-CN"/>
                    </w:rPr>
                    <w:t>+隔油隔渣池</w:t>
                  </w:r>
                  <w:r>
                    <w:rPr>
                      <w:rFonts w:hint="default" w:ascii="Times New Roman" w:hAnsi="Times New Roman" w:eastAsia="宋体" w:cs="Times New Roman"/>
                      <w:color w:val="auto"/>
                      <w:sz w:val="21"/>
                      <w:szCs w:val="21"/>
                      <w:highlight w:val="none"/>
                    </w:rPr>
                    <w:t>处理后排入园区污水处理厂，园区污水处理厂执行《城镇污水处理厂污染物排放标准》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GB18918-2002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中一级B标准和广东省《水污染物排放限值</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（DB44/26-2001）中的第二时段一级排放标准中严者。</w:t>
                  </w:r>
                </w:p>
              </w:tc>
              <w:tc>
                <w:tcPr>
                  <w:tcW w:w="562" w:type="pct"/>
                  <w:noWrap w:val="0"/>
                  <w:vAlign w:val="center"/>
                </w:tcPr>
                <w:p w14:paraId="251FBB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4E8A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469" w:type="pct"/>
                  <w:noWrap w:val="0"/>
                  <w:vAlign w:val="center"/>
                </w:tcPr>
                <w:p w14:paraId="283CB8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环境风险管控</w:t>
                  </w:r>
                </w:p>
              </w:tc>
              <w:tc>
                <w:tcPr>
                  <w:tcW w:w="2674" w:type="pct"/>
                  <w:noWrap w:val="0"/>
                  <w:vAlign w:val="center"/>
                </w:tcPr>
                <w:p w14:paraId="022A059F">
                  <w:pPr>
                    <w:keepNext w:val="0"/>
                    <w:keepLines w:val="0"/>
                    <w:numPr>
                      <w:ilvl w:val="0"/>
                      <w:numId w:val="0"/>
                    </w:numPr>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52C3ECD5">
                  <w:pPr>
                    <w:keepNext w:val="0"/>
                    <w:keepLines w:val="0"/>
                    <w:numPr>
                      <w:ilvl w:val="0"/>
                      <w:numId w:val="0"/>
                    </w:numPr>
                    <w:suppressLineNumbers w:val="0"/>
                    <w:spacing w:before="0" w:beforeAutospacing="0" w:after="0" w:afterAutospacing="0"/>
                    <w:ind w:left="0" w:leftChars="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涉及生产废水排放企业需配套有效措施，防止事故废水直排污染地表水体，防止因渗漏污染地下水。</w:t>
                  </w:r>
                </w:p>
                <w:p w14:paraId="53B4AF2B">
                  <w:pPr>
                    <w:keepNext w:val="0"/>
                    <w:keepLines w:val="0"/>
                    <w:numPr>
                      <w:ilvl w:val="0"/>
                      <w:numId w:val="0"/>
                    </w:numPr>
                    <w:suppressLineNumbers w:val="0"/>
                    <w:spacing w:before="0" w:beforeAutospacing="0" w:after="0" w:afterAutospacing="0"/>
                    <w:ind w:left="0" w:leftChars="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应符合《韶关市人民政府关于印发韶关市“三线一单"生态环境分区管控方案的通知》(韶府(2021)10号)、《韶关市生态环境分区管控动态更新成果》及后续生态环境分区管控动态更新要求</w:t>
                  </w:r>
                </w:p>
              </w:tc>
              <w:tc>
                <w:tcPr>
                  <w:tcW w:w="1293" w:type="pct"/>
                  <w:noWrap w:val="0"/>
                  <w:vAlign w:val="center"/>
                </w:tcPr>
                <w:p w14:paraId="0A6D4AAF">
                  <w:pPr>
                    <w:keepNext w:val="0"/>
                    <w:keepLines w:val="0"/>
                    <w:numPr>
                      <w:ilvl w:val="0"/>
                      <w:numId w:val="0"/>
                    </w:numPr>
                    <w:suppressLineNumbers w:val="0"/>
                    <w:spacing w:before="0" w:beforeAutospacing="0" w:after="0" w:afterAutospacing="0"/>
                    <w:ind w:left="0" w:leftChars="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562" w:type="pct"/>
                  <w:noWrap w:val="0"/>
                  <w:vAlign w:val="center"/>
                </w:tcPr>
                <w:p w14:paraId="22F99F61">
                  <w:pPr>
                    <w:keepNext w:val="0"/>
                    <w:keepLines w:val="0"/>
                    <w:numPr>
                      <w:ilvl w:val="0"/>
                      <w:numId w:val="0"/>
                    </w:numPr>
                    <w:suppressLineNumbers w:val="0"/>
                    <w:spacing w:before="0" w:beforeAutospacing="0" w:after="0" w:afterAutospacing="0"/>
                    <w:ind w:left="0" w:leftChars="0" w:right="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1E30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trPr>
              <w:tc>
                <w:tcPr>
                  <w:tcW w:w="469" w:type="pct"/>
                  <w:noWrap w:val="0"/>
                  <w:vAlign w:val="center"/>
                </w:tcPr>
                <w:p w14:paraId="74ECBFB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资源开发利用管理</w:t>
                  </w:r>
                </w:p>
              </w:tc>
              <w:tc>
                <w:tcPr>
                  <w:tcW w:w="2674" w:type="pct"/>
                  <w:noWrap w:val="0"/>
                  <w:vAlign w:val="center"/>
                </w:tcPr>
                <w:p w14:paraId="36E9EF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禁止使用高污染燃料，建议使用电能、天然气等清洁能源。</w:t>
                  </w:r>
                </w:p>
                <w:p w14:paraId="134938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贯彻落实“节水优先”方针，实行最严格水资源管理制度</w:t>
                  </w:r>
                  <w:r>
                    <w:rPr>
                      <w:rFonts w:hint="default" w:ascii="Times New Roman" w:hAnsi="Times New Roman" w:eastAsia="宋体" w:cs="Times New Roman"/>
                      <w:color w:val="auto"/>
                      <w:sz w:val="21"/>
                      <w:szCs w:val="21"/>
                      <w:highlight w:val="none"/>
                      <w:vertAlign w:val="baseline"/>
                      <w:lang w:eastAsia="zh-CN"/>
                    </w:rPr>
                    <w:t>。</w:t>
                  </w:r>
                </w:p>
                <w:p w14:paraId="1C1069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符合《韶关市人民政府关于印发韶关市“三线一单”生态环境分区管控方案的通知》(韶府(2021)10号)《韶关市生态环境分区管控动态更新成果》及后续生态环境分区管控动态更新要求</w:t>
                  </w:r>
                  <w:r>
                    <w:rPr>
                      <w:rFonts w:hint="default" w:ascii="Times New Roman" w:hAnsi="Times New Roman" w:eastAsia="宋体" w:cs="Times New Roman"/>
                      <w:color w:val="auto"/>
                      <w:sz w:val="21"/>
                      <w:szCs w:val="21"/>
                      <w:highlight w:val="none"/>
                      <w:vertAlign w:val="baseline"/>
                      <w:lang w:eastAsia="zh-CN"/>
                    </w:rPr>
                    <w:t>。</w:t>
                  </w:r>
                </w:p>
              </w:tc>
              <w:tc>
                <w:tcPr>
                  <w:tcW w:w="1293" w:type="pct"/>
                  <w:noWrap w:val="0"/>
                  <w:vAlign w:val="center"/>
                </w:tcPr>
                <w:p w14:paraId="3BE036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eastAsia="zh-CN"/>
                    </w:rPr>
                    <w:t>属于</w:t>
                  </w:r>
                  <w:r>
                    <w:rPr>
                      <w:rFonts w:hint="eastAsia" w:ascii="Times New Roman" w:hAnsi="Times New Roman" w:eastAsia="宋体" w:cs="Times New Roman"/>
                      <w:color w:val="auto"/>
                      <w:sz w:val="21"/>
                      <w:szCs w:val="21"/>
                      <w:highlight w:val="none"/>
                      <w:lang w:val="en-US" w:eastAsia="zh-CN"/>
                    </w:rPr>
                    <w:t>废弃资源回收利用加工</w:t>
                  </w:r>
                  <w:r>
                    <w:rPr>
                      <w:rFonts w:hint="default" w:ascii="Times New Roman" w:hAnsi="Times New Roman" w:eastAsia="宋体" w:cs="Times New Roman"/>
                      <w:color w:val="auto"/>
                      <w:sz w:val="21"/>
                      <w:szCs w:val="21"/>
                      <w:highlight w:val="none"/>
                    </w:rPr>
                    <w:t>行业，不属于电力、建材、冶炼等重点耗能行业，不涉及水电、风电、矿产资源开发。项目</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rPr>
                    <w:t>使用</w:t>
                  </w:r>
                  <w:r>
                    <w:rPr>
                      <w:rFonts w:hint="eastAsia" w:ascii="Times New Roman" w:hAnsi="Times New Roman" w:eastAsia="宋体" w:cs="Times New Roman"/>
                      <w:color w:val="auto"/>
                      <w:sz w:val="21"/>
                      <w:szCs w:val="21"/>
                      <w:highlight w:val="none"/>
                      <w:lang w:val="en-US" w:eastAsia="zh-CN"/>
                    </w:rPr>
                    <w:t>电能</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电能</w:t>
                  </w:r>
                  <w:r>
                    <w:rPr>
                      <w:rFonts w:hint="default" w:ascii="Times New Roman" w:hAnsi="Times New Roman" w:eastAsia="宋体" w:cs="Times New Roman"/>
                      <w:color w:val="auto"/>
                      <w:sz w:val="21"/>
                      <w:szCs w:val="21"/>
                      <w:highlight w:val="none"/>
                    </w:rPr>
                    <w:t>属于清洁能源。</w:t>
                  </w:r>
                </w:p>
              </w:tc>
              <w:tc>
                <w:tcPr>
                  <w:tcW w:w="562" w:type="pct"/>
                  <w:noWrap w:val="0"/>
                  <w:vAlign w:val="center"/>
                </w:tcPr>
                <w:p w14:paraId="2EECE4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相符</w:t>
                  </w:r>
                </w:p>
              </w:tc>
            </w:tr>
          </w:tbl>
          <w:p w14:paraId="32548B01">
            <w:pPr>
              <w:pStyle w:val="64"/>
              <w:keepNext w:val="0"/>
              <w:keepLines w:val="0"/>
              <w:pageBreakBefore w:val="0"/>
              <w:kinsoku/>
              <w:wordWrap w:val="0"/>
              <w:overflowPunct/>
              <w:topLinePunct w:val="0"/>
              <w:bidi w:val="0"/>
              <w:adjustRightInd/>
              <w:snapToGrid/>
              <w:spacing w:line="360" w:lineRule="auto"/>
              <w:ind w:firstLine="480" w:firstLineChars="200"/>
              <w:jc w:val="left"/>
              <w:outlineLvl w:val="9"/>
              <w:rPr>
                <w:color w:val="auto"/>
                <w:kern w:val="2"/>
                <w:sz w:val="24"/>
                <w:szCs w:val="22"/>
                <w:highlight w:val="none"/>
              </w:rPr>
            </w:pPr>
          </w:p>
        </w:tc>
      </w:tr>
      <w:tr w14:paraId="04F7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9" w:hRule="atLeast"/>
          <w:jc w:val="center"/>
        </w:trPr>
        <w:tc>
          <w:tcPr>
            <w:tcW w:w="242" w:type="pct"/>
            <w:vAlign w:val="center"/>
          </w:tcPr>
          <w:p w14:paraId="1BE853DE">
            <w:pPr>
              <w:keepNext/>
              <w:widowControl/>
              <w:numPr>
                <w:ilvl w:val="1"/>
                <w:numId w:val="0"/>
              </w:numPr>
              <w:tabs>
                <w:tab w:val="left" w:pos="420"/>
              </w:tabs>
              <w:rPr>
                <w:color w:val="auto"/>
                <w:highlight w:val="none"/>
              </w:rPr>
            </w:pPr>
            <w:bookmarkStart w:id="3" w:name="_Toc11884"/>
            <w:bookmarkStart w:id="4" w:name="_Toc27052"/>
            <w:bookmarkStart w:id="5" w:name="_Toc22642"/>
            <w:bookmarkStart w:id="6" w:name="_Toc2999"/>
            <w:bookmarkStart w:id="7" w:name="_Toc28749"/>
            <w:r>
              <w:rPr>
                <w:b/>
                <w:bCs/>
                <w:color w:val="auto"/>
                <w:highlight w:val="none"/>
              </w:rPr>
              <w:t>其他符合性分析</w:t>
            </w:r>
            <w:bookmarkEnd w:id="3"/>
            <w:bookmarkEnd w:id="4"/>
            <w:bookmarkEnd w:id="5"/>
            <w:bookmarkEnd w:id="6"/>
            <w:bookmarkEnd w:id="7"/>
          </w:p>
        </w:tc>
        <w:tc>
          <w:tcPr>
            <w:tcW w:w="4757" w:type="pct"/>
            <w:gridSpan w:val="6"/>
            <w:vAlign w:val="center"/>
          </w:tcPr>
          <w:p w14:paraId="4FDB0A0E">
            <w:pPr>
              <w:keepNext/>
              <w:keepLines/>
              <w:tabs>
                <w:tab w:val="left" w:pos="0"/>
              </w:tabs>
              <w:ind w:left="-2" w:firstLine="480" w:firstLineChars="200"/>
              <w:outlineLvl w:val="2"/>
              <w:rPr>
                <w:b/>
                <w:bCs/>
                <w:color w:val="auto"/>
                <w:highlight w:val="none"/>
              </w:rPr>
            </w:pPr>
            <w:r>
              <w:rPr>
                <w:b/>
                <w:bCs/>
                <w:color w:val="auto"/>
                <w:highlight w:val="none"/>
              </w:rPr>
              <w:t>一、产业政策相符性分析</w:t>
            </w:r>
          </w:p>
          <w:p w14:paraId="7640644C">
            <w:pPr>
              <w:keepNext/>
              <w:keepLines/>
              <w:tabs>
                <w:tab w:val="left" w:pos="0"/>
              </w:tabs>
              <w:ind w:firstLine="480" w:firstLineChars="200"/>
              <w:outlineLvl w:val="2"/>
              <w:rPr>
                <w:color w:val="auto"/>
                <w:highlight w:val="none"/>
              </w:rPr>
            </w:pPr>
            <w:r>
              <w:rPr>
                <w:color w:val="auto"/>
                <w:highlight w:val="none"/>
              </w:rPr>
              <w:t>本项目所属行业类别为</w:t>
            </w:r>
            <w:r>
              <w:rPr>
                <w:rFonts w:hint="eastAsia"/>
                <w:color w:val="auto"/>
                <w:highlight w:val="none"/>
              </w:rPr>
              <w:t>C4220 非金属废料和碎屑加工处理</w:t>
            </w:r>
            <w:r>
              <w:rPr>
                <w:color w:val="auto"/>
                <w:highlight w:val="none"/>
              </w:rPr>
              <w:t>，根据《产业结构调整指导目录（2024年本）》（国家发展和改革委员会令 第7号），本项目不属于指导目录中的鼓励类、限制类和淘汰类产业，符合国家有关法律、法规和政策规定，属于允许类。</w:t>
            </w:r>
          </w:p>
          <w:p w14:paraId="117C9DE9">
            <w:pPr>
              <w:pStyle w:val="25"/>
              <w:ind w:firstLine="480" w:firstLineChars="200"/>
              <w:rPr>
                <w:color w:val="auto"/>
                <w:highlight w:val="none"/>
              </w:rPr>
            </w:pPr>
            <w:r>
              <w:rPr>
                <w:color w:val="auto"/>
                <w:highlight w:val="none"/>
              </w:rPr>
              <w:t>根据《国家发展改革委商务部关于印发&lt;市场准入负面清单（202</w:t>
            </w:r>
            <w:r>
              <w:rPr>
                <w:rFonts w:hint="eastAsia"/>
                <w:color w:val="auto"/>
                <w:highlight w:val="none"/>
              </w:rPr>
              <w:t>5</w:t>
            </w:r>
            <w:r>
              <w:rPr>
                <w:color w:val="auto"/>
                <w:highlight w:val="none"/>
              </w:rPr>
              <w:t>年版）&gt;的通知》（发改体改规〔2025〕466号）、《广东省国家重点生态功能区产业准入负面清单</w:t>
            </w:r>
            <w:r>
              <w:rPr>
                <w:rFonts w:hint="eastAsia"/>
                <w:color w:val="auto"/>
                <w:highlight w:val="none"/>
                <w:lang w:eastAsia="zh-CN"/>
              </w:rPr>
              <w:t>（</w:t>
            </w:r>
            <w:bookmarkStart w:id="220" w:name="_GoBack"/>
            <w:bookmarkEnd w:id="220"/>
            <w:r>
              <w:rPr>
                <w:color w:val="auto"/>
                <w:highlight w:val="none"/>
              </w:rPr>
              <w:t>试行</w:t>
            </w:r>
            <w:r>
              <w:rPr>
                <w:rFonts w:hint="eastAsia"/>
                <w:color w:val="auto"/>
                <w:highlight w:val="none"/>
                <w:lang w:eastAsia="zh-CN"/>
              </w:rPr>
              <w:t>）</w:t>
            </w:r>
            <w:r>
              <w:rPr>
                <w:color w:val="auto"/>
                <w:highlight w:val="none"/>
              </w:rPr>
              <w:t>》（粤发改规划〔2017〕331号），项目不属于负面清单所列行业，也不属于许可准入事项。因此，本项目可依法进行建设和投产。</w:t>
            </w:r>
          </w:p>
          <w:p w14:paraId="59AC1127">
            <w:pPr>
              <w:adjustRightInd w:val="0"/>
              <w:ind w:firstLine="480" w:firstLineChars="200"/>
              <w:jc w:val="left"/>
              <w:rPr>
                <w:color w:val="auto"/>
                <w:kern w:val="0"/>
                <w:highlight w:val="none"/>
              </w:rPr>
            </w:pPr>
            <w:r>
              <w:rPr>
                <w:color w:val="auto"/>
                <w:kern w:val="0"/>
                <w:highlight w:val="none"/>
              </w:rPr>
              <w:t>根据</w:t>
            </w:r>
            <w:r>
              <w:rPr>
                <w:rFonts w:hint="eastAsia"/>
                <w:color w:val="auto"/>
                <w:kern w:val="0"/>
                <w:highlight w:val="none"/>
              </w:rPr>
              <w:t>《国务院办公厅关于加快构建废弃物循环利用体系的意见》（国办发〔2024〕7号）：“（五）加强再生资源高效利用。鼓励废钢铁、废有色金属、废纸、废塑料等再生资源精深加工产业链合理延伸。支持现有再生资源加工利用项目绿色化、机械化、智能化提质改造。鼓励企业和科研机构加强技术装备研发，支持先进技术推广应用。”本项目</w:t>
            </w:r>
            <w:r>
              <w:rPr>
                <w:rFonts w:hint="eastAsia"/>
                <w:color w:val="auto"/>
                <w:kern w:val="0"/>
                <w:highlight w:val="none"/>
                <w:lang w:val="en-US" w:eastAsia="zh-CN"/>
              </w:rPr>
              <w:t>为</w:t>
            </w:r>
            <w:r>
              <w:rPr>
                <w:rFonts w:hint="eastAsia"/>
                <w:color w:val="auto"/>
                <w:kern w:val="0"/>
                <w:highlight w:val="none"/>
              </w:rPr>
              <w:t>废塑料</w:t>
            </w:r>
            <w:r>
              <w:rPr>
                <w:rFonts w:hint="eastAsia"/>
                <w:color w:val="auto"/>
                <w:kern w:val="0"/>
                <w:highlight w:val="none"/>
                <w:lang w:eastAsia="zh-CN"/>
              </w:rPr>
              <w:t>破碎清洗分选造粒</w:t>
            </w:r>
            <w:r>
              <w:rPr>
                <w:rFonts w:hint="eastAsia"/>
                <w:color w:val="auto"/>
                <w:kern w:val="0"/>
                <w:highlight w:val="none"/>
              </w:rPr>
              <w:t>项目，项目建成后有助于加快构建废弃物循环利用体系。</w:t>
            </w:r>
          </w:p>
          <w:p w14:paraId="495665F7">
            <w:pPr>
              <w:adjustRightInd w:val="0"/>
              <w:ind w:firstLine="480" w:firstLineChars="200"/>
              <w:jc w:val="left"/>
              <w:rPr>
                <w:color w:val="auto"/>
                <w:kern w:val="0"/>
                <w:highlight w:val="none"/>
              </w:rPr>
            </w:pPr>
            <w:r>
              <w:rPr>
                <w:rFonts w:hint="eastAsia"/>
                <w:color w:val="auto"/>
                <w:kern w:val="0"/>
                <w:highlight w:val="none"/>
              </w:rPr>
              <w:t>根据乐昌产业转移工业园规划修编公示等资料，整合优化后的乐昌经济开发区，明确了重点发展方向，以金属制品业、橡胶和塑料制品业以及计算机、通信和其他电子设备制造业 “2+1” 为主导产业，同时兼顾推动食品加工等传统产业转型升级。本项目主要</w:t>
            </w:r>
            <w:r>
              <w:rPr>
                <w:rFonts w:hint="eastAsia"/>
                <w:color w:val="auto"/>
                <w:kern w:val="0"/>
                <w:highlight w:val="none"/>
                <w:lang w:val="en-US" w:eastAsia="zh-CN"/>
              </w:rPr>
              <w:t>对废塑料进行清洗分选造粒加工</w:t>
            </w:r>
            <w:r>
              <w:rPr>
                <w:rFonts w:hint="eastAsia"/>
                <w:color w:val="auto"/>
                <w:kern w:val="0"/>
                <w:highlight w:val="none"/>
              </w:rPr>
              <w:t>，属于主导产业范畴。</w:t>
            </w:r>
          </w:p>
          <w:p w14:paraId="6A00B878">
            <w:pPr>
              <w:adjustRightInd w:val="0"/>
              <w:ind w:firstLine="480" w:firstLineChars="200"/>
              <w:jc w:val="left"/>
              <w:rPr>
                <w:color w:val="auto"/>
                <w:highlight w:val="none"/>
              </w:rPr>
            </w:pPr>
            <w:r>
              <w:rPr>
                <w:rFonts w:hint="eastAsia"/>
                <w:color w:val="auto"/>
                <w:kern w:val="0"/>
                <w:highlight w:val="none"/>
              </w:rPr>
              <w:t>本项目的建设能够积极响应以上产业政策，为乐昌市产业集群发展提供助力。</w:t>
            </w:r>
          </w:p>
          <w:p w14:paraId="28A8323C">
            <w:pPr>
              <w:adjustRightInd w:val="0"/>
              <w:ind w:firstLine="480" w:firstLineChars="200"/>
              <w:jc w:val="left"/>
              <w:rPr>
                <w:b/>
                <w:bCs/>
                <w:color w:val="auto"/>
                <w:kern w:val="0"/>
                <w:highlight w:val="none"/>
              </w:rPr>
            </w:pPr>
            <w:r>
              <w:rPr>
                <w:b/>
                <w:bCs/>
                <w:color w:val="auto"/>
                <w:kern w:val="0"/>
                <w:highlight w:val="none"/>
              </w:rPr>
              <w:t>二、与城市规划相符性分析</w:t>
            </w:r>
          </w:p>
          <w:p w14:paraId="7F3D04B7">
            <w:pPr>
              <w:adjustRightInd w:val="0"/>
              <w:ind w:firstLine="480" w:firstLineChars="200"/>
              <w:rPr>
                <w:color w:val="auto"/>
                <w:highlight w:val="none"/>
              </w:rPr>
            </w:pPr>
            <w:r>
              <w:rPr>
                <w:color w:val="auto"/>
                <w:kern w:val="0"/>
                <w:highlight w:val="none"/>
              </w:rPr>
              <w:t>项目位于</w:t>
            </w:r>
            <w:r>
              <w:rPr>
                <w:rFonts w:hint="eastAsia"/>
                <w:color w:val="auto"/>
                <w:kern w:val="0"/>
                <w:highlight w:val="none"/>
              </w:rPr>
              <w:t>韶关市乐昌市乐昌产业转移工业园GL-02-04-02-03地块</w:t>
            </w:r>
            <w:r>
              <w:rPr>
                <w:color w:val="auto"/>
                <w:kern w:val="0"/>
                <w:highlight w:val="none"/>
              </w:rPr>
              <w:t>（</w:t>
            </w:r>
            <w:r>
              <w:rPr>
                <w:rFonts w:hint="eastAsia"/>
                <w:color w:val="auto"/>
                <w:kern w:val="0"/>
                <w:highlight w:val="none"/>
              </w:rPr>
              <w:t>广东乐昌经济开发区内</w:t>
            </w:r>
            <w:r>
              <w:rPr>
                <w:color w:val="auto"/>
                <w:kern w:val="0"/>
                <w:highlight w:val="none"/>
              </w:rPr>
              <w:t>），根据《乐昌产业转移工业园控制性详细规划》（详见附图5），项目所在地为工业用地，项目所在地没有占用基本农业用地和林地，符合韶关市城市建设和环境功能区规划的要求，且具有水、电等供应保障，交通便利等条件。项目周围没有风景名胜区、生态脆弱带等。故项目选址是合理的。</w:t>
            </w:r>
            <w:bookmarkStart w:id="8" w:name="_Toc459880767"/>
          </w:p>
          <w:bookmarkEnd w:id="8"/>
          <w:p w14:paraId="28A5802C">
            <w:pPr>
              <w:adjustRightInd w:val="0"/>
              <w:ind w:firstLine="480" w:firstLineChars="200"/>
              <w:jc w:val="left"/>
              <w:rPr>
                <w:b/>
                <w:bCs/>
                <w:color w:val="auto"/>
                <w:kern w:val="0"/>
                <w:highlight w:val="none"/>
              </w:rPr>
            </w:pPr>
            <w:r>
              <w:rPr>
                <w:b/>
                <w:bCs/>
                <w:color w:val="auto"/>
                <w:kern w:val="0"/>
                <w:highlight w:val="none"/>
              </w:rPr>
              <w:t>三、与环境功能区划相符性分析</w:t>
            </w:r>
          </w:p>
          <w:p w14:paraId="4EC660C9">
            <w:pPr>
              <w:pStyle w:val="25"/>
              <w:ind w:firstLine="480" w:firstLineChars="200"/>
              <w:rPr>
                <w:color w:val="auto"/>
                <w:highlight w:val="none"/>
              </w:rPr>
            </w:pPr>
            <w:r>
              <w:rPr>
                <w:color w:val="auto"/>
                <w:highlight w:val="none"/>
              </w:rPr>
              <w:t>（1）根据《广东省人民政府关于印发部分市乡镇集中式饮用水源保护区划分方案的通知》（粤府函〔2015〕17号）及《广东省人民政府关于韶关市部分饮用水水源保护区调整方案的批复》（粤府函〔2024〕31号），项目所在地不属于韶关市</w:t>
            </w:r>
            <w:r>
              <w:rPr>
                <w:rFonts w:hint="eastAsia"/>
                <w:color w:val="auto"/>
                <w:highlight w:val="none"/>
              </w:rPr>
              <w:t>韶关市区武江饮用水水源地一级保护区、二级保护区、准保护区范围内</w:t>
            </w:r>
            <w:r>
              <w:rPr>
                <w:color w:val="auto"/>
                <w:highlight w:val="none"/>
              </w:rPr>
              <w:t>，符合水污染防治条例的有关要求。</w:t>
            </w:r>
          </w:p>
          <w:p w14:paraId="7621856F">
            <w:pPr>
              <w:widowControl/>
              <w:ind w:firstLine="480" w:firstLineChars="200"/>
              <w:jc w:val="left"/>
              <w:rPr>
                <w:color w:val="auto"/>
                <w:kern w:val="0"/>
                <w:highlight w:val="none"/>
              </w:rPr>
            </w:pPr>
            <w:r>
              <w:rPr>
                <w:color w:val="auto"/>
                <w:kern w:val="0"/>
                <w:highlight w:val="none"/>
              </w:rPr>
              <w:t>（2）根据《乐昌市人民政府办公室关于印发乐昌市生态环境保护“十四五”规划的通知》（乐府办〔2022〕16号）中《乐昌市“十四五”生态环境保护规划大气环境功能区划图》，项目所在区域为环境空气质量二类功能区（详见附图6），不属于环境空气质量一类功能区中的自然保护区风景名胜区和其他需要特殊保护的区域。</w:t>
            </w:r>
          </w:p>
          <w:p w14:paraId="5FC9DC79">
            <w:pPr>
              <w:adjustRightInd w:val="0"/>
              <w:ind w:firstLine="480" w:firstLineChars="200"/>
              <w:jc w:val="left"/>
              <w:rPr>
                <w:color w:val="auto"/>
                <w:kern w:val="0"/>
                <w:highlight w:val="none"/>
              </w:rPr>
            </w:pPr>
            <w:r>
              <w:rPr>
                <w:color w:val="auto"/>
                <w:kern w:val="0"/>
                <w:highlight w:val="none"/>
              </w:rPr>
              <w:t>（3）根据《乐昌产业转移工业园控制性详细规划》及不动产权证，项目所在地</w:t>
            </w:r>
            <w:r>
              <w:rPr>
                <w:rFonts w:hint="eastAsia"/>
                <w:color w:val="auto"/>
                <w:kern w:val="0"/>
                <w:highlight w:val="none"/>
              </w:rPr>
              <w:t>土地用途</w:t>
            </w:r>
            <w:r>
              <w:rPr>
                <w:color w:val="auto"/>
                <w:kern w:val="0"/>
                <w:highlight w:val="none"/>
              </w:rPr>
              <w:t>为工业用地，项目所在区域为声环境</w:t>
            </w:r>
            <w:r>
              <w:rPr>
                <w:rFonts w:hint="eastAsia"/>
                <w:color w:val="auto"/>
                <w:kern w:val="0"/>
                <w:highlight w:val="none"/>
                <w:lang w:val="en-US" w:eastAsia="zh-CN"/>
              </w:rPr>
              <w:t>3</w:t>
            </w:r>
            <w:r>
              <w:rPr>
                <w:rFonts w:hint="eastAsia"/>
                <w:color w:val="auto"/>
                <w:kern w:val="0"/>
                <w:highlight w:val="none"/>
                <w:lang w:eastAsia="zh-CN"/>
              </w:rPr>
              <w:t>类</w:t>
            </w:r>
            <w:r>
              <w:rPr>
                <w:color w:val="auto"/>
                <w:kern w:val="0"/>
                <w:highlight w:val="none"/>
              </w:rPr>
              <w:t>区，不属于声环境1类区。</w:t>
            </w:r>
          </w:p>
          <w:p w14:paraId="62D97450">
            <w:pPr>
              <w:rPr>
                <w:color w:val="auto"/>
                <w:highlight w:val="none"/>
              </w:rPr>
            </w:pPr>
          </w:p>
          <w:p w14:paraId="786242A3">
            <w:pPr>
              <w:rPr>
                <w:color w:val="auto"/>
                <w:highlight w:val="none"/>
              </w:rPr>
            </w:pPr>
          </w:p>
          <w:p w14:paraId="5793075C">
            <w:pPr>
              <w:rPr>
                <w:color w:val="auto"/>
                <w:highlight w:val="none"/>
              </w:rPr>
            </w:pPr>
          </w:p>
        </w:tc>
      </w:tr>
    </w:tbl>
    <w:p w14:paraId="5D486AA2">
      <w:pPr>
        <w:rPr>
          <w:color w:val="auto"/>
          <w:highlight w:val="none"/>
        </w:rPr>
        <w:sectPr>
          <w:footerReference r:id="rId10" w:type="default"/>
          <w:pgSz w:w="11906" w:h="16838"/>
          <w:pgMar w:top="1440" w:right="1080" w:bottom="1440" w:left="1080" w:header="851" w:footer="680" w:gutter="0"/>
          <w:pgNumType w:fmt="numberInDash" w:start="1"/>
          <w:cols w:space="720" w:num="1"/>
          <w:docGrid w:type="linesAndChars" w:linePitch="312" w:charSpace="0"/>
        </w:sect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3717"/>
      </w:tblGrid>
      <w:tr w14:paraId="17DA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186" w:type="pct"/>
            <w:vAlign w:val="center"/>
          </w:tcPr>
          <w:p w14:paraId="52F4A8EA">
            <w:pPr>
              <w:keepNext/>
              <w:widowControl/>
              <w:numPr>
                <w:ilvl w:val="1"/>
                <w:numId w:val="0"/>
              </w:numPr>
              <w:tabs>
                <w:tab w:val="left" w:pos="420"/>
              </w:tabs>
              <w:snapToGrid w:val="0"/>
              <w:spacing w:line="276" w:lineRule="auto"/>
              <w:jc w:val="center"/>
              <w:rPr>
                <w:color w:val="auto"/>
                <w:highlight w:val="none"/>
              </w:rPr>
            </w:pPr>
            <w:r>
              <w:rPr>
                <w:rFonts w:hint="eastAsia"/>
                <w:b/>
                <w:bCs/>
                <w:color w:val="auto"/>
                <w:highlight w:val="none"/>
              </w:rPr>
              <w:t>其他符合性分析</w:t>
            </w:r>
          </w:p>
        </w:tc>
        <w:tc>
          <w:tcPr>
            <w:tcW w:w="4813" w:type="pct"/>
            <w:vAlign w:val="center"/>
          </w:tcPr>
          <w:p w14:paraId="424D8F3A">
            <w:pPr>
              <w:keepNext/>
              <w:keepLines/>
              <w:tabs>
                <w:tab w:val="left" w:pos="0"/>
              </w:tabs>
              <w:ind w:left="-2" w:firstLine="480" w:firstLineChars="200"/>
              <w:outlineLvl w:val="2"/>
              <w:rPr>
                <w:b/>
                <w:bCs/>
                <w:color w:val="auto"/>
                <w:highlight w:val="none"/>
              </w:rPr>
            </w:pPr>
            <w:r>
              <w:rPr>
                <w:rFonts w:hint="eastAsia"/>
                <w:b/>
                <w:bCs/>
                <w:color w:val="auto"/>
                <w:highlight w:val="none"/>
              </w:rPr>
              <w:t>四、与《</w:t>
            </w:r>
            <w:r>
              <w:rPr>
                <w:rFonts w:hint="eastAsia"/>
                <w:b/>
                <w:bCs/>
                <w:color w:val="auto"/>
                <w:szCs w:val="28"/>
                <w:highlight w:val="none"/>
              </w:rPr>
              <w:t>工业和信息化部发布&lt;限期淘汰产生严重污染环境的工业固体废物的落后生产工艺设备名录&gt;公告》（中华人民共和国工业和信息化部公告 2021年第25号）相符性分析</w:t>
            </w:r>
          </w:p>
          <w:p w14:paraId="3ACE113A">
            <w:pPr>
              <w:pStyle w:val="2"/>
              <w:ind w:firstLine="480" w:firstLineChars="200"/>
              <w:rPr>
                <w:rFonts w:ascii="Times New Roman" w:cs="Times New Roman"/>
                <w:color w:val="auto"/>
                <w:highlight w:val="none"/>
              </w:rPr>
            </w:pPr>
            <w:r>
              <w:rPr>
                <w:rFonts w:hint="eastAsia" w:ascii="Times New Roman" w:cs="Times New Roman"/>
                <w:color w:val="auto"/>
                <w:szCs w:val="28"/>
                <w:highlight w:val="none"/>
              </w:rPr>
              <w:t>本项目所用生产工艺及设备不属于《限期淘汰产生严重污染环境的工业固体废物的落后生产工艺设备名录》中限期淘汰的落后生产工艺设备，故与《工业和信息化部发布&lt;限期淘汰产生严重污染环境的工业固体废物的落后生产工艺设备名录&gt;公告》（中华人民共和国工业和信息化部公告 2021年第25号）相符。</w:t>
            </w:r>
          </w:p>
          <w:p w14:paraId="0F1EEE0F">
            <w:pPr>
              <w:keepNext/>
              <w:keepLines/>
              <w:tabs>
                <w:tab w:val="left" w:pos="0"/>
              </w:tabs>
              <w:ind w:left="-2" w:firstLine="480" w:firstLineChars="200"/>
              <w:outlineLvl w:val="2"/>
              <w:rPr>
                <w:b/>
                <w:bCs/>
                <w:color w:val="auto"/>
                <w:highlight w:val="none"/>
              </w:rPr>
            </w:pPr>
            <w:r>
              <w:rPr>
                <w:rFonts w:hint="eastAsia"/>
                <w:b/>
                <w:bCs/>
                <w:color w:val="auto"/>
                <w:highlight w:val="none"/>
              </w:rPr>
              <w:t>五、与</w:t>
            </w:r>
            <w:r>
              <w:rPr>
                <w:rFonts w:hint="default" w:ascii="Times New Roman" w:hAnsi="Times New Roman" w:eastAsia="宋体" w:cs="Times New Roman"/>
                <w:b/>
                <w:bCs/>
                <w:color w:val="auto"/>
                <w:sz w:val="24"/>
                <w:highlight w:val="none"/>
              </w:rPr>
              <w:t>《广东省“三线一单”生态环境分区管控方案》（粤府〔2020〕71号）</w:t>
            </w:r>
            <w:r>
              <w:rPr>
                <w:rFonts w:hint="eastAsia"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eastAsia"/>
                <w:b/>
                <w:bCs/>
                <w:color w:val="auto"/>
                <w:highlight w:val="none"/>
              </w:rPr>
              <w:t>相符性分析</w:t>
            </w:r>
          </w:p>
          <w:p w14:paraId="36A80836">
            <w:pPr>
              <w:pStyle w:val="20"/>
              <w:numPr>
                <w:ilvl w:val="3"/>
                <w:numId w:val="0"/>
              </w:numPr>
              <w:ind w:firstLine="480" w:firstLineChars="200"/>
              <w:rPr>
                <w:rFonts w:hint="default"/>
                <w:color w:val="auto"/>
                <w:highlight w:val="none"/>
                <w:lang w:val="en-US"/>
              </w:rPr>
            </w:pPr>
            <w:r>
              <w:rPr>
                <w:rFonts w:hint="eastAsia"/>
                <w:color w:val="auto"/>
                <w:highlight w:val="none"/>
              </w:rPr>
              <w:t>1、</w:t>
            </w:r>
            <w:r>
              <w:rPr>
                <w:rFonts w:hint="eastAsia"/>
                <w:color w:val="auto"/>
                <w:highlight w:val="none"/>
                <w:lang w:val="en-US" w:eastAsia="zh-CN"/>
              </w:rPr>
              <w:t>与</w:t>
            </w:r>
            <w:r>
              <w:rPr>
                <w:rFonts w:hint="default" w:ascii="Times New Roman" w:hAnsi="Times New Roman" w:eastAsia="宋体" w:cs="Times New Roman"/>
                <w:b/>
                <w:bCs/>
                <w:color w:val="auto"/>
                <w:sz w:val="24"/>
                <w:highlight w:val="none"/>
              </w:rPr>
              <w:t>《广东省“三线一单”生态环境分区管控方案》（粤府〔2020〕71号）</w:t>
            </w:r>
            <w:r>
              <w:rPr>
                <w:rFonts w:hint="eastAsia"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eastAsia" w:cs="Times New Roman"/>
                <w:b/>
                <w:bCs/>
                <w:color w:val="auto"/>
                <w:sz w:val="24"/>
                <w:highlight w:val="none"/>
                <w:lang w:val="en-US" w:eastAsia="zh-CN"/>
              </w:rPr>
              <w:t>相符性</w:t>
            </w:r>
          </w:p>
          <w:p w14:paraId="4DCD1D22">
            <w:pPr>
              <w:pStyle w:val="10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color w:val="auto"/>
                <w:highlight w:val="none"/>
              </w:rPr>
            </w:pPr>
            <w:r>
              <w:rPr>
                <w:rFonts w:hint="eastAsia"/>
                <w:color w:val="auto"/>
                <w:sz w:val="21"/>
                <w:szCs w:val="21"/>
                <w:highlight w:val="none"/>
              </w:rPr>
              <w:t>与（粤府〔2020〕71号）及《广东省2023年度</w:t>
            </w:r>
            <w:r>
              <w:rPr>
                <w:rFonts w:hint="eastAsia"/>
                <w:color w:val="auto"/>
                <w:sz w:val="21"/>
                <w:szCs w:val="21"/>
                <w:highlight w:val="none"/>
              </w:rPr>
              <w:br w:type="textWrapping"/>
            </w:r>
            <w:r>
              <w:rPr>
                <w:rFonts w:hint="eastAsia"/>
                <w:color w:val="auto"/>
                <w:sz w:val="21"/>
                <w:szCs w:val="21"/>
                <w:highlight w:val="none"/>
              </w:rPr>
              <w:t>生态环境分区管控动态更新成果公告》相符性分析一览表</w:t>
            </w:r>
          </w:p>
          <w:tbl>
            <w:tblPr>
              <w:tblStyle w:val="50"/>
              <w:tblW w:w="13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066"/>
              <w:gridCol w:w="4829"/>
              <w:gridCol w:w="5703"/>
              <w:gridCol w:w="965"/>
            </w:tblGrid>
            <w:tr w14:paraId="706C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38" w:type="dxa"/>
                  <w:tcBorders>
                    <w:top w:val="single" w:color="auto" w:sz="4" w:space="0"/>
                    <w:left w:val="single" w:color="auto" w:sz="4" w:space="0"/>
                    <w:bottom w:val="single" w:color="auto" w:sz="4" w:space="0"/>
                    <w:right w:val="single" w:color="auto" w:sz="4" w:space="0"/>
                  </w:tcBorders>
                  <w:shd w:val="clear" w:color="auto" w:fill="auto"/>
                  <w:vAlign w:val="center"/>
                </w:tcPr>
                <w:p w14:paraId="0E6F0FAC">
                  <w:pPr>
                    <w:pStyle w:val="69"/>
                    <w:adjustRightInd/>
                    <w:spacing w:before="33" w:after="33" w:line="276" w:lineRule="auto"/>
                    <w:textAlignment w:val="center"/>
                    <w:rPr>
                      <w:rFonts w:ascii="Times New Roman"/>
                      <w:b/>
                      <w:bCs/>
                      <w:color w:val="auto"/>
                      <w:sz w:val="21"/>
                      <w:szCs w:val="21"/>
                      <w:highlight w:val="none"/>
                    </w:rPr>
                  </w:pPr>
                  <w:r>
                    <w:rPr>
                      <w:rFonts w:ascii="Times New Roman"/>
                      <w:b/>
                      <w:bCs/>
                      <w:color w:val="auto"/>
                      <w:sz w:val="21"/>
                      <w:szCs w:val="21"/>
                      <w:highlight w:val="none"/>
                    </w:rPr>
                    <w:t>序号</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14:paraId="0743111C">
                  <w:pPr>
                    <w:pStyle w:val="69"/>
                    <w:adjustRightInd/>
                    <w:spacing w:before="33" w:after="33" w:line="276" w:lineRule="auto"/>
                    <w:textAlignment w:val="center"/>
                    <w:rPr>
                      <w:rFonts w:ascii="Times New Roman"/>
                      <w:b/>
                      <w:bCs/>
                      <w:color w:val="auto"/>
                      <w:sz w:val="21"/>
                      <w:szCs w:val="21"/>
                      <w:highlight w:val="none"/>
                    </w:rPr>
                  </w:pPr>
                  <w:r>
                    <w:rPr>
                      <w:rFonts w:ascii="Times New Roman"/>
                      <w:b/>
                      <w:bCs/>
                      <w:color w:val="auto"/>
                      <w:sz w:val="21"/>
                      <w:szCs w:val="21"/>
                      <w:highlight w:val="none"/>
                    </w:rPr>
                    <w:t>管控要求</w:t>
                  </w:r>
                </w:p>
              </w:tc>
              <w:tc>
                <w:tcPr>
                  <w:tcW w:w="4947" w:type="dxa"/>
                  <w:tcBorders>
                    <w:top w:val="single" w:color="auto" w:sz="4" w:space="0"/>
                    <w:left w:val="single" w:color="auto" w:sz="4" w:space="0"/>
                    <w:bottom w:val="single" w:color="auto" w:sz="4" w:space="0"/>
                    <w:right w:val="single" w:color="auto" w:sz="4" w:space="0"/>
                  </w:tcBorders>
                  <w:shd w:val="clear" w:color="auto" w:fill="auto"/>
                  <w:vAlign w:val="center"/>
                </w:tcPr>
                <w:p w14:paraId="28B6546F">
                  <w:pPr>
                    <w:pStyle w:val="69"/>
                    <w:adjustRightInd/>
                    <w:spacing w:before="33" w:after="33" w:line="276" w:lineRule="auto"/>
                    <w:textAlignment w:val="center"/>
                    <w:rPr>
                      <w:rFonts w:ascii="Times New Roman"/>
                      <w:b/>
                      <w:bCs/>
                      <w:color w:val="auto"/>
                      <w:sz w:val="21"/>
                      <w:szCs w:val="21"/>
                      <w:highlight w:val="none"/>
                    </w:rPr>
                  </w:pPr>
                  <w:r>
                    <w:rPr>
                      <w:rFonts w:ascii="Times New Roman"/>
                      <w:b/>
                      <w:bCs/>
                      <w:color w:val="auto"/>
                      <w:sz w:val="21"/>
                      <w:szCs w:val="21"/>
                      <w:highlight w:val="none"/>
                    </w:rPr>
                    <w:t>具体内容</w:t>
                  </w:r>
                </w:p>
              </w:tc>
              <w:tc>
                <w:tcPr>
                  <w:tcW w:w="5847" w:type="dxa"/>
                  <w:tcBorders>
                    <w:top w:val="single" w:color="auto" w:sz="4" w:space="0"/>
                    <w:left w:val="single" w:color="auto" w:sz="4" w:space="0"/>
                    <w:bottom w:val="single" w:color="auto" w:sz="4" w:space="0"/>
                    <w:right w:val="single" w:color="auto" w:sz="4" w:space="0"/>
                  </w:tcBorders>
                  <w:shd w:val="clear" w:color="auto" w:fill="auto"/>
                  <w:vAlign w:val="center"/>
                </w:tcPr>
                <w:p w14:paraId="1C223A0E">
                  <w:pPr>
                    <w:pStyle w:val="69"/>
                    <w:adjustRightInd/>
                    <w:spacing w:before="33" w:after="33" w:line="276" w:lineRule="auto"/>
                    <w:textAlignment w:val="center"/>
                    <w:rPr>
                      <w:rFonts w:ascii="Times New Roman"/>
                      <w:b/>
                      <w:bCs/>
                      <w:color w:val="auto"/>
                      <w:sz w:val="21"/>
                      <w:szCs w:val="21"/>
                      <w:highlight w:val="none"/>
                    </w:rPr>
                  </w:pPr>
                  <w:r>
                    <w:rPr>
                      <w:rFonts w:ascii="Times New Roman"/>
                      <w:b/>
                      <w:bCs/>
                      <w:color w:val="auto"/>
                      <w:sz w:val="21"/>
                      <w:szCs w:val="21"/>
                      <w:highlight w:val="none"/>
                    </w:rPr>
                    <w:t>本项目情况</w:t>
                  </w:r>
                </w:p>
              </w:tc>
              <w:tc>
                <w:tcPr>
                  <w:tcW w:w="967" w:type="dxa"/>
                  <w:tcBorders>
                    <w:top w:val="single" w:color="auto" w:sz="4" w:space="0"/>
                    <w:left w:val="single" w:color="auto" w:sz="4" w:space="0"/>
                    <w:bottom w:val="single" w:color="auto" w:sz="4" w:space="0"/>
                    <w:right w:val="single" w:color="auto" w:sz="4" w:space="0"/>
                  </w:tcBorders>
                  <w:shd w:val="clear" w:color="auto" w:fill="auto"/>
                  <w:vAlign w:val="center"/>
                </w:tcPr>
                <w:p w14:paraId="7060C91E">
                  <w:pPr>
                    <w:pStyle w:val="69"/>
                    <w:adjustRightInd/>
                    <w:spacing w:before="33" w:after="33" w:line="276" w:lineRule="auto"/>
                    <w:textAlignment w:val="center"/>
                    <w:rPr>
                      <w:rFonts w:ascii="Times New Roman"/>
                      <w:b/>
                      <w:bCs/>
                      <w:color w:val="auto"/>
                      <w:sz w:val="21"/>
                      <w:szCs w:val="21"/>
                      <w:highlight w:val="none"/>
                    </w:rPr>
                  </w:pPr>
                  <w:r>
                    <w:rPr>
                      <w:rFonts w:ascii="Times New Roman"/>
                      <w:b/>
                      <w:bCs/>
                      <w:color w:val="auto"/>
                      <w:sz w:val="21"/>
                      <w:szCs w:val="21"/>
                      <w:highlight w:val="none"/>
                    </w:rPr>
                    <w:t>符合性</w:t>
                  </w:r>
                </w:p>
              </w:tc>
            </w:tr>
            <w:tr w14:paraId="2145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38" w:type="dxa"/>
                  <w:tcBorders>
                    <w:top w:val="single" w:color="auto" w:sz="4" w:space="0"/>
                    <w:left w:val="single" w:color="auto" w:sz="4" w:space="0"/>
                    <w:bottom w:val="single" w:color="auto" w:sz="4" w:space="0"/>
                    <w:right w:val="single" w:color="auto" w:sz="4" w:space="0"/>
                  </w:tcBorders>
                  <w:shd w:val="clear" w:color="auto" w:fill="auto"/>
                  <w:vAlign w:val="center"/>
                </w:tcPr>
                <w:p w14:paraId="620FF6A9">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1</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14:paraId="0B95AA34">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生态保护红线</w:t>
                  </w:r>
                </w:p>
              </w:tc>
              <w:tc>
                <w:tcPr>
                  <w:tcW w:w="4947" w:type="dxa"/>
                  <w:tcBorders>
                    <w:top w:val="single" w:color="auto" w:sz="4" w:space="0"/>
                    <w:left w:val="single" w:color="auto" w:sz="4" w:space="0"/>
                    <w:bottom w:val="single" w:color="auto" w:sz="4" w:space="0"/>
                    <w:right w:val="single" w:color="auto" w:sz="4" w:space="0"/>
                  </w:tcBorders>
                  <w:shd w:val="clear" w:color="auto" w:fill="auto"/>
                  <w:vAlign w:val="center"/>
                </w:tcPr>
                <w:p w14:paraId="7E29481B">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生态保护红线是生态空间范围内具有特殊重要生态功能必须实行强制性严格保护的区域。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5847" w:type="dxa"/>
                  <w:tcBorders>
                    <w:top w:val="single" w:color="auto" w:sz="4" w:space="0"/>
                    <w:left w:val="single" w:color="auto" w:sz="4" w:space="0"/>
                    <w:bottom w:val="single" w:color="auto" w:sz="4" w:space="0"/>
                    <w:right w:val="single" w:color="auto" w:sz="4" w:space="0"/>
                  </w:tcBorders>
                  <w:shd w:val="clear" w:color="auto" w:fill="auto"/>
                  <w:vAlign w:val="center"/>
                </w:tcPr>
                <w:p w14:paraId="78096376">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项目用地用途为工业</w:t>
                  </w:r>
                  <w:r>
                    <w:rPr>
                      <w:rFonts w:hint="eastAsia" w:ascii="Times New Roman"/>
                      <w:color w:val="auto"/>
                      <w:sz w:val="21"/>
                      <w:szCs w:val="21"/>
                      <w:highlight w:val="none"/>
                    </w:rPr>
                    <w:t>用地</w:t>
                  </w:r>
                  <w:r>
                    <w:rPr>
                      <w:rFonts w:ascii="Times New Roman"/>
                      <w:color w:val="auto"/>
                      <w:sz w:val="21"/>
                      <w:szCs w:val="21"/>
                      <w:highlight w:val="none"/>
                    </w:rPr>
                    <w:t>，不在生态保护红线和生态环境空间管控区内，符合生态保护红线要求。</w:t>
                  </w:r>
                </w:p>
              </w:tc>
              <w:tc>
                <w:tcPr>
                  <w:tcW w:w="967" w:type="dxa"/>
                  <w:tcBorders>
                    <w:top w:val="single" w:color="auto" w:sz="4" w:space="0"/>
                    <w:left w:val="single" w:color="auto" w:sz="4" w:space="0"/>
                    <w:bottom w:val="single" w:color="auto" w:sz="4" w:space="0"/>
                    <w:right w:val="single" w:color="auto" w:sz="4" w:space="0"/>
                  </w:tcBorders>
                  <w:shd w:val="clear" w:color="auto" w:fill="auto"/>
                  <w:vAlign w:val="center"/>
                </w:tcPr>
                <w:p w14:paraId="4FA417BC">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符合</w:t>
                  </w:r>
                </w:p>
              </w:tc>
            </w:tr>
            <w:tr w14:paraId="5080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38" w:type="dxa"/>
                  <w:tcBorders>
                    <w:top w:val="single" w:color="auto" w:sz="4" w:space="0"/>
                    <w:left w:val="single" w:color="auto" w:sz="4" w:space="0"/>
                    <w:bottom w:val="single" w:color="auto" w:sz="4" w:space="0"/>
                    <w:right w:val="single" w:color="auto" w:sz="4" w:space="0"/>
                  </w:tcBorders>
                  <w:shd w:val="clear" w:color="auto" w:fill="auto"/>
                  <w:vAlign w:val="center"/>
                </w:tcPr>
                <w:p w14:paraId="3D7FBA8B">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2</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14:paraId="5DA11190">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环境质量底线</w:t>
                  </w:r>
                </w:p>
              </w:tc>
              <w:tc>
                <w:tcPr>
                  <w:tcW w:w="4947" w:type="dxa"/>
                  <w:tcBorders>
                    <w:top w:val="single" w:color="auto" w:sz="4" w:space="0"/>
                    <w:left w:val="single" w:color="auto" w:sz="4" w:space="0"/>
                    <w:bottom w:val="single" w:color="auto" w:sz="4" w:space="0"/>
                    <w:right w:val="single" w:color="auto" w:sz="4" w:space="0"/>
                  </w:tcBorders>
                  <w:shd w:val="clear" w:color="auto" w:fill="auto"/>
                  <w:vAlign w:val="center"/>
                </w:tcPr>
                <w:p w14:paraId="02AE9560">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全省水环境质量持续改善，国考、省考断面优良水质比例稳步提升，全面消除劣Ⅳ类水体。大气环境质量继续领跑先行，PM</w:t>
                  </w:r>
                  <w:r>
                    <w:rPr>
                      <w:rFonts w:ascii="Times New Roman"/>
                      <w:color w:val="auto"/>
                      <w:sz w:val="21"/>
                      <w:szCs w:val="21"/>
                      <w:highlight w:val="none"/>
                      <w:vertAlign w:val="subscript"/>
                    </w:rPr>
                    <w:t>2.5</w:t>
                  </w:r>
                  <w:r>
                    <w:rPr>
                      <w:rFonts w:ascii="Times New Roman"/>
                      <w:color w:val="auto"/>
                      <w:sz w:val="21"/>
                      <w:szCs w:val="21"/>
                      <w:highlight w:val="none"/>
                    </w:rPr>
                    <w:t>年均浓度率先达到世界卫生组织过渡期二阶段目标值（25微克/立方米），臭氧污染得到有效遏制。土壤环境质量稳中向好，土壤环境风险得到管控。近岸海域水体质量稳步提升。</w:t>
                  </w:r>
                </w:p>
              </w:tc>
              <w:tc>
                <w:tcPr>
                  <w:tcW w:w="5847" w:type="dxa"/>
                  <w:tcBorders>
                    <w:top w:val="single" w:color="auto" w:sz="4" w:space="0"/>
                    <w:left w:val="single" w:color="auto" w:sz="4" w:space="0"/>
                    <w:bottom w:val="single" w:color="auto" w:sz="4" w:space="0"/>
                    <w:right w:val="single" w:color="auto" w:sz="4" w:space="0"/>
                  </w:tcBorders>
                  <w:shd w:val="clear" w:color="auto" w:fill="auto"/>
                  <w:vAlign w:val="center"/>
                </w:tcPr>
                <w:p w14:paraId="5B68448A">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根据《202</w:t>
                  </w:r>
                  <w:r>
                    <w:rPr>
                      <w:rFonts w:hint="eastAsia" w:ascii="Times New Roman"/>
                      <w:color w:val="auto"/>
                      <w:sz w:val="21"/>
                      <w:szCs w:val="21"/>
                      <w:highlight w:val="none"/>
                    </w:rPr>
                    <w:t>4</w:t>
                  </w:r>
                  <w:r>
                    <w:rPr>
                      <w:rFonts w:ascii="Times New Roman"/>
                      <w:color w:val="auto"/>
                      <w:sz w:val="21"/>
                      <w:szCs w:val="21"/>
                      <w:highlight w:val="none"/>
                    </w:rPr>
                    <w:t>年韶关市生态环境状况公报》，可知项目所在地大气环境质量属于达标区，地表水环境质量现状良好。</w:t>
                  </w:r>
                  <w:r>
                    <w:rPr>
                      <w:rFonts w:hint="eastAsia" w:ascii="Times New Roman"/>
                      <w:color w:val="auto"/>
                      <w:sz w:val="21"/>
                      <w:szCs w:val="21"/>
                      <w:highlight w:val="none"/>
                      <w:lang w:val="en-US" w:eastAsia="zh-CN"/>
                    </w:rPr>
                    <w:t>外排生产废水和生活污水排入园区污水处理厂进一步处理后排放</w:t>
                  </w:r>
                  <w:r>
                    <w:rPr>
                      <w:rFonts w:ascii="Times New Roman"/>
                      <w:color w:val="auto"/>
                      <w:sz w:val="21"/>
                      <w:szCs w:val="21"/>
                      <w:highlight w:val="none"/>
                    </w:rPr>
                    <w:t>。在严格落实各项污染防治措施的前提下，本项目的建设对周边环境影响较小，建成后不会突破当地环境质量底线，符合环境质量底线要求。</w:t>
                  </w:r>
                </w:p>
              </w:tc>
              <w:tc>
                <w:tcPr>
                  <w:tcW w:w="967" w:type="dxa"/>
                  <w:tcBorders>
                    <w:top w:val="single" w:color="auto" w:sz="4" w:space="0"/>
                    <w:left w:val="single" w:color="auto" w:sz="4" w:space="0"/>
                    <w:bottom w:val="single" w:color="auto" w:sz="4" w:space="0"/>
                    <w:right w:val="single" w:color="auto" w:sz="4" w:space="0"/>
                  </w:tcBorders>
                  <w:shd w:val="clear" w:color="auto" w:fill="auto"/>
                  <w:vAlign w:val="center"/>
                </w:tcPr>
                <w:p w14:paraId="6139E3D9">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符合</w:t>
                  </w:r>
                </w:p>
              </w:tc>
            </w:tr>
            <w:tr w14:paraId="3BC4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38" w:type="dxa"/>
                  <w:tcBorders>
                    <w:top w:val="single" w:color="auto" w:sz="4" w:space="0"/>
                    <w:left w:val="single" w:color="auto" w:sz="4" w:space="0"/>
                    <w:bottom w:val="single" w:color="auto" w:sz="4" w:space="0"/>
                    <w:right w:val="single" w:color="auto" w:sz="4" w:space="0"/>
                  </w:tcBorders>
                  <w:shd w:val="clear" w:color="auto" w:fill="auto"/>
                  <w:vAlign w:val="center"/>
                </w:tcPr>
                <w:p w14:paraId="7B4D0B8F">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3</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14:paraId="4CE6534C">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资源利用上线</w:t>
                  </w:r>
                </w:p>
              </w:tc>
              <w:tc>
                <w:tcPr>
                  <w:tcW w:w="4947" w:type="dxa"/>
                  <w:tcBorders>
                    <w:top w:val="single" w:color="auto" w:sz="4" w:space="0"/>
                    <w:left w:val="single" w:color="auto" w:sz="4" w:space="0"/>
                    <w:bottom w:val="single" w:color="auto" w:sz="4" w:space="0"/>
                    <w:right w:val="single" w:color="auto" w:sz="4" w:space="0"/>
                  </w:tcBorders>
                  <w:shd w:val="clear" w:color="auto" w:fill="auto"/>
                  <w:vAlign w:val="center"/>
                </w:tcPr>
                <w:p w14:paraId="0C885918">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强化节约集约利用，持续提升资源能源利用效率</w:t>
                  </w:r>
                  <w:r>
                    <w:rPr>
                      <w:rFonts w:hint="eastAsia" w:ascii="Times New Roman"/>
                      <w:color w:val="auto"/>
                      <w:sz w:val="21"/>
                      <w:szCs w:val="21"/>
                      <w:highlight w:val="none"/>
                    </w:rPr>
                    <w:t>，</w:t>
                  </w:r>
                  <w:r>
                    <w:rPr>
                      <w:rFonts w:ascii="Times New Roman"/>
                      <w:color w:val="auto"/>
                      <w:sz w:val="21"/>
                      <w:szCs w:val="21"/>
                      <w:highlight w:val="none"/>
                    </w:rPr>
                    <w:t>水资源、土地资源、岸线资源、能源消耗等达到或优于国家下达的总量和强度控制目标。</w:t>
                  </w:r>
                </w:p>
              </w:tc>
              <w:tc>
                <w:tcPr>
                  <w:tcW w:w="5847" w:type="dxa"/>
                  <w:tcBorders>
                    <w:top w:val="single" w:color="auto" w:sz="4" w:space="0"/>
                    <w:left w:val="single" w:color="auto" w:sz="4" w:space="0"/>
                    <w:bottom w:val="single" w:color="auto" w:sz="4" w:space="0"/>
                    <w:right w:val="single" w:color="auto" w:sz="4" w:space="0"/>
                  </w:tcBorders>
                  <w:shd w:val="clear" w:color="auto" w:fill="auto"/>
                  <w:vAlign w:val="center"/>
                </w:tcPr>
                <w:p w14:paraId="6944A984">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本项目不占用基本农田等，土地资源消耗符合要求；生产所用资源主要为水、电，由市政自来水管网供水，由市政电网供电，不会突破当地的资源利用上线。生产及辅助设备均使用电能源，资源消耗量相对较少，不属于“三高”行业建设项目。</w:t>
                  </w:r>
                </w:p>
              </w:tc>
              <w:tc>
                <w:tcPr>
                  <w:tcW w:w="967" w:type="dxa"/>
                  <w:tcBorders>
                    <w:top w:val="single" w:color="auto" w:sz="4" w:space="0"/>
                    <w:left w:val="single" w:color="auto" w:sz="4" w:space="0"/>
                    <w:bottom w:val="single" w:color="auto" w:sz="4" w:space="0"/>
                    <w:right w:val="single" w:color="auto" w:sz="4" w:space="0"/>
                  </w:tcBorders>
                  <w:shd w:val="clear" w:color="auto" w:fill="auto"/>
                  <w:vAlign w:val="center"/>
                </w:tcPr>
                <w:p w14:paraId="635E4358">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符合</w:t>
                  </w:r>
                </w:p>
              </w:tc>
            </w:tr>
            <w:tr w14:paraId="611B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38" w:type="dxa"/>
                  <w:tcBorders>
                    <w:top w:val="single" w:color="auto" w:sz="4" w:space="0"/>
                    <w:left w:val="single" w:color="auto" w:sz="4" w:space="0"/>
                    <w:bottom w:val="single" w:color="auto" w:sz="4" w:space="0"/>
                    <w:right w:val="single" w:color="auto" w:sz="4" w:space="0"/>
                  </w:tcBorders>
                  <w:shd w:val="clear" w:color="auto" w:fill="auto"/>
                  <w:vAlign w:val="center"/>
                </w:tcPr>
                <w:p w14:paraId="5127CADA">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4</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14:paraId="675CCC65">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生态环境准入清单</w:t>
                  </w:r>
                </w:p>
              </w:tc>
              <w:tc>
                <w:tcPr>
                  <w:tcW w:w="4947" w:type="dxa"/>
                  <w:tcBorders>
                    <w:top w:val="single" w:color="auto" w:sz="4" w:space="0"/>
                    <w:left w:val="single" w:color="auto" w:sz="4" w:space="0"/>
                    <w:bottom w:val="single" w:color="auto" w:sz="4" w:space="0"/>
                    <w:right w:val="single" w:color="auto" w:sz="4" w:space="0"/>
                  </w:tcBorders>
                  <w:shd w:val="clear" w:color="auto" w:fill="auto"/>
                  <w:vAlign w:val="center"/>
                </w:tcPr>
                <w:p w14:paraId="2C8AA261">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从区域布局管控、能源资源利用、污染物排放管控和环境风险防控等方面明确准入要求，建立“1+3+N”三级生态环境准入清单体系。“1”为全省总体管控要求，“3”为“一核一带一区”区域管控要求，“N”为1912个陆域环境管控单元和471个海域环境管控单元的管控要求。</w:t>
                  </w:r>
                </w:p>
              </w:tc>
              <w:tc>
                <w:tcPr>
                  <w:tcW w:w="5847" w:type="dxa"/>
                  <w:tcBorders>
                    <w:top w:val="single" w:color="auto" w:sz="4" w:space="0"/>
                    <w:left w:val="single" w:color="auto" w:sz="4" w:space="0"/>
                    <w:bottom w:val="single" w:color="auto" w:sz="4" w:space="0"/>
                    <w:right w:val="single" w:color="auto" w:sz="4" w:space="0"/>
                  </w:tcBorders>
                  <w:shd w:val="clear" w:color="auto" w:fill="auto"/>
                  <w:vAlign w:val="center"/>
                </w:tcPr>
                <w:p w14:paraId="2C7189AE">
                  <w:pPr>
                    <w:pStyle w:val="69"/>
                    <w:adjustRightInd/>
                    <w:spacing w:before="33" w:after="33" w:line="276" w:lineRule="auto"/>
                    <w:jc w:val="both"/>
                    <w:textAlignment w:val="center"/>
                    <w:rPr>
                      <w:rFonts w:ascii="Times New Roman"/>
                      <w:color w:val="auto"/>
                      <w:sz w:val="21"/>
                      <w:szCs w:val="21"/>
                      <w:highlight w:val="none"/>
                    </w:rPr>
                  </w:pPr>
                  <w:r>
                    <w:rPr>
                      <w:rFonts w:ascii="Times New Roman"/>
                      <w:color w:val="auto"/>
                      <w:sz w:val="21"/>
                      <w:szCs w:val="21"/>
                      <w:highlight w:val="none"/>
                    </w:rPr>
                    <w:t>本项目营运期主要污染物为废水、废气、噪声和固体废物，分别经处理后均能实现达标排放，固体废物经有效的分类收集、处置，对周围环境影响较小，故本项目可与周围环境相容，</w:t>
                  </w:r>
                  <w:r>
                    <w:rPr>
                      <w:rFonts w:hint="eastAsia" w:ascii="Times New Roman"/>
                      <w:color w:val="auto"/>
                      <w:sz w:val="21"/>
                      <w:szCs w:val="21"/>
                      <w:highlight w:val="none"/>
                    </w:rPr>
                    <w:t>对照</w:t>
                  </w:r>
                  <w:r>
                    <w:rPr>
                      <w:rFonts w:ascii="Times New Roman"/>
                      <w:color w:val="auto"/>
                      <w:sz w:val="21"/>
                      <w:szCs w:val="21"/>
                      <w:highlight w:val="none"/>
                    </w:rPr>
                    <w:t>《国家发展改革委商务部关于印发&lt;市场准入负面清单（2025年版）&gt;的通知》（发改体改规〔2025〕466号）</w:t>
                  </w:r>
                  <w:r>
                    <w:rPr>
                      <w:rFonts w:hint="eastAsia" w:ascii="Times New Roman"/>
                      <w:color w:val="auto"/>
                      <w:sz w:val="21"/>
                      <w:szCs w:val="21"/>
                      <w:highlight w:val="none"/>
                    </w:rPr>
                    <w:t>，本项目无</w:t>
                  </w:r>
                  <w:r>
                    <w:rPr>
                      <w:rFonts w:ascii="Times New Roman"/>
                      <w:color w:val="auto"/>
                      <w:sz w:val="21"/>
                      <w:szCs w:val="21"/>
                      <w:highlight w:val="none"/>
                    </w:rPr>
                    <w:t>禁止</w:t>
                  </w:r>
                  <w:r>
                    <w:rPr>
                      <w:rFonts w:hint="eastAsia" w:ascii="Times New Roman"/>
                      <w:color w:val="auto"/>
                      <w:sz w:val="21"/>
                      <w:szCs w:val="21"/>
                      <w:highlight w:val="none"/>
                    </w:rPr>
                    <w:t>或许可事项</w:t>
                  </w:r>
                  <w:r>
                    <w:rPr>
                      <w:rFonts w:ascii="Times New Roman"/>
                      <w:color w:val="auto"/>
                      <w:sz w:val="21"/>
                      <w:szCs w:val="21"/>
                      <w:highlight w:val="none"/>
                    </w:rPr>
                    <w:t>。</w:t>
                  </w:r>
                </w:p>
              </w:tc>
              <w:tc>
                <w:tcPr>
                  <w:tcW w:w="967" w:type="dxa"/>
                  <w:tcBorders>
                    <w:top w:val="single" w:color="auto" w:sz="4" w:space="0"/>
                    <w:left w:val="single" w:color="auto" w:sz="4" w:space="0"/>
                    <w:bottom w:val="single" w:color="auto" w:sz="4" w:space="0"/>
                    <w:right w:val="single" w:color="auto" w:sz="4" w:space="0"/>
                  </w:tcBorders>
                  <w:shd w:val="clear" w:color="auto" w:fill="auto"/>
                  <w:vAlign w:val="center"/>
                </w:tcPr>
                <w:p w14:paraId="1BBA7381">
                  <w:pPr>
                    <w:pStyle w:val="69"/>
                    <w:adjustRightInd/>
                    <w:spacing w:before="33" w:after="33" w:line="276" w:lineRule="auto"/>
                    <w:textAlignment w:val="center"/>
                    <w:rPr>
                      <w:rFonts w:ascii="Times New Roman"/>
                      <w:color w:val="auto"/>
                      <w:sz w:val="21"/>
                      <w:szCs w:val="21"/>
                      <w:highlight w:val="none"/>
                    </w:rPr>
                  </w:pPr>
                  <w:r>
                    <w:rPr>
                      <w:rFonts w:ascii="Times New Roman"/>
                      <w:color w:val="auto"/>
                      <w:sz w:val="21"/>
                      <w:szCs w:val="21"/>
                      <w:highlight w:val="none"/>
                    </w:rPr>
                    <w:t>符合</w:t>
                  </w:r>
                </w:p>
              </w:tc>
            </w:tr>
          </w:tbl>
          <w:p w14:paraId="635CF30D">
            <w:pPr>
              <w:pStyle w:val="107"/>
              <w:rPr>
                <w:color w:val="auto"/>
                <w:sz w:val="21"/>
                <w:szCs w:val="21"/>
                <w:highlight w:val="none"/>
              </w:rPr>
            </w:pPr>
            <w:r>
              <w:rPr>
                <w:rFonts w:hint="eastAsia"/>
                <w:color w:val="auto"/>
                <w:sz w:val="21"/>
                <w:szCs w:val="21"/>
                <w:highlight w:val="none"/>
              </w:rPr>
              <w:t>环境管控单元要求一览表</w:t>
            </w:r>
          </w:p>
          <w:tbl>
            <w:tblPr>
              <w:tblStyle w:val="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7050"/>
              <w:gridCol w:w="4398"/>
              <w:gridCol w:w="1175"/>
            </w:tblGrid>
            <w:tr w14:paraId="1BDF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Align w:val="center"/>
                </w:tcPr>
                <w:p w14:paraId="5F7CB026">
                  <w:pPr>
                    <w:widowControl/>
                    <w:wordWrap w:val="0"/>
                    <w:snapToGrid w:val="0"/>
                    <w:spacing w:line="276" w:lineRule="auto"/>
                    <w:jc w:val="center"/>
                    <w:textAlignment w:val="center"/>
                    <w:rPr>
                      <w:b/>
                      <w:bCs/>
                      <w:color w:val="auto"/>
                      <w:position w:val="-10"/>
                      <w:sz w:val="21"/>
                      <w:szCs w:val="21"/>
                      <w:highlight w:val="none"/>
                    </w:rPr>
                  </w:pPr>
                  <w:r>
                    <w:rPr>
                      <w:rFonts w:hint="eastAsia"/>
                      <w:b/>
                      <w:bCs/>
                      <w:color w:val="auto"/>
                      <w:position w:val="-10"/>
                      <w:sz w:val="21"/>
                      <w:szCs w:val="21"/>
                      <w:highlight w:val="none"/>
                    </w:rPr>
                    <w:t>单元</w:t>
                  </w:r>
                </w:p>
              </w:tc>
              <w:tc>
                <w:tcPr>
                  <w:tcW w:w="2613" w:type="pct"/>
                  <w:vAlign w:val="center"/>
                </w:tcPr>
                <w:p w14:paraId="671401C3">
                  <w:pPr>
                    <w:widowControl/>
                    <w:wordWrap w:val="0"/>
                    <w:snapToGrid w:val="0"/>
                    <w:spacing w:line="276" w:lineRule="auto"/>
                    <w:jc w:val="center"/>
                    <w:textAlignment w:val="center"/>
                    <w:rPr>
                      <w:b/>
                      <w:bCs/>
                      <w:color w:val="auto"/>
                      <w:position w:val="-10"/>
                      <w:sz w:val="21"/>
                      <w:szCs w:val="21"/>
                      <w:highlight w:val="none"/>
                    </w:rPr>
                  </w:pPr>
                  <w:r>
                    <w:rPr>
                      <w:rFonts w:hint="eastAsia"/>
                      <w:b/>
                      <w:bCs/>
                      <w:color w:val="auto"/>
                      <w:position w:val="-10"/>
                      <w:sz w:val="21"/>
                      <w:szCs w:val="21"/>
                      <w:highlight w:val="none"/>
                    </w:rPr>
                    <w:t>保护和管控分区或相关要求（节选）</w:t>
                  </w:r>
                </w:p>
              </w:tc>
              <w:tc>
                <w:tcPr>
                  <w:tcW w:w="1630" w:type="pct"/>
                  <w:vAlign w:val="center"/>
                </w:tcPr>
                <w:p w14:paraId="59E7071F">
                  <w:pPr>
                    <w:widowControl/>
                    <w:wordWrap w:val="0"/>
                    <w:snapToGrid w:val="0"/>
                    <w:spacing w:line="276" w:lineRule="auto"/>
                    <w:jc w:val="center"/>
                    <w:textAlignment w:val="center"/>
                    <w:rPr>
                      <w:b/>
                      <w:bCs/>
                      <w:color w:val="auto"/>
                      <w:position w:val="-10"/>
                      <w:sz w:val="21"/>
                      <w:szCs w:val="21"/>
                      <w:highlight w:val="none"/>
                    </w:rPr>
                  </w:pPr>
                  <w:r>
                    <w:rPr>
                      <w:rFonts w:hint="eastAsia"/>
                      <w:b/>
                      <w:bCs/>
                      <w:color w:val="auto"/>
                      <w:position w:val="-10"/>
                      <w:sz w:val="21"/>
                      <w:szCs w:val="21"/>
                      <w:highlight w:val="none"/>
                    </w:rPr>
                    <w:t>项目情况</w:t>
                  </w:r>
                </w:p>
              </w:tc>
              <w:tc>
                <w:tcPr>
                  <w:tcW w:w="435" w:type="pct"/>
                  <w:vAlign w:val="center"/>
                </w:tcPr>
                <w:p w14:paraId="452F6DAC">
                  <w:pPr>
                    <w:pStyle w:val="64"/>
                    <w:snapToGrid w:val="0"/>
                    <w:spacing w:line="276" w:lineRule="auto"/>
                    <w:rPr>
                      <w:b/>
                      <w:bCs/>
                      <w:color w:val="auto"/>
                      <w:kern w:val="2"/>
                      <w:highlight w:val="none"/>
                    </w:rPr>
                  </w:pPr>
                  <w:r>
                    <w:rPr>
                      <w:rFonts w:hint="eastAsia"/>
                      <w:b/>
                      <w:bCs/>
                      <w:color w:val="auto"/>
                      <w:kern w:val="2"/>
                      <w:highlight w:val="none"/>
                    </w:rPr>
                    <w:t>是否符合</w:t>
                  </w:r>
                </w:p>
              </w:tc>
            </w:tr>
            <w:tr w14:paraId="7B58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Merge w:val="restart"/>
                  <w:vAlign w:val="center"/>
                </w:tcPr>
                <w:p w14:paraId="2D0EEBB9">
                  <w:pPr>
                    <w:pStyle w:val="64"/>
                    <w:snapToGrid w:val="0"/>
                    <w:spacing w:line="276" w:lineRule="auto"/>
                    <w:rPr>
                      <w:color w:val="auto"/>
                      <w:kern w:val="2"/>
                      <w:highlight w:val="none"/>
                    </w:rPr>
                  </w:pPr>
                  <w:r>
                    <w:rPr>
                      <w:rFonts w:hint="eastAsia"/>
                      <w:color w:val="auto"/>
                      <w:kern w:val="2"/>
                      <w:highlight w:val="none"/>
                    </w:rPr>
                    <w:t>优先保护单元</w:t>
                  </w:r>
                </w:p>
              </w:tc>
              <w:tc>
                <w:tcPr>
                  <w:tcW w:w="2613" w:type="pct"/>
                  <w:vAlign w:val="center"/>
                </w:tcPr>
                <w:p w14:paraId="699BC1C2">
                  <w:pPr>
                    <w:pStyle w:val="64"/>
                    <w:snapToGrid w:val="0"/>
                    <w:spacing w:line="276" w:lineRule="auto"/>
                    <w:rPr>
                      <w:color w:val="auto"/>
                      <w:kern w:val="2"/>
                      <w:highlight w:val="none"/>
                    </w:rPr>
                  </w:pPr>
                  <w:r>
                    <w:rPr>
                      <w:rFonts w:hint="eastAsia"/>
                      <w:color w:val="auto"/>
                      <w:kern w:val="2"/>
                      <w:highlight w:val="none"/>
                    </w:rPr>
                    <w:t>生态优先保护区：生态保护红线、一般生态空间</w:t>
                  </w:r>
                </w:p>
              </w:tc>
              <w:tc>
                <w:tcPr>
                  <w:tcW w:w="1630" w:type="pct"/>
                  <w:vAlign w:val="center"/>
                </w:tcPr>
                <w:p w14:paraId="660BC92D">
                  <w:pPr>
                    <w:pStyle w:val="64"/>
                    <w:snapToGrid w:val="0"/>
                    <w:spacing w:line="276" w:lineRule="auto"/>
                    <w:rPr>
                      <w:color w:val="auto"/>
                      <w:kern w:val="2"/>
                      <w:highlight w:val="none"/>
                    </w:rPr>
                  </w:pPr>
                  <w:r>
                    <w:rPr>
                      <w:rFonts w:hint="eastAsia"/>
                      <w:color w:val="auto"/>
                      <w:kern w:val="2"/>
                      <w:highlight w:val="none"/>
                    </w:rPr>
                    <w:t>项目不在生态保护红线内，详见附图8</w:t>
                  </w:r>
                </w:p>
              </w:tc>
              <w:tc>
                <w:tcPr>
                  <w:tcW w:w="435" w:type="pct"/>
                  <w:vAlign w:val="center"/>
                </w:tcPr>
                <w:p w14:paraId="7BB46001">
                  <w:pPr>
                    <w:pStyle w:val="64"/>
                    <w:snapToGrid w:val="0"/>
                    <w:spacing w:line="276" w:lineRule="auto"/>
                    <w:rPr>
                      <w:color w:val="auto"/>
                      <w:kern w:val="2"/>
                      <w:highlight w:val="none"/>
                    </w:rPr>
                  </w:pPr>
                  <w:r>
                    <w:rPr>
                      <w:rFonts w:hint="eastAsia"/>
                      <w:color w:val="auto"/>
                      <w:kern w:val="2"/>
                      <w:highlight w:val="none"/>
                    </w:rPr>
                    <w:t>符合</w:t>
                  </w:r>
                </w:p>
              </w:tc>
            </w:tr>
            <w:tr w14:paraId="35BC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Merge w:val="continue"/>
                  <w:vAlign w:val="center"/>
                </w:tcPr>
                <w:p w14:paraId="0D67D452">
                  <w:pPr>
                    <w:pStyle w:val="64"/>
                    <w:snapToGrid w:val="0"/>
                    <w:spacing w:line="276" w:lineRule="auto"/>
                    <w:rPr>
                      <w:color w:val="auto"/>
                      <w:kern w:val="2"/>
                      <w:highlight w:val="none"/>
                    </w:rPr>
                  </w:pPr>
                </w:p>
              </w:tc>
              <w:tc>
                <w:tcPr>
                  <w:tcW w:w="2613" w:type="pct"/>
                  <w:vAlign w:val="center"/>
                </w:tcPr>
                <w:p w14:paraId="18DC341C">
                  <w:pPr>
                    <w:pStyle w:val="64"/>
                    <w:snapToGrid w:val="0"/>
                    <w:spacing w:line="276" w:lineRule="auto"/>
                    <w:rPr>
                      <w:color w:val="auto"/>
                      <w:kern w:val="2"/>
                      <w:highlight w:val="none"/>
                    </w:rPr>
                  </w:pPr>
                  <w:r>
                    <w:rPr>
                      <w:rFonts w:hint="eastAsia"/>
                      <w:color w:val="auto"/>
                      <w:kern w:val="2"/>
                      <w:highlight w:val="none"/>
                    </w:rPr>
                    <w:t>水环境优先保护区：饮用水水源一级保护区、二级保护区、准保护区</w:t>
                  </w:r>
                </w:p>
              </w:tc>
              <w:tc>
                <w:tcPr>
                  <w:tcW w:w="1630" w:type="pct"/>
                  <w:vAlign w:val="center"/>
                </w:tcPr>
                <w:p w14:paraId="4D594748">
                  <w:pPr>
                    <w:pStyle w:val="64"/>
                    <w:snapToGrid w:val="0"/>
                    <w:spacing w:line="276" w:lineRule="auto"/>
                    <w:rPr>
                      <w:color w:val="auto"/>
                      <w:kern w:val="2"/>
                      <w:highlight w:val="none"/>
                    </w:rPr>
                  </w:pPr>
                  <w:r>
                    <w:rPr>
                      <w:rFonts w:hint="eastAsia"/>
                      <w:color w:val="auto"/>
                      <w:kern w:val="2"/>
                      <w:highlight w:val="none"/>
                    </w:rPr>
                    <w:t>项目不在饮用水水源保护区内，不属于水环境优先保护区，详见附图9</w:t>
                  </w:r>
                </w:p>
              </w:tc>
              <w:tc>
                <w:tcPr>
                  <w:tcW w:w="435" w:type="pct"/>
                  <w:vAlign w:val="center"/>
                </w:tcPr>
                <w:p w14:paraId="0DB9AEA0">
                  <w:pPr>
                    <w:pStyle w:val="64"/>
                    <w:snapToGrid w:val="0"/>
                    <w:spacing w:line="276" w:lineRule="auto"/>
                    <w:rPr>
                      <w:color w:val="auto"/>
                      <w:kern w:val="2"/>
                      <w:highlight w:val="none"/>
                    </w:rPr>
                  </w:pPr>
                  <w:r>
                    <w:rPr>
                      <w:rFonts w:hint="eastAsia"/>
                      <w:color w:val="auto"/>
                      <w:kern w:val="2"/>
                      <w:highlight w:val="none"/>
                    </w:rPr>
                    <w:t>符合</w:t>
                  </w:r>
                </w:p>
              </w:tc>
            </w:tr>
            <w:tr w14:paraId="07CC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0" w:type="pct"/>
                  <w:vMerge w:val="continue"/>
                  <w:vAlign w:val="center"/>
                </w:tcPr>
                <w:p w14:paraId="0DD1E3F5">
                  <w:pPr>
                    <w:pStyle w:val="64"/>
                    <w:snapToGrid w:val="0"/>
                    <w:spacing w:line="276" w:lineRule="auto"/>
                    <w:rPr>
                      <w:color w:val="auto"/>
                      <w:kern w:val="2"/>
                      <w:highlight w:val="none"/>
                    </w:rPr>
                  </w:pPr>
                </w:p>
              </w:tc>
              <w:tc>
                <w:tcPr>
                  <w:tcW w:w="2613" w:type="pct"/>
                  <w:vAlign w:val="center"/>
                </w:tcPr>
                <w:p w14:paraId="26F6CDBA">
                  <w:pPr>
                    <w:pStyle w:val="64"/>
                    <w:snapToGrid w:val="0"/>
                    <w:spacing w:line="276" w:lineRule="auto"/>
                    <w:rPr>
                      <w:color w:val="auto"/>
                      <w:kern w:val="2"/>
                      <w:highlight w:val="none"/>
                    </w:rPr>
                  </w:pPr>
                  <w:r>
                    <w:rPr>
                      <w:rFonts w:hint="eastAsia"/>
                      <w:color w:val="auto"/>
                      <w:kern w:val="2"/>
                      <w:highlight w:val="none"/>
                    </w:rPr>
                    <w:t>大气环境优先保护区（环境空气质量一类功能区）</w:t>
                  </w:r>
                </w:p>
              </w:tc>
              <w:tc>
                <w:tcPr>
                  <w:tcW w:w="1630" w:type="pct"/>
                  <w:vAlign w:val="center"/>
                </w:tcPr>
                <w:p w14:paraId="3DBA49E8">
                  <w:pPr>
                    <w:pStyle w:val="64"/>
                    <w:snapToGrid w:val="0"/>
                    <w:spacing w:line="276" w:lineRule="auto"/>
                    <w:rPr>
                      <w:color w:val="auto"/>
                      <w:kern w:val="2"/>
                      <w:highlight w:val="none"/>
                    </w:rPr>
                  </w:pPr>
                  <w:r>
                    <w:rPr>
                      <w:rFonts w:hint="eastAsia"/>
                      <w:color w:val="auto"/>
                      <w:kern w:val="2"/>
                      <w:highlight w:val="none"/>
                    </w:rPr>
                    <w:t>项目属于空气质量二类功能区，不属于大气环境优先保护区，详见附图10</w:t>
                  </w:r>
                </w:p>
              </w:tc>
              <w:tc>
                <w:tcPr>
                  <w:tcW w:w="435" w:type="pct"/>
                  <w:vAlign w:val="center"/>
                </w:tcPr>
                <w:p w14:paraId="7C8B109D">
                  <w:pPr>
                    <w:pStyle w:val="64"/>
                    <w:snapToGrid w:val="0"/>
                    <w:spacing w:line="276" w:lineRule="auto"/>
                    <w:rPr>
                      <w:color w:val="auto"/>
                      <w:kern w:val="2"/>
                      <w:highlight w:val="none"/>
                    </w:rPr>
                  </w:pPr>
                  <w:r>
                    <w:rPr>
                      <w:rFonts w:hint="eastAsia"/>
                      <w:color w:val="auto"/>
                      <w:kern w:val="2"/>
                      <w:highlight w:val="none"/>
                    </w:rPr>
                    <w:t>符合</w:t>
                  </w:r>
                </w:p>
              </w:tc>
            </w:tr>
            <w:tr w14:paraId="73B2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Merge w:val="restart"/>
                  <w:vAlign w:val="center"/>
                </w:tcPr>
                <w:p w14:paraId="6D8884B6">
                  <w:pPr>
                    <w:pStyle w:val="64"/>
                    <w:snapToGrid w:val="0"/>
                    <w:spacing w:line="276" w:lineRule="auto"/>
                    <w:rPr>
                      <w:color w:val="auto"/>
                      <w:kern w:val="2"/>
                      <w:highlight w:val="none"/>
                    </w:rPr>
                  </w:pPr>
                  <w:r>
                    <w:rPr>
                      <w:rFonts w:hint="eastAsia"/>
                      <w:color w:val="auto"/>
                      <w:kern w:val="2"/>
                      <w:highlight w:val="none"/>
                    </w:rPr>
                    <w:t>重点管控单元</w:t>
                  </w:r>
                </w:p>
              </w:tc>
              <w:tc>
                <w:tcPr>
                  <w:tcW w:w="2613" w:type="pct"/>
                  <w:vAlign w:val="center"/>
                </w:tcPr>
                <w:p w14:paraId="7FBE9388">
                  <w:pPr>
                    <w:pStyle w:val="64"/>
                    <w:snapToGrid w:val="0"/>
                    <w:spacing w:line="276" w:lineRule="auto"/>
                    <w:rPr>
                      <w:color w:val="auto"/>
                      <w:kern w:val="2"/>
                      <w:highlight w:val="none"/>
                    </w:rPr>
                  </w:pPr>
                  <w:r>
                    <w:rPr>
                      <w:rFonts w:hint="eastAsia"/>
                      <w:color w:val="auto"/>
                      <w:kern w:val="2"/>
                      <w:highlight w:val="none"/>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30" w:type="pct"/>
                  <w:vAlign w:val="center"/>
                </w:tcPr>
                <w:p w14:paraId="7471938A">
                  <w:pPr>
                    <w:snapToGrid w:val="0"/>
                    <w:spacing w:line="276" w:lineRule="auto"/>
                    <w:jc w:val="center"/>
                    <w:rPr>
                      <w:color w:val="auto"/>
                      <w:highlight w:val="none"/>
                    </w:rPr>
                  </w:pPr>
                  <w:r>
                    <w:rPr>
                      <w:rFonts w:hint="eastAsia"/>
                      <w:color w:val="auto"/>
                      <w:sz w:val="21"/>
                      <w:szCs w:val="21"/>
                      <w:highlight w:val="none"/>
                    </w:rPr>
                    <w:t>根据附图13，项目位于乐昌经济开发区重点管控单元（管控编码ZH44028120003），属于园区重点管控单元，</w:t>
                  </w:r>
                  <w:r>
                    <w:rPr>
                      <w:rFonts w:hint="eastAsia"/>
                      <w:color w:val="auto"/>
                      <w:sz w:val="21"/>
                      <w:szCs w:val="21"/>
                      <w:highlight w:val="none"/>
                      <w:lang w:val="en-US" w:eastAsia="zh-CN"/>
                    </w:rPr>
                    <w:t>本</w:t>
                  </w:r>
                  <w:r>
                    <w:rPr>
                      <w:rFonts w:hint="eastAsia"/>
                      <w:color w:val="auto"/>
                      <w:sz w:val="21"/>
                      <w:szCs w:val="21"/>
                      <w:highlight w:val="none"/>
                    </w:rPr>
                    <w:t>项目</w:t>
                  </w:r>
                  <w:r>
                    <w:rPr>
                      <w:rFonts w:hint="eastAsia"/>
                      <w:color w:val="auto"/>
                      <w:sz w:val="21"/>
                      <w:szCs w:val="21"/>
                      <w:highlight w:val="none"/>
                      <w:lang w:val="en-US" w:eastAsia="zh-CN"/>
                    </w:rPr>
                    <w:t>对</w:t>
                  </w:r>
                  <w:r>
                    <w:rPr>
                      <w:rFonts w:hint="eastAsia"/>
                      <w:color w:val="auto"/>
                      <w:sz w:val="21"/>
                      <w:szCs w:val="21"/>
                      <w:highlight w:val="none"/>
                    </w:rPr>
                    <w:t>废塑料</w:t>
                  </w:r>
                  <w:r>
                    <w:rPr>
                      <w:rFonts w:hint="eastAsia"/>
                      <w:color w:val="auto"/>
                      <w:sz w:val="21"/>
                      <w:szCs w:val="21"/>
                      <w:highlight w:val="none"/>
                      <w:lang w:eastAsia="zh-CN"/>
                    </w:rPr>
                    <w:t>破碎清洗分选造粒</w:t>
                  </w:r>
                  <w:r>
                    <w:rPr>
                      <w:rFonts w:hint="eastAsia"/>
                      <w:color w:val="auto"/>
                      <w:sz w:val="21"/>
                      <w:szCs w:val="21"/>
                      <w:highlight w:val="none"/>
                    </w:rPr>
                    <w:t>；</w:t>
                  </w:r>
                  <w:r>
                    <w:rPr>
                      <w:rFonts w:hint="eastAsia"/>
                      <w:color w:val="auto"/>
                      <w:sz w:val="21"/>
                      <w:szCs w:val="21"/>
                      <w:highlight w:val="none"/>
                      <w:lang w:val="en-US" w:eastAsia="zh-CN"/>
                    </w:rPr>
                    <w:t>废水经处理后排入园区污水处理厂处理</w:t>
                  </w:r>
                  <w:r>
                    <w:rPr>
                      <w:rFonts w:hint="eastAsia"/>
                      <w:color w:val="auto"/>
                      <w:sz w:val="21"/>
                      <w:szCs w:val="21"/>
                      <w:highlight w:val="none"/>
                    </w:rPr>
                    <w:t>，无需分配水污染物总量。</w:t>
                  </w:r>
                </w:p>
              </w:tc>
              <w:tc>
                <w:tcPr>
                  <w:tcW w:w="435" w:type="pct"/>
                  <w:vAlign w:val="center"/>
                </w:tcPr>
                <w:p w14:paraId="18B32687">
                  <w:pPr>
                    <w:pStyle w:val="64"/>
                    <w:snapToGrid w:val="0"/>
                    <w:spacing w:line="276" w:lineRule="auto"/>
                    <w:rPr>
                      <w:color w:val="auto"/>
                      <w:kern w:val="2"/>
                      <w:highlight w:val="none"/>
                    </w:rPr>
                  </w:pPr>
                  <w:r>
                    <w:rPr>
                      <w:rFonts w:hint="eastAsia"/>
                      <w:color w:val="auto"/>
                      <w:kern w:val="2"/>
                      <w:highlight w:val="none"/>
                    </w:rPr>
                    <w:t>符合</w:t>
                  </w:r>
                </w:p>
              </w:tc>
            </w:tr>
            <w:tr w14:paraId="2D8E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Merge w:val="continue"/>
                  <w:vAlign w:val="center"/>
                </w:tcPr>
                <w:p w14:paraId="3BE9DE40">
                  <w:pPr>
                    <w:pStyle w:val="64"/>
                    <w:snapToGrid w:val="0"/>
                    <w:spacing w:line="276" w:lineRule="auto"/>
                    <w:rPr>
                      <w:color w:val="auto"/>
                      <w:kern w:val="2"/>
                      <w:highlight w:val="none"/>
                    </w:rPr>
                  </w:pPr>
                </w:p>
              </w:tc>
              <w:tc>
                <w:tcPr>
                  <w:tcW w:w="2613" w:type="pct"/>
                  <w:vAlign w:val="center"/>
                </w:tcPr>
                <w:p w14:paraId="7DEF2FCE">
                  <w:pPr>
                    <w:pStyle w:val="64"/>
                    <w:snapToGrid w:val="0"/>
                    <w:spacing w:line="276" w:lineRule="auto"/>
                    <w:rPr>
                      <w:color w:val="auto"/>
                      <w:kern w:val="2"/>
                      <w:highlight w:val="none"/>
                    </w:rPr>
                  </w:pPr>
                  <w:r>
                    <w:rPr>
                      <w:rFonts w:hint="eastAsia"/>
                      <w:color w:val="auto"/>
                      <w:kern w:val="2"/>
                      <w:highlight w:val="none"/>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30" w:type="pct"/>
                  <w:vAlign w:val="center"/>
                </w:tcPr>
                <w:p w14:paraId="7FB01B8E">
                  <w:pPr>
                    <w:pStyle w:val="64"/>
                    <w:snapToGrid w:val="0"/>
                    <w:spacing w:line="276" w:lineRule="auto"/>
                    <w:rPr>
                      <w:color w:val="auto"/>
                      <w:kern w:val="2"/>
                      <w:highlight w:val="none"/>
                    </w:rPr>
                  </w:pPr>
                  <w:r>
                    <w:rPr>
                      <w:rFonts w:hint="eastAsia"/>
                      <w:color w:val="auto"/>
                      <w:kern w:val="2"/>
                      <w:highlight w:val="none"/>
                    </w:rPr>
                    <w:t>项目不属于耗水量大和污染物排放强度高的行业，</w:t>
                  </w:r>
                  <w:r>
                    <w:rPr>
                      <w:rFonts w:hint="eastAsia"/>
                      <w:color w:val="auto"/>
                      <w:kern w:val="2"/>
                      <w:highlight w:val="none"/>
                      <w:lang w:val="en-US" w:eastAsia="zh-CN"/>
                    </w:rPr>
                    <w:t>生产废水和生活污水处理达标后经</w:t>
                  </w:r>
                  <w:r>
                    <w:rPr>
                      <w:rFonts w:hint="eastAsia"/>
                      <w:color w:val="auto"/>
                      <w:kern w:val="2"/>
                      <w:highlight w:val="none"/>
                    </w:rPr>
                    <w:t>园区污水处理厂进一步处理后排放，对水环境影响不大。</w:t>
                  </w:r>
                </w:p>
              </w:tc>
              <w:tc>
                <w:tcPr>
                  <w:tcW w:w="435" w:type="pct"/>
                  <w:vAlign w:val="center"/>
                </w:tcPr>
                <w:p w14:paraId="374937B5">
                  <w:pPr>
                    <w:pStyle w:val="64"/>
                    <w:snapToGrid w:val="0"/>
                    <w:spacing w:line="276" w:lineRule="auto"/>
                    <w:rPr>
                      <w:color w:val="auto"/>
                      <w:kern w:val="2"/>
                      <w:highlight w:val="none"/>
                    </w:rPr>
                  </w:pPr>
                  <w:r>
                    <w:rPr>
                      <w:rFonts w:hint="eastAsia"/>
                      <w:color w:val="auto"/>
                      <w:kern w:val="2"/>
                      <w:highlight w:val="none"/>
                    </w:rPr>
                    <w:t>符合</w:t>
                  </w:r>
                </w:p>
              </w:tc>
            </w:tr>
            <w:tr w14:paraId="18DD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Merge w:val="continue"/>
                  <w:vAlign w:val="center"/>
                </w:tcPr>
                <w:p w14:paraId="1428CF88">
                  <w:pPr>
                    <w:pStyle w:val="64"/>
                    <w:snapToGrid w:val="0"/>
                    <w:spacing w:line="276" w:lineRule="auto"/>
                    <w:rPr>
                      <w:color w:val="auto"/>
                      <w:kern w:val="2"/>
                      <w:highlight w:val="none"/>
                    </w:rPr>
                  </w:pPr>
                </w:p>
              </w:tc>
              <w:tc>
                <w:tcPr>
                  <w:tcW w:w="2613" w:type="pct"/>
                  <w:vAlign w:val="center"/>
                </w:tcPr>
                <w:p w14:paraId="13A28EAD">
                  <w:pPr>
                    <w:pStyle w:val="64"/>
                    <w:snapToGrid w:val="0"/>
                    <w:spacing w:line="276" w:lineRule="auto"/>
                    <w:rPr>
                      <w:color w:val="auto"/>
                      <w:kern w:val="2"/>
                      <w:highlight w:val="none"/>
                    </w:rPr>
                  </w:pPr>
                  <w:r>
                    <w:rPr>
                      <w:rFonts w:hint="eastAsia"/>
                      <w:color w:val="auto"/>
                      <w:kern w:val="2"/>
                      <w:highlight w:val="none"/>
                    </w:rPr>
                    <w:t>大气环境受体敏感类重点管控单元。严格限制新建钢铁、燃煤燃油火电、石化、储油库等项目，产生和排放有毒有害大气污染物项目，以及使用溶剂型油墨、涂料、清洗剂、胶黏剂等高挥发性有机物原辅材料的项目；鼓励现有该类项目逐步搬迁退出</w:t>
                  </w:r>
                </w:p>
              </w:tc>
              <w:tc>
                <w:tcPr>
                  <w:tcW w:w="1630" w:type="pct"/>
                  <w:vAlign w:val="center"/>
                </w:tcPr>
                <w:p w14:paraId="5C76F915">
                  <w:pPr>
                    <w:pStyle w:val="64"/>
                    <w:snapToGrid w:val="0"/>
                    <w:spacing w:line="276" w:lineRule="auto"/>
                    <w:rPr>
                      <w:color w:val="auto"/>
                      <w:kern w:val="2"/>
                      <w:highlight w:val="none"/>
                    </w:rPr>
                  </w:pPr>
                  <w:r>
                    <w:rPr>
                      <w:rFonts w:hint="eastAsia"/>
                      <w:color w:val="auto"/>
                      <w:kern w:val="2"/>
                      <w:highlight w:val="none"/>
                    </w:rPr>
                    <w:t>项目不属于产生和排放有毒有害大气污染物的项目</w:t>
                  </w:r>
                </w:p>
              </w:tc>
              <w:tc>
                <w:tcPr>
                  <w:tcW w:w="435" w:type="pct"/>
                  <w:vAlign w:val="center"/>
                </w:tcPr>
                <w:p w14:paraId="4378AF11">
                  <w:pPr>
                    <w:pStyle w:val="64"/>
                    <w:snapToGrid w:val="0"/>
                    <w:spacing w:line="276" w:lineRule="auto"/>
                    <w:rPr>
                      <w:color w:val="auto"/>
                      <w:kern w:val="2"/>
                      <w:highlight w:val="none"/>
                    </w:rPr>
                  </w:pPr>
                  <w:r>
                    <w:rPr>
                      <w:rFonts w:hint="eastAsia"/>
                      <w:color w:val="auto"/>
                      <w:kern w:val="2"/>
                      <w:highlight w:val="none"/>
                    </w:rPr>
                    <w:t>符合</w:t>
                  </w:r>
                </w:p>
              </w:tc>
            </w:tr>
            <w:tr w14:paraId="4AB2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0" w:type="pct"/>
                  <w:vAlign w:val="center"/>
                </w:tcPr>
                <w:p w14:paraId="60A18D5C">
                  <w:pPr>
                    <w:pStyle w:val="64"/>
                    <w:snapToGrid w:val="0"/>
                    <w:spacing w:line="276" w:lineRule="auto"/>
                    <w:rPr>
                      <w:color w:val="auto"/>
                      <w:kern w:val="2"/>
                      <w:highlight w:val="none"/>
                    </w:rPr>
                  </w:pPr>
                  <w:r>
                    <w:rPr>
                      <w:rFonts w:hint="eastAsia"/>
                      <w:color w:val="auto"/>
                      <w:kern w:val="2"/>
                      <w:highlight w:val="none"/>
                    </w:rPr>
                    <w:t>一般管控单元</w:t>
                  </w:r>
                </w:p>
              </w:tc>
              <w:tc>
                <w:tcPr>
                  <w:tcW w:w="2613" w:type="pct"/>
                  <w:vAlign w:val="center"/>
                </w:tcPr>
                <w:p w14:paraId="6CEF0A52">
                  <w:pPr>
                    <w:pStyle w:val="64"/>
                    <w:snapToGrid w:val="0"/>
                    <w:spacing w:line="276" w:lineRule="auto"/>
                    <w:rPr>
                      <w:color w:val="auto"/>
                      <w:kern w:val="2"/>
                      <w:highlight w:val="none"/>
                    </w:rPr>
                  </w:pPr>
                  <w:r>
                    <w:rPr>
                      <w:rFonts w:hint="eastAsia"/>
                      <w:color w:val="auto"/>
                      <w:kern w:val="2"/>
                      <w:highlight w:val="none"/>
                    </w:rPr>
                    <w:t>执行区域生态环境保护的基本要求。根据资源环境承载能力，引导产业科学布局，合理控制开发强度，维护生态环境功能稳定</w:t>
                  </w:r>
                </w:p>
              </w:tc>
              <w:tc>
                <w:tcPr>
                  <w:tcW w:w="1630" w:type="pct"/>
                  <w:vAlign w:val="center"/>
                </w:tcPr>
                <w:p w14:paraId="094C3999">
                  <w:pPr>
                    <w:pStyle w:val="64"/>
                    <w:snapToGrid w:val="0"/>
                    <w:spacing w:line="276" w:lineRule="auto"/>
                    <w:rPr>
                      <w:color w:val="auto"/>
                      <w:kern w:val="2"/>
                      <w:highlight w:val="none"/>
                    </w:rPr>
                  </w:pPr>
                  <w:r>
                    <w:rPr>
                      <w:rFonts w:hint="eastAsia"/>
                      <w:color w:val="auto"/>
                      <w:kern w:val="2"/>
                      <w:highlight w:val="none"/>
                    </w:rPr>
                    <w:t>项目执行区域生态环境保护的基本要求</w:t>
                  </w:r>
                </w:p>
              </w:tc>
              <w:tc>
                <w:tcPr>
                  <w:tcW w:w="435" w:type="pct"/>
                  <w:vAlign w:val="center"/>
                </w:tcPr>
                <w:p w14:paraId="2A6B64D7">
                  <w:pPr>
                    <w:pStyle w:val="64"/>
                    <w:snapToGrid w:val="0"/>
                    <w:spacing w:line="276" w:lineRule="auto"/>
                    <w:rPr>
                      <w:color w:val="auto"/>
                      <w:kern w:val="2"/>
                      <w:highlight w:val="none"/>
                    </w:rPr>
                  </w:pPr>
                  <w:r>
                    <w:rPr>
                      <w:rFonts w:hint="eastAsia"/>
                      <w:color w:val="auto"/>
                      <w:kern w:val="2"/>
                      <w:highlight w:val="none"/>
                    </w:rPr>
                    <w:t>符合</w:t>
                  </w:r>
                </w:p>
              </w:tc>
            </w:tr>
          </w:tbl>
          <w:p w14:paraId="690FC65D">
            <w:pPr>
              <w:spacing w:line="348" w:lineRule="auto"/>
              <w:ind w:right="86" w:rightChars="36" w:firstLine="480" w:firstLineChars="200"/>
              <w:jc w:val="left"/>
              <w:rPr>
                <w:color w:val="auto"/>
                <w:highlight w:val="none"/>
              </w:rPr>
            </w:pPr>
            <w:r>
              <w:rPr>
                <w:rFonts w:hint="eastAsia"/>
                <w:color w:val="auto"/>
                <w:highlight w:val="none"/>
              </w:rPr>
              <w:t>综上所述，项目符合《广东省人民政府关于印发广东省“三线一单”生态环境分区管控方案的通知（粤府〔2020〕71 号）》的相关要求。</w:t>
            </w:r>
          </w:p>
          <w:p w14:paraId="7559EA72">
            <w:pPr>
              <w:spacing w:line="348" w:lineRule="auto"/>
              <w:ind w:right="86" w:rightChars="36" w:firstLine="480" w:firstLineChars="200"/>
              <w:jc w:val="left"/>
              <w:rPr>
                <w:b/>
                <w:bCs/>
                <w:color w:val="auto"/>
                <w:highlight w:val="none"/>
              </w:rPr>
            </w:pPr>
            <w:r>
              <w:rPr>
                <w:rFonts w:hint="eastAsia"/>
                <w:b/>
                <w:bCs/>
                <w:color w:val="auto"/>
                <w:highlight w:val="none"/>
              </w:rPr>
              <w:t>2、项目与《韶关市“三线一单”生态环境分区管控方案》（韶府〔2021〕10号）和《韶关市生态环境分区管控动态更新成果》的相符性分析</w:t>
            </w:r>
          </w:p>
          <w:p w14:paraId="097F5727">
            <w:pPr>
              <w:spacing w:line="348" w:lineRule="auto"/>
              <w:ind w:right="86" w:rightChars="36" w:firstLine="480" w:firstLineChars="200"/>
              <w:rPr>
                <w:b/>
                <w:bCs/>
                <w:color w:val="auto"/>
                <w:highlight w:val="none"/>
              </w:rPr>
            </w:pPr>
            <w:r>
              <w:rPr>
                <w:bCs/>
                <w:color w:val="auto"/>
                <w:highlight w:val="none"/>
              </w:rPr>
              <w:t>根据</w:t>
            </w:r>
            <w:r>
              <w:rPr>
                <w:color w:val="auto"/>
                <w:kern w:val="0"/>
                <w:highlight w:val="none"/>
              </w:rPr>
              <w:t>《韶关市生态环境分区管控动态更新成果》</w:t>
            </w:r>
            <w:r>
              <w:rPr>
                <w:rFonts w:hint="eastAsia"/>
                <w:color w:val="auto"/>
                <w:kern w:val="0"/>
                <w:highlight w:val="none"/>
              </w:rPr>
              <w:t>，本项目所在环境管控单位为乐昌经济开发区重点管控单元（编号：ZH44028120003）</w:t>
            </w:r>
            <w:r>
              <w:rPr>
                <w:bCs/>
                <w:color w:val="auto"/>
                <w:highlight w:val="none"/>
              </w:rPr>
              <w:t>，本项目与所在区域的生态保护红线、环境质量底线、资源利用上线</w:t>
            </w:r>
            <w:r>
              <w:rPr>
                <w:rFonts w:hint="eastAsia"/>
                <w:bCs/>
                <w:color w:val="auto"/>
                <w:highlight w:val="none"/>
              </w:rPr>
              <w:t>如下表所示。</w:t>
            </w:r>
          </w:p>
          <w:p w14:paraId="22BB84A3">
            <w:pPr>
              <w:pStyle w:val="107"/>
              <w:rPr>
                <w:color w:val="auto"/>
                <w:sz w:val="21"/>
                <w:szCs w:val="21"/>
                <w:highlight w:val="none"/>
              </w:rPr>
            </w:pPr>
            <w:r>
              <w:rPr>
                <w:rFonts w:hint="eastAsia"/>
                <w:color w:val="auto"/>
                <w:sz w:val="21"/>
                <w:szCs w:val="21"/>
                <w:highlight w:val="none"/>
              </w:rPr>
              <w:t>与韶关市生态环境分区管控方案相符性分析一览表</w:t>
            </w:r>
          </w:p>
          <w:tbl>
            <w:tblPr>
              <w:tblStyle w:val="49"/>
              <w:tblW w:w="13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6055"/>
              <w:gridCol w:w="5643"/>
              <w:gridCol w:w="1019"/>
            </w:tblGrid>
            <w:tr w14:paraId="24ED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82" w:type="pct"/>
                  <w:vAlign w:val="center"/>
                </w:tcPr>
                <w:p w14:paraId="766DA693">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类别</w:t>
                  </w:r>
                </w:p>
              </w:tc>
              <w:tc>
                <w:tcPr>
                  <w:tcW w:w="2246" w:type="pct"/>
                  <w:vAlign w:val="center"/>
                </w:tcPr>
                <w:p w14:paraId="151E00C9">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文件要求</w:t>
                  </w:r>
                </w:p>
              </w:tc>
              <w:tc>
                <w:tcPr>
                  <w:tcW w:w="2093" w:type="pct"/>
                  <w:vAlign w:val="center"/>
                </w:tcPr>
                <w:p w14:paraId="55CD1DDC">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本项目情况</w:t>
                  </w:r>
                </w:p>
              </w:tc>
              <w:tc>
                <w:tcPr>
                  <w:tcW w:w="378" w:type="pct"/>
                  <w:vAlign w:val="center"/>
                </w:tcPr>
                <w:p w14:paraId="1A43EF31">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符合性</w:t>
                  </w:r>
                </w:p>
              </w:tc>
            </w:tr>
            <w:tr w14:paraId="39DF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5" w:hRule="atLeast"/>
                <w:jc w:val="center"/>
              </w:trPr>
              <w:tc>
                <w:tcPr>
                  <w:tcW w:w="282" w:type="pct"/>
                  <w:vAlign w:val="center"/>
                </w:tcPr>
                <w:p w14:paraId="5926924E">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生态保护红线</w:t>
                  </w:r>
                </w:p>
              </w:tc>
              <w:tc>
                <w:tcPr>
                  <w:tcW w:w="2246" w:type="pct"/>
                  <w:vAlign w:val="center"/>
                </w:tcPr>
                <w:p w14:paraId="11C0AC1A">
                  <w:pPr>
                    <w:widowControl/>
                    <w:spacing w:line="276" w:lineRule="auto"/>
                    <w:rPr>
                      <w:color w:val="auto"/>
                      <w:kern w:val="0"/>
                      <w:sz w:val="21"/>
                      <w:szCs w:val="21"/>
                      <w:highlight w:val="none"/>
                    </w:rPr>
                  </w:pPr>
                  <w:r>
                    <w:rPr>
                      <w:rFonts w:hint="eastAsia" w:ascii="宋体" w:hAnsi="宋体" w:cs="宋体"/>
                      <w:color w:val="auto"/>
                      <w:kern w:val="0"/>
                      <w:sz w:val="21"/>
                      <w:szCs w:val="21"/>
                      <w:highlight w:val="none"/>
                    </w:rPr>
                    <w:t>生态保护红线及一般生态空间。全市陆域生态保护红线面积</w:t>
                  </w:r>
                  <w:r>
                    <w:rPr>
                      <w:color w:val="auto"/>
                      <w:kern w:val="0"/>
                      <w:sz w:val="21"/>
                      <w:szCs w:val="21"/>
                      <w:highlight w:val="none"/>
                    </w:rPr>
                    <w:t>5827.58</w:t>
                  </w:r>
                  <w:r>
                    <w:rPr>
                      <w:rFonts w:hint="eastAsia" w:ascii="宋体" w:hAnsi="宋体" w:cs="宋体"/>
                      <w:color w:val="auto"/>
                      <w:kern w:val="0"/>
                      <w:sz w:val="21"/>
                      <w:szCs w:val="21"/>
                      <w:highlight w:val="none"/>
                    </w:rPr>
                    <w:t>平方千米，占全市陆域国土面积的</w:t>
                  </w:r>
                  <w:r>
                    <w:rPr>
                      <w:color w:val="auto"/>
                      <w:kern w:val="0"/>
                      <w:sz w:val="21"/>
                      <w:szCs w:val="21"/>
                      <w:highlight w:val="none"/>
                    </w:rPr>
                    <w:t>31.65%</w:t>
                  </w:r>
                  <w:r>
                    <w:rPr>
                      <w:rFonts w:hint="eastAsia" w:ascii="宋体" w:hAnsi="宋体" w:cs="宋体"/>
                      <w:color w:val="auto"/>
                      <w:kern w:val="0"/>
                      <w:sz w:val="21"/>
                      <w:szCs w:val="21"/>
                      <w:highlight w:val="none"/>
                    </w:rPr>
                    <w:t>；一般生态空间面积</w:t>
                  </w:r>
                  <w:r>
                    <w:rPr>
                      <w:color w:val="auto"/>
                      <w:kern w:val="0"/>
                      <w:sz w:val="21"/>
                      <w:szCs w:val="21"/>
                      <w:highlight w:val="none"/>
                    </w:rPr>
                    <w:t>4951.43</w:t>
                  </w:r>
                  <w:r>
                    <w:rPr>
                      <w:rFonts w:hint="eastAsia" w:ascii="宋体" w:hAnsi="宋体" w:cs="宋体"/>
                      <w:color w:val="auto"/>
                      <w:kern w:val="0"/>
                      <w:sz w:val="21"/>
                      <w:szCs w:val="21"/>
                      <w:highlight w:val="none"/>
                    </w:rPr>
                    <w:t>平方千米</w:t>
                  </w:r>
                  <w:r>
                    <w:rPr>
                      <w:rFonts w:hint="eastAsia" w:ascii="宋体" w:hAnsi="宋体" w:cs="宋体"/>
                      <w:color w:val="auto"/>
                      <w:kern w:val="0"/>
                      <w:highlight w:val="none"/>
                    </w:rPr>
                    <w:t>。</w:t>
                  </w:r>
                </w:p>
                <w:p w14:paraId="48E0CBB7">
                  <w:pPr>
                    <w:widowControl/>
                    <w:spacing w:line="276" w:lineRule="auto"/>
                    <w:rPr>
                      <w:color w:val="auto"/>
                      <w:kern w:val="0"/>
                      <w:sz w:val="21"/>
                      <w:szCs w:val="21"/>
                      <w:highlight w:val="none"/>
                    </w:rPr>
                  </w:pPr>
                  <w:r>
                    <w:rPr>
                      <w:rFonts w:hint="eastAsia" w:ascii="宋体" w:hAnsi="宋体" w:cs="宋体"/>
                      <w:color w:val="auto"/>
                      <w:kern w:val="0"/>
                      <w:sz w:val="21"/>
                      <w:szCs w:val="21"/>
                      <w:highlight w:val="none"/>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tc>
              <w:tc>
                <w:tcPr>
                  <w:tcW w:w="2093" w:type="pct"/>
                  <w:vAlign w:val="center"/>
                </w:tcPr>
                <w:p w14:paraId="52111FE9">
                  <w:pPr>
                    <w:autoSpaceDE w:val="0"/>
                    <w:autoSpaceDN w:val="0"/>
                    <w:adjustRightInd w:val="0"/>
                    <w:spacing w:line="276" w:lineRule="auto"/>
                    <w:rPr>
                      <w:color w:val="auto"/>
                      <w:kern w:val="0"/>
                      <w:sz w:val="21"/>
                      <w:szCs w:val="21"/>
                      <w:highlight w:val="none"/>
                    </w:rPr>
                  </w:pPr>
                  <w:r>
                    <w:rPr>
                      <w:color w:val="auto"/>
                      <w:kern w:val="0"/>
                      <w:sz w:val="21"/>
                      <w:szCs w:val="21"/>
                      <w:highlight w:val="none"/>
                    </w:rPr>
                    <w:t>本项目选址不涉及自然保护区、风景名胜区、饮用水源保护区、基本农田保护区及其它需要特殊保护的敏感区域，项目位于</w:t>
                  </w:r>
                  <w:r>
                    <w:rPr>
                      <w:rFonts w:hint="eastAsia"/>
                      <w:color w:val="auto"/>
                      <w:kern w:val="0"/>
                      <w:sz w:val="21"/>
                      <w:szCs w:val="21"/>
                      <w:highlight w:val="none"/>
                    </w:rPr>
                    <w:t>韶关市乐昌市乐昌产业转移工业园GL-02-04-02-03地块</w:t>
                  </w:r>
                  <w:r>
                    <w:rPr>
                      <w:color w:val="auto"/>
                      <w:sz w:val="21"/>
                      <w:szCs w:val="21"/>
                      <w:highlight w:val="none"/>
                    </w:rPr>
                    <w:t>，不在生态红线内。</w:t>
                  </w:r>
                </w:p>
              </w:tc>
              <w:tc>
                <w:tcPr>
                  <w:tcW w:w="378" w:type="pct"/>
                  <w:vAlign w:val="center"/>
                </w:tcPr>
                <w:p w14:paraId="28F2ACC9">
                  <w:pPr>
                    <w:autoSpaceDE w:val="0"/>
                    <w:autoSpaceDN w:val="0"/>
                    <w:adjustRightInd w:val="0"/>
                    <w:spacing w:line="276" w:lineRule="auto"/>
                    <w:jc w:val="center"/>
                    <w:rPr>
                      <w:color w:val="auto"/>
                      <w:kern w:val="0"/>
                      <w:sz w:val="21"/>
                      <w:szCs w:val="21"/>
                      <w:highlight w:val="none"/>
                    </w:rPr>
                  </w:pPr>
                  <w:r>
                    <w:rPr>
                      <w:color w:val="auto"/>
                      <w:kern w:val="0"/>
                      <w:sz w:val="21"/>
                      <w:szCs w:val="21"/>
                      <w:highlight w:val="none"/>
                    </w:rPr>
                    <w:t>符合</w:t>
                  </w:r>
                </w:p>
              </w:tc>
            </w:tr>
            <w:tr w14:paraId="299D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5" w:hRule="atLeast"/>
                <w:jc w:val="center"/>
              </w:trPr>
              <w:tc>
                <w:tcPr>
                  <w:tcW w:w="282" w:type="pct"/>
                  <w:vAlign w:val="center"/>
                </w:tcPr>
                <w:p w14:paraId="72335025">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环境质量底线</w:t>
                  </w:r>
                </w:p>
              </w:tc>
              <w:tc>
                <w:tcPr>
                  <w:tcW w:w="2246" w:type="pct"/>
                  <w:vAlign w:val="center"/>
                </w:tcPr>
                <w:p w14:paraId="6FF0DC28">
                  <w:pPr>
                    <w:widowControl/>
                    <w:spacing w:line="276" w:lineRule="auto"/>
                    <w:rPr>
                      <w:color w:val="auto"/>
                      <w:kern w:val="0"/>
                      <w:sz w:val="21"/>
                      <w:szCs w:val="21"/>
                      <w:highlight w:val="none"/>
                    </w:rPr>
                  </w:pPr>
                  <w:r>
                    <w:rPr>
                      <w:color w:val="auto"/>
                      <w:kern w:val="0"/>
                      <w:sz w:val="21"/>
                      <w:szCs w:val="21"/>
                      <w:highlight w:val="none"/>
                    </w:rPr>
                    <w:t>全市水环境质量保持优良，县级以上集中式饮用水水源水质全面稳定达到或优于Ⅲ类，考核断面优良水质比例达100%。大气环境质量持续改善，AQI和PM</w:t>
                  </w:r>
                  <w:r>
                    <w:rPr>
                      <w:color w:val="auto"/>
                      <w:kern w:val="0"/>
                      <w:sz w:val="21"/>
                      <w:szCs w:val="21"/>
                      <w:highlight w:val="none"/>
                      <w:vertAlign w:val="subscript"/>
                    </w:rPr>
                    <w:t>2.5</w:t>
                  </w:r>
                  <w:r>
                    <w:rPr>
                      <w:color w:val="auto"/>
                      <w:kern w:val="0"/>
                      <w:sz w:val="21"/>
                      <w:szCs w:val="21"/>
                      <w:highlight w:val="none"/>
                    </w:rPr>
                    <w:t>等主要指标达到省下达的任务要求，臭氧污染得到有效遏制。土壤环境质量稳中向好，土壤环境风险得到管控。</w:t>
                  </w:r>
                </w:p>
              </w:tc>
              <w:tc>
                <w:tcPr>
                  <w:tcW w:w="2093" w:type="pct"/>
                  <w:vAlign w:val="center"/>
                </w:tcPr>
                <w:p w14:paraId="686AF290">
                  <w:pPr>
                    <w:autoSpaceDE w:val="0"/>
                    <w:autoSpaceDN w:val="0"/>
                    <w:adjustRightInd w:val="0"/>
                    <w:spacing w:line="276" w:lineRule="auto"/>
                    <w:rPr>
                      <w:color w:val="auto"/>
                      <w:kern w:val="0"/>
                      <w:sz w:val="21"/>
                      <w:szCs w:val="21"/>
                      <w:highlight w:val="none"/>
                    </w:rPr>
                  </w:pPr>
                  <w:r>
                    <w:rPr>
                      <w:color w:val="auto"/>
                      <w:kern w:val="0"/>
                      <w:sz w:val="21"/>
                      <w:szCs w:val="21"/>
                      <w:highlight w:val="none"/>
                    </w:rPr>
                    <w:t>项目所在区域的声环境质量能够符合相应的标准要求；地表水质量达标；根据《韶关市生态环境状况公报》（202</w:t>
                  </w:r>
                  <w:r>
                    <w:rPr>
                      <w:rFonts w:hint="eastAsia"/>
                      <w:color w:val="auto"/>
                      <w:kern w:val="0"/>
                      <w:sz w:val="21"/>
                      <w:szCs w:val="21"/>
                      <w:highlight w:val="none"/>
                    </w:rPr>
                    <w:t>4</w:t>
                  </w:r>
                  <w:r>
                    <w:rPr>
                      <w:color w:val="auto"/>
                      <w:kern w:val="0"/>
                      <w:sz w:val="21"/>
                      <w:szCs w:val="21"/>
                      <w:highlight w:val="none"/>
                    </w:rPr>
                    <w:t>年）</w:t>
                  </w:r>
                  <w:r>
                    <w:rPr>
                      <w:bCs/>
                      <w:color w:val="auto"/>
                      <w:sz w:val="21"/>
                      <w:szCs w:val="21"/>
                      <w:highlight w:val="none"/>
                    </w:rPr>
                    <w:t>，乐昌市</w:t>
                  </w:r>
                  <w:r>
                    <w:rPr>
                      <w:rFonts w:hint="eastAsia"/>
                      <w:bCs/>
                      <w:color w:val="auto"/>
                      <w:sz w:val="21"/>
                      <w:szCs w:val="21"/>
                      <w:highlight w:val="none"/>
                    </w:rPr>
                    <w:t>各项基本污染物</w:t>
                  </w:r>
                  <w:r>
                    <w:rPr>
                      <w:bCs/>
                      <w:color w:val="auto"/>
                      <w:sz w:val="21"/>
                      <w:szCs w:val="21"/>
                      <w:highlight w:val="none"/>
                    </w:rPr>
                    <w:t>均满足《环境空气质量标准》(GB3095</w:t>
                  </w:r>
                  <w:r>
                    <w:rPr>
                      <w:rFonts w:hint="eastAsia"/>
                      <w:bCs/>
                      <w:color w:val="auto"/>
                      <w:sz w:val="21"/>
                      <w:szCs w:val="21"/>
                      <w:highlight w:val="none"/>
                    </w:rPr>
                    <w:t>-2026）过渡阶段浓度限值二级标准</w:t>
                  </w:r>
                  <w:r>
                    <w:rPr>
                      <w:bCs/>
                      <w:color w:val="auto"/>
                      <w:sz w:val="21"/>
                      <w:szCs w:val="21"/>
                      <w:highlight w:val="none"/>
                    </w:rPr>
                    <w:t>，属于环境空气质量达标区</w:t>
                  </w:r>
                  <w:r>
                    <w:rPr>
                      <w:color w:val="auto"/>
                      <w:kern w:val="0"/>
                      <w:sz w:val="21"/>
                      <w:szCs w:val="21"/>
                      <w:highlight w:val="none"/>
                    </w:rPr>
                    <w:t>。本项目排放的大气污染物</w:t>
                  </w:r>
                  <w:r>
                    <w:rPr>
                      <w:rFonts w:hint="eastAsia"/>
                      <w:color w:val="auto"/>
                      <w:kern w:val="0"/>
                      <w:sz w:val="21"/>
                      <w:szCs w:val="21"/>
                      <w:highlight w:val="none"/>
                    </w:rPr>
                    <w:t>为颗粒物</w:t>
                  </w:r>
                  <w:r>
                    <w:rPr>
                      <w:rFonts w:hint="eastAsia"/>
                      <w:color w:val="auto"/>
                      <w:kern w:val="0"/>
                      <w:sz w:val="21"/>
                      <w:szCs w:val="21"/>
                      <w:highlight w:val="none"/>
                      <w:lang w:eastAsia="zh-CN"/>
                    </w:rPr>
                    <w:t>、</w:t>
                  </w:r>
                  <w:r>
                    <w:rPr>
                      <w:rFonts w:hint="eastAsia"/>
                      <w:color w:val="auto"/>
                      <w:kern w:val="0"/>
                      <w:sz w:val="21"/>
                      <w:szCs w:val="21"/>
                      <w:highlight w:val="none"/>
                      <w:lang w:val="en-US" w:eastAsia="zh-CN"/>
                    </w:rPr>
                    <w:t>非甲烷总烃</w:t>
                  </w:r>
                  <w:r>
                    <w:rPr>
                      <w:color w:val="auto"/>
                      <w:kern w:val="0"/>
                      <w:sz w:val="21"/>
                      <w:szCs w:val="21"/>
                      <w:highlight w:val="none"/>
                    </w:rPr>
                    <w:t>，</w:t>
                  </w:r>
                  <w:r>
                    <w:rPr>
                      <w:rFonts w:hint="eastAsia"/>
                      <w:color w:val="auto"/>
                      <w:kern w:val="0"/>
                      <w:sz w:val="21"/>
                      <w:szCs w:val="21"/>
                      <w:highlight w:val="none"/>
                    </w:rPr>
                    <w:t>项目废气排放量较少</w:t>
                  </w:r>
                  <w:r>
                    <w:rPr>
                      <w:color w:val="auto"/>
                      <w:kern w:val="0"/>
                      <w:sz w:val="21"/>
                      <w:szCs w:val="21"/>
                      <w:highlight w:val="none"/>
                    </w:rPr>
                    <w:t>，对周围大气环境影响不大。项目</w:t>
                  </w:r>
                  <w:r>
                    <w:rPr>
                      <w:rFonts w:hint="eastAsia"/>
                      <w:color w:val="auto"/>
                      <w:sz w:val="21"/>
                      <w:szCs w:val="21"/>
                      <w:highlight w:val="none"/>
                    </w:rPr>
                    <w:t>生产废水经自处理达标后、</w:t>
                  </w:r>
                  <w:r>
                    <w:rPr>
                      <w:color w:val="auto"/>
                      <w:sz w:val="21"/>
                      <w:szCs w:val="21"/>
                      <w:highlight w:val="none"/>
                    </w:rPr>
                    <w:t>生活污水经</w:t>
                  </w:r>
                  <w:r>
                    <w:rPr>
                      <w:rFonts w:hint="eastAsia"/>
                      <w:color w:val="auto"/>
                      <w:sz w:val="21"/>
                      <w:szCs w:val="21"/>
                      <w:highlight w:val="none"/>
                      <w:lang w:eastAsia="zh-CN"/>
                    </w:rPr>
                    <w:t>三级化粪池+隔油隔渣池</w:t>
                  </w:r>
                  <w:r>
                    <w:rPr>
                      <w:color w:val="auto"/>
                      <w:sz w:val="21"/>
                      <w:szCs w:val="21"/>
                      <w:highlight w:val="none"/>
                    </w:rPr>
                    <w:t>预处理后</w:t>
                  </w:r>
                  <w:r>
                    <w:rPr>
                      <w:rFonts w:hint="eastAsia"/>
                      <w:color w:val="auto"/>
                      <w:sz w:val="21"/>
                      <w:szCs w:val="21"/>
                      <w:highlight w:val="none"/>
                    </w:rPr>
                    <w:t>一并排入园区污水处理厂处理</w:t>
                  </w:r>
                  <w:r>
                    <w:rPr>
                      <w:color w:val="auto"/>
                      <w:sz w:val="21"/>
                      <w:szCs w:val="21"/>
                      <w:highlight w:val="none"/>
                    </w:rPr>
                    <w:t>。</w:t>
                  </w:r>
                </w:p>
              </w:tc>
              <w:tc>
                <w:tcPr>
                  <w:tcW w:w="378" w:type="pct"/>
                  <w:vAlign w:val="center"/>
                </w:tcPr>
                <w:p w14:paraId="67498FB9">
                  <w:pPr>
                    <w:autoSpaceDE w:val="0"/>
                    <w:autoSpaceDN w:val="0"/>
                    <w:adjustRightInd w:val="0"/>
                    <w:spacing w:line="276" w:lineRule="auto"/>
                    <w:jc w:val="center"/>
                    <w:rPr>
                      <w:color w:val="auto"/>
                      <w:kern w:val="0"/>
                      <w:sz w:val="21"/>
                      <w:szCs w:val="21"/>
                      <w:highlight w:val="none"/>
                    </w:rPr>
                  </w:pPr>
                  <w:r>
                    <w:rPr>
                      <w:color w:val="auto"/>
                      <w:kern w:val="0"/>
                      <w:sz w:val="21"/>
                      <w:szCs w:val="21"/>
                      <w:highlight w:val="none"/>
                    </w:rPr>
                    <w:t>符合</w:t>
                  </w:r>
                </w:p>
              </w:tc>
            </w:tr>
            <w:tr w14:paraId="1CB4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0" w:hRule="atLeast"/>
                <w:jc w:val="center"/>
              </w:trPr>
              <w:tc>
                <w:tcPr>
                  <w:tcW w:w="282" w:type="pct"/>
                  <w:vAlign w:val="center"/>
                </w:tcPr>
                <w:p w14:paraId="7B6AEB12">
                  <w:pPr>
                    <w:autoSpaceDE w:val="0"/>
                    <w:autoSpaceDN w:val="0"/>
                    <w:adjustRightInd w:val="0"/>
                    <w:spacing w:line="276" w:lineRule="auto"/>
                    <w:jc w:val="center"/>
                    <w:rPr>
                      <w:b/>
                      <w:bCs/>
                      <w:color w:val="auto"/>
                      <w:kern w:val="0"/>
                      <w:sz w:val="21"/>
                      <w:szCs w:val="21"/>
                      <w:highlight w:val="none"/>
                    </w:rPr>
                  </w:pPr>
                  <w:r>
                    <w:rPr>
                      <w:b/>
                      <w:bCs/>
                      <w:color w:val="auto"/>
                      <w:kern w:val="0"/>
                      <w:sz w:val="21"/>
                      <w:szCs w:val="21"/>
                      <w:highlight w:val="none"/>
                    </w:rPr>
                    <w:t>资源利用上线</w:t>
                  </w:r>
                </w:p>
              </w:tc>
              <w:tc>
                <w:tcPr>
                  <w:tcW w:w="2246" w:type="pct"/>
                  <w:vAlign w:val="center"/>
                </w:tcPr>
                <w:p w14:paraId="281A107F">
                  <w:pPr>
                    <w:autoSpaceDE w:val="0"/>
                    <w:autoSpaceDN w:val="0"/>
                    <w:adjustRightInd w:val="0"/>
                    <w:spacing w:line="276" w:lineRule="auto"/>
                    <w:rPr>
                      <w:color w:val="auto"/>
                      <w:kern w:val="0"/>
                      <w:sz w:val="21"/>
                      <w:szCs w:val="21"/>
                      <w:highlight w:val="none"/>
                    </w:rPr>
                  </w:pPr>
                  <w:r>
                    <w:rPr>
                      <w:rFonts w:hint="eastAsia"/>
                      <w:color w:val="auto"/>
                      <w:kern w:val="0"/>
                      <w:sz w:val="21"/>
                      <w:szCs w:val="21"/>
                      <w:highlight w:val="none"/>
                    </w:rPr>
                    <w:t>强化节约集约利用，持续提升资源能源利用效率，水资源、土地资源、岸线资源、能源消耗等达到或优于国家、省下达的总量和强度控制目标。水资源利用效率持续提高。到</w:t>
                  </w:r>
                  <w:r>
                    <w:rPr>
                      <w:color w:val="auto"/>
                      <w:kern w:val="0"/>
                      <w:sz w:val="21"/>
                      <w:szCs w:val="21"/>
                      <w:highlight w:val="none"/>
                    </w:rPr>
                    <w:t>2025</w:t>
                  </w:r>
                  <w:r>
                    <w:rPr>
                      <w:rFonts w:hint="eastAsia"/>
                      <w:color w:val="auto"/>
                      <w:kern w:val="0"/>
                      <w:sz w:val="21"/>
                      <w:szCs w:val="21"/>
                      <w:highlight w:val="none"/>
                    </w:rPr>
                    <w:t>年，全市用水总量控制在</w:t>
                  </w:r>
                  <w:r>
                    <w:rPr>
                      <w:color w:val="auto"/>
                      <w:kern w:val="0"/>
                      <w:sz w:val="21"/>
                      <w:szCs w:val="21"/>
                      <w:highlight w:val="none"/>
                    </w:rPr>
                    <w:t>19.71</w:t>
                  </w:r>
                  <w:r>
                    <w:rPr>
                      <w:rFonts w:hint="eastAsia"/>
                      <w:color w:val="auto"/>
                      <w:kern w:val="0"/>
                      <w:sz w:val="21"/>
                      <w:szCs w:val="21"/>
                      <w:highlight w:val="none"/>
                    </w:rPr>
                    <w:t>亿立方米以内，万元地区生产总值用水量较</w:t>
                  </w:r>
                  <w:r>
                    <w:rPr>
                      <w:color w:val="auto"/>
                      <w:kern w:val="0"/>
                      <w:sz w:val="21"/>
                      <w:szCs w:val="21"/>
                      <w:highlight w:val="none"/>
                    </w:rPr>
                    <w:t>2020</w:t>
                  </w:r>
                  <w:r>
                    <w:rPr>
                      <w:rFonts w:hint="eastAsia"/>
                      <w:color w:val="auto"/>
                      <w:kern w:val="0"/>
                      <w:sz w:val="21"/>
                      <w:szCs w:val="21"/>
                      <w:highlight w:val="none"/>
                    </w:rPr>
                    <w:t>年降幅不低于</w:t>
                  </w:r>
                  <w:r>
                    <w:rPr>
                      <w:color w:val="auto"/>
                      <w:kern w:val="0"/>
                      <w:sz w:val="21"/>
                      <w:szCs w:val="21"/>
                      <w:highlight w:val="none"/>
                    </w:rPr>
                    <w:t>24%</w:t>
                  </w:r>
                  <w:r>
                    <w:rPr>
                      <w:rFonts w:hint="eastAsia"/>
                      <w:color w:val="auto"/>
                      <w:kern w:val="0"/>
                      <w:sz w:val="21"/>
                      <w:szCs w:val="21"/>
                      <w:highlight w:val="none"/>
                    </w:rPr>
                    <w:t>，万元工业增加值用水量较</w:t>
                  </w:r>
                  <w:r>
                    <w:rPr>
                      <w:color w:val="auto"/>
                      <w:kern w:val="0"/>
                      <w:sz w:val="21"/>
                      <w:szCs w:val="21"/>
                      <w:highlight w:val="none"/>
                    </w:rPr>
                    <w:t>2020</w:t>
                  </w:r>
                  <w:r>
                    <w:rPr>
                      <w:rFonts w:hint="eastAsia"/>
                      <w:color w:val="auto"/>
                      <w:kern w:val="0"/>
                      <w:sz w:val="21"/>
                      <w:szCs w:val="21"/>
                      <w:highlight w:val="none"/>
                    </w:rPr>
                    <w:t>年降幅不低于</w:t>
                  </w:r>
                  <w:r>
                    <w:rPr>
                      <w:color w:val="auto"/>
                      <w:kern w:val="0"/>
                      <w:sz w:val="21"/>
                      <w:szCs w:val="21"/>
                      <w:highlight w:val="none"/>
                    </w:rPr>
                    <w:t>20%</w:t>
                  </w:r>
                  <w:r>
                    <w:rPr>
                      <w:rFonts w:hint="eastAsia"/>
                      <w:color w:val="auto"/>
                      <w:kern w:val="0"/>
                      <w:sz w:val="21"/>
                      <w:szCs w:val="21"/>
                      <w:highlight w:val="none"/>
                    </w:rPr>
                    <w:t>。</w:t>
                  </w:r>
                </w:p>
                <w:p w14:paraId="47F84496">
                  <w:pPr>
                    <w:autoSpaceDE w:val="0"/>
                    <w:autoSpaceDN w:val="0"/>
                    <w:adjustRightInd w:val="0"/>
                    <w:spacing w:line="276" w:lineRule="auto"/>
                    <w:rPr>
                      <w:color w:val="auto"/>
                      <w:kern w:val="0"/>
                      <w:sz w:val="21"/>
                      <w:szCs w:val="21"/>
                      <w:highlight w:val="none"/>
                    </w:rPr>
                  </w:pPr>
                  <w:r>
                    <w:rPr>
                      <w:rFonts w:hint="eastAsia"/>
                      <w:color w:val="auto"/>
                      <w:kern w:val="0"/>
                      <w:sz w:val="21"/>
                      <w:szCs w:val="21"/>
                      <w:highlight w:val="none"/>
                    </w:rPr>
                    <w:t>土地资源集约化利用水平不断提升。耕地保有量、永久基本农田保护面积、建设用地总规模、城乡建设用地规模等严格落实国家和省下达的总量和强度控制指标。</w:t>
                  </w:r>
                </w:p>
                <w:p w14:paraId="5683AEDB">
                  <w:pPr>
                    <w:autoSpaceDE w:val="0"/>
                    <w:autoSpaceDN w:val="0"/>
                    <w:adjustRightInd w:val="0"/>
                    <w:spacing w:line="276" w:lineRule="auto"/>
                    <w:rPr>
                      <w:color w:val="auto"/>
                      <w:kern w:val="0"/>
                      <w:sz w:val="21"/>
                      <w:szCs w:val="21"/>
                      <w:highlight w:val="none"/>
                    </w:rPr>
                  </w:pPr>
                  <w:r>
                    <w:rPr>
                      <w:rFonts w:hint="eastAsia"/>
                      <w:color w:val="auto"/>
                      <w:kern w:val="0"/>
                      <w:sz w:val="21"/>
                      <w:szCs w:val="21"/>
                      <w:highlight w:val="none"/>
                    </w:rPr>
                    <w:t>岸线资源得到有效保护。自然岸线保有率达到省级考核要求。</w:t>
                  </w:r>
                </w:p>
                <w:p w14:paraId="4590DF47">
                  <w:pPr>
                    <w:autoSpaceDE w:val="0"/>
                    <w:autoSpaceDN w:val="0"/>
                    <w:adjustRightInd w:val="0"/>
                    <w:spacing w:line="276" w:lineRule="auto"/>
                    <w:rPr>
                      <w:color w:val="auto"/>
                      <w:kern w:val="0"/>
                      <w:sz w:val="21"/>
                      <w:szCs w:val="21"/>
                      <w:highlight w:val="none"/>
                    </w:rPr>
                  </w:pPr>
                  <w:r>
                    <w:rPr>
                      <w:rFonts w:hint="eastAsia"/>
                      <w:color w:val="auto"/>
                      <w:kern w:val="0"/>
                      <w:sz w:val="21"/>
                      <w:szCs w:val="21"/>
                      <w:highlight w:val="none"/>
                    </w:rPr>
                    <w:t>能源利用效率持续提升，能源结构不断优化。到</w:t>
                  </w:r>
                  <w:r>
                    <w:rPr>
                      <w:color w:val="auto"/>
                      <w:kern w:val="0"/>
                      <w:sz w:val="21"/>
                      <w:szCs w:val="21"/>
                      <w:highlight w:val="none"/>
                    </w:rPr>
                    <w:t>2025</w:t>
                  </w:r>
                  <w:r>
                    <w:rPr>
                      <w:rFonts w:hint="eastAsia"/>
                      <w:color w:val="auto"/>
                      <w:kern w:val="0"/>
                      <w:sz w:val="21"/>
                      <w:szCs w:val="21"/>
                      <w:highlight w:val="none"/>
                    </w:rPr>
                    <w:t>年，全市单位地区生产总值能源消耗比</w:t>
                  </w:r>
                  <w:r>
                    <w:rPr>
                      <w:color w:val="auto"/>
                      <w:kern w:val="0"/>
                      <w:sz w:val="21"/>
                      <w:szCs w:val="21"/>
                      <w:highlight w:val="none"/>
                    </w:rPr>
                    <w:t>2020</w:t>
                  </w:r>
                  <w:r>
                    <w:rPr>
                      <w:rFonts w:hint="eastAsia"/>
                      <w:color w:val="auto"/>
                      <w:kern w:val="0"/>
                      <w:sz w:val="21"/>
                      <w:szCs w:val="21"/>
                      <w:highlight w:val="none"/>
                    </w:rPr>
                    <w:t>年下降</w:t>
                  </w:r>
                  <w:r>
                    <w:rPr>
                      <w:color w:val="auto"/>
                      <w:kern w:val="0"/>
                      <w:sz w:val="21"/>
                      <w:szCs w:val="21"/>
                      <w:highlight w:val="none"/>
                    </w:rPr>
                    <w:t>15.5%</w:t>
                  </w:r>
                  <w:r>
                    <w:rPr>
                      <w:rFonts w:hint="eastAsia"/>
                      <w:color w:val="auto"/>
                      <w:kern w:val="0"/>
                      <w:sz w:val="21"/>
                      <w:szCs w:val="21"/>
                      <w:highlight w:val="none"/>
                    </w:rPr>
                    <w:t>。碳排放控制步伐加快推进，与全省同步达峰。</w:t>
                  </w:r>
                </w:p>
              </w:tc>
              <w:tc>
                <w:tcPr>
                  <w:tcW w:w="2093" w:type="pct"/>
                  <w:vAlign w:val="center"/>
                </w:tcPr>
                <w:p w14:paraId="3E3728BC">
                  <w:pPr>
                    <w:autoSpaceDE w:val="0"/>
                    <w:autoSpaceDN w:val="0"/>
                    <w:adjustRightInd w:val="0"/>
                    <w:spacing w:line="276" w:lineRule="auto"/>
                    <w:rPr>
                      <w:color w:val="auto"/>
                      <w:kern w:val="0"/>
                      <w:sz w:val="21"/>
                      <w:szCs w:val="21"/>
                      <w:highlight w:val="none"/>
                    </w:rPr>
                  </w:pPr>
                  <w:r>
                    <w:rPr>
                      <w:color w:val="auto"/>
                      <w:kern w:val="0"/>
                      <w:sz w:val="21"/>
                      <w:szCs w:val="21"/>
                      <w:highlight w:val="none"/>
                    </w:rPr>
                    <w:t>本项目营运过程中消耗一定量的电能、水资源，项目资源消耗量相对区域资料利用总量较少，符合资源利用上限的要求。</w:t>
                  </w:r>
                </w:p>
              </w:tc>
              <w:tc>
                <w:tcPr>
                  <w:tcW w:w="378" w:type="pct"/>
                  <w:vAlign w:val="center"/>
                </w:tcPr>
                <w:p w14:paraId="1731C061">
                  <w:pPr>
                    <w:autoSpaceDE w:val="0"/>
                    <w:autoSpaceDN w:val="0"/>
                    <w:adjustRightInd w:val="0"/>
                    <w:spacing w:line="276" w:lineRule="auto"/>
                    <w:jc w:val="center"/>
                    <w:rPr>
                      <w:color w:val="auto"/>
                      <w:kern w:val="0"/>
                      <w:sz w:val="21"/>
                      <w:szCs w:val="21"/>
                      <w:highlight w:val="none"/>
                    </w:rPr>
                  </w:pPr>
                  <w:r>
                    <w:rPr>
                      <w:color w:val="auto"/>
                      <w:kern w:val="0"/>
                      <w:sz w:val="21"/>
                      <w:szCs w:val="21"/>
                      <w:highlight w:val="none"/>
                    </w:rPr>
                    <w:t>符合</w:t>
                  </w:r>
                </w:p>
              </w:tc>
            </w:tr>
          </w:tbl>
          <w:p w14:paraId="2BCB8D10">
            <w:pPr>
              <w:pStyle w:val="107"/>
              <w:numPr>
                <w:ilvl w:val="0"/>
                <w:numId w:val="0"/>
              </w:numPr>
              <w:jc w:val="both"/>
              <w:rPr>
                <w:color w:val="auto"/>
                <w:sz w:val="21"/>
                <w:szCs w:val="21"/>
                <w:highlight w:val="none"/>
              </w:rPr>
            </w:pPr>
          </w:p>
          <w:p w14:paraId="68231A62">
            <w:pPr>
              <w:pStyle w:val="107"/>
              <w:numPr>
                <w:ilvl w:val="0"/>
                <w:numId w:val="0"/>
              </w:numPr>
              <w:jc w:val="both"/>
              <w:rPr>
                <w:color w:val="auto"/>
                <w:sz w:val="21"/>
                <w:szCs w:val="21"/>
                <w:highlight w:val="none"/>
              </w:rPr>
            </w:pPr>
          </w:p>
          <w:p w14:paraId="2ABF4BF6">
            <w:pPr>
              <w:pStyle w:val="107"/>
              <w:numPr>
                <w:ilvl w:val="0"/>
                <w:numId w:val="0"/>
              </w:numPr>
              <w:ind w:firstLine="480" w:firstLineChars="200"/>
              <w:jc w:val="both"/>
              <w:rPr>
                <w:b w:val="0"/>
                <w:color w:val="auto"/>
                <w:highlight w:val="none"/>
              </w:rPr>
            </w:pPr>
            <w:r>
              <w:rPr>
                <w:b w:val="0"/>
                <w:color w:val="auto"/>
                <w:highlight w:val="none"/>
              </w:rPr>
              <w:t>本项目与</w:t>
            </w:r>
            <w:r>
              <w:rPr>
                <w:rFonts w:hint="eastAsia"/>
                <w:b w:val="0"/>
                <w:color w:val="auto"/>
                <w:highlight w:val="none"/>
              </w:rPr>
              <w:t>韶关市生态环境分区管控要求如下表所示：</w:t>
            </w:r>
          </w:p>
          <w:p w14:paraId="319DE510">
            <w:pPr>
              <w:pStyle w:val="107"/>
              <w:rPr>
                <w:color w:val="auto"/>
                <w:sz w:val="21"/>
                <w:szCs w:val="21"/>
                <w:highlight w:val="none"/>
              </w:rPr>
            </w:pPr>
            <w:r>
              <w:rPr>
                <w:rFonts w:hint="eastAsia"/>
                <w:color w:val="auto"/>
                <w:sz w:val="21"/>
                <w:szCs w:val="21"/>
                <w:highlight w:val="none"/>
              </w:rPr>
              <w:t>与韶关市生态环境分区管控要求相符性分析</w:t>
            </w:r>
          </w:p>
          <w:tbl>
            <w:tblPr>
              <w:tblStyle w:val="50"/>
              <w:tblW w:w="5010" w:type="pct"/>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865"/>
              <w:gridCol w:w="8125"/>
              <w:gridCol w:w="3151"/>
              <w:gridCol w:w="855"/>
            </w:tblGrid>
            <w:tr w14:paraId="7707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3" w:type="pct"/>
                  <w:gridSpan w:val="2"/>
                  <w:tcBorders>
                    <w:tl2br w:val="nil"/>
                    <w:tr2bl w:val="nil"/>
                  </w:tcBorders>
                  <w:vAlign w:val="center"/>
                </w:tcPr>
                <w:p w14:paraId="73A58AF1">
                  <w:pPr>
                    <w:wordWrap w:val="0"/>
                    <w:spacing w:line="276" w:lineRule="auto"/>
                    <w:jc w:val="center"/>
                    <w:rPr>
                      <w:b/>
                      <w:bCs/>
                      <w:color w:val="auto"/>
                      <w:sz w:val="21"/>
                      <w:szCs w:val="21"/>
                      <w:highlight w:val="none"/>
                    </w:rPr>
                  </w:pPr>
                  <w:r>
                    <w:rPr>
                      <w:rFonts w:hint="eastAsia"/>
                      <w:b/>
                      <w:bCs/>
                      <w:color w:val="auto"/>
                      <w:sz w:val="21"/>
                      <w:szCs w:val="21"/>
                      <w:highlight w:val="none"/>
                    </w:rPr>
                    <w:t>内容</w:t>
                  </w:r>
                </w:p>
              </w:tc>
              <w:tc>
                <w:tcPr>
                  <w:tcW w:w="3004" w:type="pct"/>
                  <w:tcBorders>
                    <w:tl2br w:val="nil"/>
                    <w:tr2bl w:val="nil"/>
                  </w:tcBorders>
                  <w:vAlign w:val="center"/>
                </w:tcPr>
                <w:p w14:paraId="375DAEC3">
                  <w:pPr>
                    <w:wordWrap w:val="0"/>
                    <w:spacing w:line="276" w:lineRule="auto"/>
                    <w:jc w:val="center"/>
                    <w:rPr>
                      <w:b/>
                      <w:bCs/>
                      <w:color w:val="auto"/>
                      <w:sz w:val="21"/>
                      <w:szCs w:val="21"/>
                      <w:highlight w:val="none"/>
                    </w:rPr>
                  </w:pPr>
                  <w:r>
                    <w:rPr>
                      <w:rFonts w:hint="eastAsia"/>
                      <w:b/>
                      <w:bCs/>
                      <w:color w:val="auto"/>
                      <w:sz w:val="21"/>
                      <w:szCs w:val="21"/>
                      <w:highlight w:val="none"/>
                    </w:rPr>
                    <w:t>要求</w:t>
                  </w:r>
                </w:p>
              </w:tc>
              <w:tc>
                <w:tcPr>
                  <w:tcW w:w="1165" w:type="pct"/>
                  <w:tcBorders>
                    <w:tl2br w:val="nil"/>
                    <w:tr2bl w:val="nil"/>
                  </w:tcBorders>
                  <w:vAlign w:val="center"/>
                </w:tcPr>
                <w:p w14:paraId="5B84ECCC">
                  <w:pPr>
                    <w:wordWrap w:val="0"/>
                    <w:spacing w:line="276" w:lineRule="auto"/>
                    <w:jc w:val="center"/>
                    <w:rPr>
                      <w:b/>
                      <w:bCs/>
                      <w:color w:val="auto"/>
                      <w:sz w:val="21"/>
                      <w:szCs w:val="21"/>
                      <w:highlight w:val="none"/>
                    </w:rPr>
                  </w:pPr>
                  <w:r>
                    <w:rPr>
                      <w:rFonts w:hint="eastAsia"/>
                      <w:b/>
                      <w:bCs/>
                      <w:color w:val="auto"/>
                      <w:sz w:val="21"/>
                      <w:szCs w:val="21"/>
                      <w:highlight w:val="none"/>
                    </w:rPr>
                    <w:t>相符性分析</w:t>
                  </w:r>
                </w:p>
              </w:tc>
              <w:tc>
                <w:tcPr>
                  <w:tcW w:w="316" w:type="pct"/>
                  <w:tcBorders>
                    <w:tl2br w:val="nil"/>
                    <w:tr2bl w:val="nil"/>
                  </w:tcBorders>
                  <w:vAlign w:val="center"/>
                </w:tcPr>
                <w:p w14:paraId="6AB67E1C">
                  <w:pPr>
                    <w:wordWrap w:val="0"/>
                    <w:spacing w:line="276" w:lineRule="auto"/>
                    <w:jc w:val="center"/>
                    <w:rPr>
                      <w:b/>
                      <w:bCs/>
                      <w:color w:val="auto"/>
                      <w:sz w:val="21"/>
                      <w:szCs w:val="21"/>
                      <w:highlight w:val="none"/>
                    </w:rPr>
                  </w:pPr>
                  <w:r>
                    <w:rPr>
                      <w:rFonts w:hint="eastAsia"/>
                      <w:b/>
                      <w:bCs/>
                      <w:color w:val="auto"/>
                      <w:sz w:val="21"/>
                      <w:szCs w:val="21"/>
                      <w:highlight w:val="none"/>
                    </w:rPr>
                    <w:t>结论</w:t>
                  </w:r>
                </w:p>
              </w:tc>
            </w:tr>
            <w:tr w14:paraId="6708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93" w:type="pct"/>
                  <w:vMerge w:val="restart"/>
                  <w:tcBorders>
                    <w:tl2br w:val="nil"/>
                    <w:tr2bl w:val="nil"/>
                  </w:tcBorders>
                  <w:vAlign w:val="center"/>
                </w:tcPr>
                <w:p w14:paraId="5012DC79">
                  <w:pPr>
                    <w:wordWrap w:val="0"/>
                    <w:spacing w:line="276" w:lineRule="auto"/>
                    <w:jc w:val="center"/>
                    <w:rPr>
                      <w:b/>
                      <w:bCs/>
                      <w:color w:val="auto"/>
                      <w:sz w:val="21"/>
                      <w:szCs w:val="21"/>
                      <w:highlight w:val="none"/>
                    </w:rPr>
                  </w:pPr>
                  <w:r>
                    <w:rPr>
                      <w:rFonts w:hint="eastAsia"/>
                      <w:b/>
                      <w:bCs/>
                      <w:color w:val="auto"/>
                      <w:sz w:val="21"/>
                      <w:szCs w:val="21"/>
                      <w:highlight w:val="none"/>
                    </w:rPr>
                    <w:t>全市总体管控</w:t>
                  </w:r>
                </w:p>
              </w:tc>
              <w:tc>
                <w:tcPr>
                  <w:tcW w:w="319" w:type="pct"/>
                  <w:tcBorders>
                    <w:tl2br w:val="nil"/>
                    <w:tr2bl w:val="nil"/>
                  </w:tcBorders>
                  <w:vAlign w:val="center"/>
                </w:tcPr>
                <w:p w14:paraId="17A9D5B2">
                  <w:pPr>
                    <w:widowControl/>
                    <w:wordWrap w:val="0"/>
                    <w:spacing w:line="276" w:lineRule="auto"/>
                    <w:jc w:val="center"/>
                    <w:rPr>
                      <w:b/>
                      <w:bCs/>
                      <w:color w:val="auto"/>
                      <w:sz w:val="21"/>
                      <w:szCs w:val="21"/>
                      <w:highlight w:val="none"/>
                    </w:rPr>
                  </w:pPr>
                  <w:r>
                    <w:rPr>
                      <w:rFonts w:hint="eastAsia"/>
                      <w:color w:val="auto"/>
                      <w:kern w:val="0"/>
                      <w:sz w:val="21"/>
                      <w:szCs w:val="21"/>
                      <w:highlight w:val="none"/>
                    </w:rPr>
                    <w:t>区域布局管控</w:t>
                  </w:r>
                </w:p>
              </w:tc>
              <w:tc>
                <w:tcPr>
                  <w:tcW w:w="3004" w:type="pct"/>
                  <w:tcBorders>
                    <w:tl2br w:val="nil"/>
                    <w:tr2bl w:val="nil"/>
                  </w:tcBorders>
                  <w:vAlign w:val="center"/>
                </w:tcPr>
                <w:p w14:paraId="543ACAA7">
                  <w:pPr>
                    <w:wordWrap w:val="0"/>
                    <w:spacing w:line="276" w:lineRule="auto"/>
                    <w:rPr>
                      <w:b/>
                      <w:bCs/>
                      <w:color w:val="auto"/>
                      <w:sz w:val="21"/>
                      <w:szCs w:val="21"/>
                      <w:highlight w:val="none"/>
                    </w:rPr>
                  </w:pPr>
                  <w:r>
                    <w:rPr>
                      <w:rFonts w:hint="eastAsia"/>
                      <w:color w:val="auto"/>
                      <w:sz w:val="21"/>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1165" w:type="pct"/>
                  <w:tcBorders>
                    <w:tl2br w:val="nil"/>
                    <w:tr2bl w:val="nil"/>
                  </w:tcBorders>
                  <w:vAlign w:val="center"/>
                </w:tcPr>
                <w:p w14:paraId="49FDAE5C">
                  <w:pPr>
                    <w:wordWrap w:val="0"/>
                    <w:spacing w:line="276" w:lineRule="auto"/>
                    <w:rPr>
                      <w:color w:val="auto"/>
                      <w:sz w:val="21"/>
                      <w:szCs w:val="21"/>
                      <w:highlight w:val="none"/>
                    </w:rPr>
                  </w:pPr>
                  <w:r>
                    <w:rPr>
                      <w:rFonts w:hint="eastAsia"/>
                      <w:color w:val="auto"/>
                      <w:sz w:val="21"/>
                      <w:szCs w:val="21"/>
                      <w:highlight w:val="none"/>
                    </w:rPr>
                    <w:t>本项目</w:t>
                  </w:r>
                  <w:r>
                    <w:rPr>
                      <w:rFonts w:hint="eastAsia"/>
                      <w:color w:val="auto"/>
                      <w:sz w:val="21"/>
                      <w:szCs w:val="21"/>
                      <w:highlight w:val="none"/>
                      <w:lang w:val="en-US" w:eastAsia="zh-CN"/>
                    </w:rPr>
                    <w:t>废塑料破碎清洗分选造粒加工</w:t>
                  </w:r>
                  <w:r>
                    <w:rPr>
                      <w:rFonts w:hint="eastAsia"/>
                      <w:color w:val="auto"/>
                      <w:sz w:val="21"/>
                      <w:szCs w:val="21"/>
                      <w:highlight w:val="none"/>
                    </w:rPr>
                    <w:t>，不涉重金属，不属于高污染高耗能行业，项目位于乐昌产业转移工业园，园区已开展规划环境评价，项目符合园区准入条件。项目所在地属于空气环境功能二类区、水环境质量达标区。</w:t>
                  </w:r>
                </w:p>
              </w:tc>
              <w:tc>
                <w:tcPr>
                  <w:tcW w:w="316" w:type="pct"/>
                  <w:tcBorders>
                    <w:tl2br w:val="nil"/>
                    <w:tr2bl w:val="nil"/>
                  </w:tcBorders>
                  <w:vAlign w:val="center"/>
                </w:tcPr>
                <w:p w14:paraId="7A4BE824">
                  <w:pPr>
                    <w:wordWrap w:val="0"/>
                    <w:spacing w:line="276" w:lineRule="auto"/>
                    <w:jc w:val="center"/>
                    <w:rPr>
                      <w:b/>
                      <w:bCs/>
                      <w:color w:val="auto"/>
                      <w:sz w:val="21"/>
                      <w:szCs w:val="21"/>
                      <w:highlight w:val="none"/>
                    </w:rPr>
                  </w:pPr>
                  <w:r>
                    <w:rPr>
                      <w:rFonts w:hint="eastAsia"/>
                      <w:color w:val="auto"/>
                      <w:sz w:val="21"/>
                      <w:szCs w:val="21"/>
                      <w:highlight w:val="none"/>
                    </w:rPr>
                    <w:t>符合</w:t>
                  </w:r>
                </w:p>
              </w:tc>
            </w:tr>
            <w:tr w14:paraId="3608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3" w:type="pct"/>
                  <w:vMerge w:val="continue"/>
                  <w:tcBorders>
                    <w:tl2br w:val="nil"/>
                    <w:tr2bl w:val="nil"/>
                  </w:tcBorders>
                  <w:vAlign w:val="center"/>
                </w:tcPr>
                <w:p w14:paraId="4C566C07">
                  <w:pPr>
                    <w:wordWrap w:val="0"/>
                    <w:spacing w:line="276" w:lineRule="auto"/>
                    <w:jc w:val="center"/>
                    <w:rPr>
                      <w:b/>
                      <w:bCs/>
                      <w:color w:val="auto"/>
                      <w:sz w:val="21"/>
                      <w:szCs w:val="21"/>
                      <w:highlight w:val="none"/>
                    </w:rPr>
                  </w:pPr>
                </w:p>
              </w:tc>
              <w:tc>
                <w:tcPr>
                  <w:tcW w:w="319" w:type="pct"/>
                  <w:tcBorders>
                    <w:tl2br w:val="nil"/>
                    <w:tr2bl w:val="nil"/>
                  </w:tcBorders>
                  <w:vAlign w:val="center"/>
                </w:tcPr>
                <w:p w14:paraId="2E82FFB2">
                  <w:pPr>
                    <w:wordWrap w:val="0"/>
                    <w:spacing w:line="276" w:lineRule="auto"/>
                    <w:jc w:val="center"/>
                    <w:rPr>
                      <w:color w:val="auto"/>
                      <w:sz w:val="21"/>
                      <w:szCs w:val="21"/>
                      <w:highlight w:val="none"/>
                    </w:rPr>
                  </w:pPr>
                  <w:r>
                    <w:rPr>
                      <w:rFonts w:hint="eastAsia"/>
                      <w:color w:val="auto"/>
                      <w:sz w:val="21"/>
                      <w:szCs w:val="21"/>
                      <w:highlight w:val="none"/>
                    </w:rPr>
                    <w:t>能源资源利用</w:t>
                  </w:r>
                </w:p>
              </w:tc>
              <w:tc>
                <w:tcPr>
                  <w:tcW w:w="3004" w:type="pct"/>
                  <w:tcBorders>
                    <w:tl2br w:val="nil"/>
                    <w:tr2bl w:val="nil"/>
                  </w:tcBorders>
                  <w:vAlign w:val="center"/>
                </w:tcPr>
                <w:p w14:paraId="1E46991A">
                  <w:pPr>
                    <w:wordWrap w:val="0"/>
                    <w:spacing w:line="276" w:lineRule="auto"/>
                    <w:rPr>
                      <w:color w:val="auto"/>
                      <w:sz w:val="21"/>
                      <w:szCs w:val="21"/>
                      <w:highlight w:val="none"/>
                    </w:rPr>
                  </w:pPr>
                  <w:r>
                    <w:rPr>
                      <w:rFonts w:hint="eastAsia"/>
                      <w:color w:val="auto"/>
                      <w:sz w:val="21"/>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1165" w:type="pct"/>
                  <w:tcBorders>
                    <w:tl2br w:val="nil"/>
                    <w:tr2bl w:val="nil"/>
                  </w:tcBorders>
                  <w:vAlign w:val="center"/>
                </w:tcPr>
                <w:p w14:paraId="1265CD0B">
                  <w:pPr>
                    <w:wordWrap w:val="0"/>
                    <w:spacing w:line="276" w:lineRule="auto"/>
                    <w:rPr>
                      <w:color w:val="auto"/>
                      <w:sz w:val="21"/>
                      <w:szCs w:val="21"/>
                      <w:highlight w:val="none"/>
                    </w:rPr>
                  </w:pPr>
                  <w:r>
                    <w:rPr>
                      <w:rFonts w:hint="eastAsia"/>
                      <w:color w:val="auto"/>
                      <w:sz w:val="21"/>
                      <w:szCs w:val="21"/>
                      <w:highlight w:val="none"/>
                    </w:rPr>
                    <w:t>本项目属于非金属废料和碎屑加工处理行业，不属于电力、建材、冶炼等重点耗能行业，不涉及水电、风电、矿产资源开发。项目主要使用电能，电能属于清洁能源。</w:t>
                  </w:r>
                </w:p>
              </w:tc>
              <w:tc>
                <w:tcPr>
                  <w:tcW w:w="316" w:type="pct"/>
                  <w:tcBorders>
                    <w:tl2br w:val="nil"/>
                    <w:tr2bl w:val="nil"/>
                  </w:tcBorders>
                  <w:vAlign w:val="center"/>
                </w:tcPr>
                <w:p w14:paraId="54C2F90A">
                  <w:pPr>
                    <w:wordWrap w:val="0"/>
                    <w:spacing w:line="276" w:lineRule="auto"/>
                    <w:jc w:val="center"/>
                    <w:rPr>
                      <w:b/>
                      <w:bCs/>
                      <w:color w:val="auto"/>
                      <w:sz w:val="21"/>
                      <w:szCs w:val="21"/>
                      <w:highlight w:val="none"/>
                    </w:rPr>
                  </w:pPr>
                  <w:r>
                    <w:rPr>
                      <w:rFonts w:hint="eastAsia"/>
                      <w:color w:val="auto"/>
                      <w:sz w:val="21"/>
                      <w:szCs w:val="21"/>
                      <w:highlight w:val="none"/>
                    </w:rPr>
                    <w:t>符合</w:t>
                  </w:r>
                </w:p>
              </w:tc>
            </w:tr>
            <w:tr w14:paraId="34A3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93" w:type="pct"/>
                  <w:vMerge w:val="continue"/>
                  <w:tcBorders>
                    <w:tl2br w:val="nil"/>
                    <w:tr2bl w:val="nil"/>
                  </w:tcBorders>
                  <w:vAlign w:val="center"/>
                </w:tcPr>
                <w:p w14:paraId="1E8F1072">
                  <w:pPr>
                    <w:wordWrap w:val="0"/>
                    <w:spacing w:line="276" w:lineRule="auto"/>
                    <w:jc w:val="center"/>
                    <w:rPr>
                      <w:b/>
                      <w:bCs/>
                      <w:color w:val="auto"/>
                      <w:sz w:val="21"/>
                      <w:szCs w:val="21"/>
                      <w:highlight w:val="none"/>
                    </w:rPr>
                  </w:pPr>
                </w:p>
              </w:tc>
              <w:tc>
                <w:tcPr>
                  <w:tcW w:w="319" w:type="pct"/>
                  <w:tcBorders>
                    <w:tl2br w:val="nil"/>
                    <w:tr2bl w:val="nil"/>
                  </w:tcBorders>
                  <w:vAlign w:val="center"/>
                </w:tcPr>
                <w:p w14:paraId="761764FF">
                  <w:pPr>
                    <w:wordWrap w:val="0"/>
                    <w:spacing w:line="276" w:lineRule="auto"/>
                    <w:jc w:val="center"/>
                    <w:rPr>
                      <w:b/>
                      <w:bCs/>
                      <w:color w:val="auto"/>
                      <w:sz w:val="21"/>
                      <w:szCs w:val="21"/>
                      <w:highlight w:val="none"/>
                    </w:rPr>
                  </w:pPr>
                  <w:r>
                    <w:rPr>
                      <w:rFonts w:hint="eastAsia"/>
                      <w:b/>
                      <w:bCs/>
                      <w:color w:val="auto"/>
                      <w:sz w:val="21"/>
                      <w:szCs w:val="21"/>
                      <w:highlight w:val="none"/>
                    </w:rPr>
                    <w:t>污染物排放管控</w:t>
                  </w:r>
                </w:p>
              </w:tc>
              <w:tc>
                <w:tcPr>
                  <w:tcW w:w="3004" w:type="pct"/>
                  <w:tcBorders>
                    <w:tl2br w:val="nil"/>
                    <w:tr2bl w:val="nil"/>
                  </w:tcBorders>
                  <w:vAlign w:val="center"/>
                </w:tcPr>
                <w:p w14:paraId="74678DB8">
                  <w:pPr>
                    <w:wordWrap w:val="0"/>
                    <w:spacing w:line="276" w:lineRule="auto"/>
                    <w:rPr>
                      <w:color w:val="auto"/>
                      <w:sz w:val="21"/>
                      <w:szCs w:val="21"/>
                      <w:highlight w:val="none"/>
                    </w:rPr>
                  </w:pPr>
                  <w:r>
                    <w:rPr>
                      <w:rFonts w:hint="eastAsia"/>
                      <w:color w:val="auto"/>
                      <w:sz w:val="21"/>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7BF045B3">
                  <w:pPr>
                    <w:wordWrap w:val="0"/>
                    <w:spacing w:line="276" w:lineRule="auto"/>
                    <w:rPr>
                      <w:color w:val="auto"/>
                      <w:sz w:val="21"/>
                      <w:szCs w:val="21"/>
                      <w:highlight w:val="none"/>
                    </w:rPr>
                  </w:pPr>
                  <w:r>
                    <w:rPr>
                      <w:rFonts w:hint="eastAsia"/>
                      <w:color w:val="auto"/>
                      <w:sz w:val="21"/>
                      <w:szCs w:val="21"/>
                      <w:highlight w:val="none"/>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47B05A1E">
                  <w:pPr>
                    <w:wordWrap w:val="0"/>
                    <w:spacing w:line="276" w:lineRule="auto"/>
                    <w:rPr>
                      <w:color w:val="auto"/>
                      <w:sz w:val="21"/>
                      <w:szCs w:val="21"/>
                      <w:highlight w:val="none"/>
                    </w:rPr>
                  </w:pPr>
                  <w:r>
                    <w:rPr>
                      <w:rFonts w:hint="eastAsia"/>
                      <w:color w:val="auto"/>
                      <w:sz w:val="21"/>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51A7F6D8">
                  <w:pPr>
                    <w:wordWrap w:val="0"/>
                    <w:spacing w:line="276" w:lineRule="auto"/>
                    <w:rPr>
                      <w:b/>
                      <w:bCs/>
                      <w:color w:val="auto"/>
                      <w:sz w:val="21"/>
                      <w:szCs w:val="21"/>
                      <w:highlight w:val="none"/>
                    </w:rPr>
                  </w:pPr>
                  <w:r>
                    <w:rPr>
                      <w:rFonts w:hint="eastAsia"/>
                      <w:color w:val="auto"/>
                      <w:sz w:val="21"/>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1165" w:type="pct"/>
                  <w:tcBorders>
                    <w:tl2br w:val="nil"/>
                    <w:tr2bl w:val="nil"/>
                  </w:tcBorders>
                  <w:vAlign w:val="center"/>
                </w:tcPr>
                <w:p w14:paraId="6C093A7D">
                  <w:pPr>
                    <w:wordWrap w:val="0"/>
                    <w:spacing w:line="276" w:lineRule="auto"/>
                    <w:rPr>
                      <w:rFonts w:hint="eastAsia" w:eastAsia="宋体"/>
                      <w:color w:val="auto"/>
                      <w:sz w:val="21"/>
                      <w:szCs w:val="21"/>
                      <w:highlight w:val="none"/>
                      <w:lang w:val="en-US" w:eastAsia="zh-CN"/>
                    </w:rPr>
                  </w:pPr>
                  <w:r>
                    <w:rPr>
                      <w:rFonts w:hint="eastAsia"/>
                      <w:color w:val="auto"/>
                      <w:sz w:val="21"/>
                      <w:szCs w:val="21"/>
                      <w:highlight w:val="none"/>
                    </w:rPr>
                    <w:t>本项目为非金属废料和碎屑加工处理行业，不属于造纸、焦化、有色金属、印染、农副食品加工、原料药制造、制革、农药、电镀等行业，不属于“两高”项目。项目不使用含VOCs物料。项目所在地不涉及饮用水水源保护区，</w:t>
                  </w:r>
                  <w:r>
                    <w:rPr>
                      <w:rFonts w:hint="eastAsia"/>
                      <w:color w:val="auto"/>
                      <w:sz w:val="21"/>
                      <w:szCs w:val="21"/>
                      <w:highlight w:val="none"/>
                      <w:lang w:val="en-US" w:eastAsia="zh-CN"/>
                    </w:rPr>
                    <w:t>项目生产废水和生活污水处理达标后经园区污水处理厂进一步处理后排放。</w:t>
                  </w:r>
                </w:p>
              </w:tc>
              <w:tc>
                <w:tcPr>
                  <w:tcW w:w="316" w:type="pct"/>
                  <w:tcBorders>
                    <w:tl2br w:val="nil"/>
                    <w:tr2bl w:val="nil"/>
                  </w:tcBorders>
                  <w:vAlign w:val="center"/>
                </w:tcPr>
                <w:p w14:paraId="225D24AA">
                  <w:pPr>
                    <w:wordWrap w:val="0"/>
                    <w:spacing w:line="276" w:lineRule="auto"/>
                    <w:jc w:val="center"/>
                    <w:rPr>
                      <w:b/>
                      <w:bCs/>
                      <w:color w:val="auto"/>
                      <w:sz w:val="21"/>
                      <w:szCs w:val="21"/>
                      <w:highlight w:val="none"/>
                    </w:rPr>
                  </w:pPr>
                  <w:r>
                    <w:rPr>
                      <w:rFonts w:hint="eastAsia"/>
                      <w:color w:val="auto"/>
                      <w:sz w:val="21"/>
                      <w:szCs w:val="21"/>
                      <w:highlight w:val="none"/>
                    </w:rPr>
                    <w:t>符合</w:t>
                  </w:r>
                </w:p>
              </w:tc>
            </w:tr>
            <w:tr w14:paraId="57B8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3" w:type="pct"/>
                  <w:vMerge w:val="continue"/>
                  <w:tcBorders>
                    <w:tl2br w:val="nil"/>
                    <w:tr2bl w:val="nil"/>
                  </w:tcBorders>
                  <w:vAlign w:val="center"/>
                </w:tcPr>
                <w:p w14:paraId="69CB4CDF">
                  <w:pPr>
                    <w:wordWrap w:val="0"/>
                    <w:spacing w:line="276" w:lineRule="auto"/>
                    <w:jc w:val="center"/>
                    <w:rPr>
                      <w:color w:val="auto"/>
                      <w:sz w:val="21"/>
                      <w:szCs w:val="21"/>
                      <w:highlight w:val="none"/>
                    </w:rPr>
                  </w:pPr>
                </w:p>
              </w:tc>
              <w:tc>
                <w:tcPr>
                  <w:tcW w:w="319" w:type="pct"/>
                  <w:tcBorders>
                    <w:tl2br w:val="nil"/>
                    <w:tr2bl w:val="nil"/>
                  </w:tcBorders>
                  <w:vAlign w:val="center"/>
                </w:tcPr>
                <w:p w14:paraId="7D862DBC">
                  <w:pPr>
                    <w:wordWrap w:val="0"/>
                    <w:spacing w:line="276" w:lineRule="auto"/>
                    <w:jc w:val="center"/>
                    <w:rPr>
                      <w:color w:val="auto"/>
                      <w:sz w:val="21"/>
                      <w:szCs w:val="21"/>
                      <w:highlight w:val="none"/>
                    </w:rPr>
                  </w:pPr>
                  <w:r>
                    <w:rPr>
                      <w:rFonts w:hint="eastAsia"/>
                      <w:color w:val="auto"/>
                      <w:sz w:val="21"/>
                      <w:szCs w:val="21"/>
                      <w:highlight w:val="none"/>
                    </w:rPr>
                    <w:t>环境风险管控</w:t>
                  </w:r>
                </w:p>
              </w:tc>
              <w:tc>
                <w:tcPr>
                  <w:tcW w:w="3004" w:type="pct"/>
                  <w:tcBorders>
                    <w:tl2br w:val="nil"/>
                    <w:tr2bl w:val="nil"/>
                  </w:tcBorders>
                  <w:vAlign w:val="center"/>
                </w:tcPr>
                <w:p w14:paraId="6FA50AE7">
                  <w:pPr>
                    <w:wordWrap w:val="0"/>
                    <w:spacing w:line="276" w:lineRule="auto"/>
                    <w:rPr>
                      <w:color w:val="auto"/>
                      <w:sz w:val="21"/>
                      <w:szCs w:val="21"/>
                      <w:highlight w:val="none"/>
                    </w:rPr>
                  </w:pPr>
                  <w:r>
                    <w:rPr>
                      <w:rFonts w:hint="eastAsia"/>
                      <w:color w:val="auto"/>
                      <w:sz w:val="21"/>
                      <w:szCs w:val="21"/>
                      <w:highlight w:val="none"/>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1165" w:type="pct"/>
                  <w:tcBorders>
                    <w:tl2br w:val="nil"/>
                    <w:tr2bl w:val="nil"/>
                  </w:tcBorders>
                  <w:vAlign w:val="center"/>
                </w:tcPr>
                <w:p w14:paraId="0C14F06D">
                  <w:pPr>
                    <w:wordWrap w:val="0"/>
                    <w:spacing w:line="276" w:lineRule="auto"/>
                    <w:rPr>
                      <w:color w:val="auto"/>
                      <w:sz w:val="21"/>
                      <w:szCs w:val="21"/>
                      <w:highlight w:val="none"/>
                    </w:rPr>
                  </w:pPr>
                  <w:r>
                    <w:rPr>
                      <w:rFonts w:hint="eastAsia"/>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16" w:type="pct"/>
                  <w:tcBorders>
                    <w:tl2br w:val="nil"/>
                    <w:tr2bl w:val="nil"/>
                  </w:tcBorders>
                  <w:vAlign w:val="center"/>
                </w:tcPr>
                <w:p w14:paraId="24D2C29C">
                  <w:pPr>
                    <w:wordWrap w:val="0"/>
                    <w:spacing w:line="276" w:lineRule="auto"/>
                    <w:jc w:val="center"/>
                    <w:rPr>
                      <w:color w:val="auto"/>
                      <w:sz w:val="21"/>
                      <w:szCs w:val="21"/>
                      <w:highlight w:val="none"/>
                    </w:rPr>
                  </w:pPr>
                  <w:r>
                    <w:rPr>
                      <w:rFonts w:hint="eastAsia"/>
                      <w:color w:val="auto"/>
                      <w:sz w:val="21"/>
                      <w:szCs w:val="21"/>
                      <w:highlight w:val="none"/>
                    </w:rPr>
                    <w:t>符合</w:t>
                  </w:r>
                </w:p>
              </w:tc>
            </w:tr>
          </w:tbl>
          <w:p w14:paraId="671522B1">
            <w:pPr>
              <w:widowControl/>
              <w:ind w:firstLine="480" w:firstLineChars="200"/>
              <w:jc w:val="left"/>
              <w:rPr>
                <w:color w:val="auto"/>
                <w:highlight w:val="none"/>
              </w:rPr>
            </w:pPr>
            <w:r>
              <w:rPr>
                <w:rFonts w:hint="eastAsia"/>
                <w:color w:val="auto"/>
                <w:highlight w:val="none"/>
              </w:rPr>
              <w:t>本项目位于韶关市乐昌市乐昌产业转移工业园GL-02-04-02-03地块，根据广东省</w:t>
            </w:r>
            <w:r>
              <w:rPr>
                <w:color w:val="auto"/>
                <w:highlight w:val="none"/>
              </w:rPr>
              <w:t>“</w:t>
            </w:r>
            <w:r>
              <w:rPr>
                <w:rFonts w:hint="eastAsia"/>
                <w:color w:val="auto"/>
                <w:highlight w:val="none"/>
              </w:rPr>
              <w:t>三线一单</w:t>
            </w:r>
            <w:r>
              <w:rPr>
                <w:color w:val="auto"/>
                <w:highlight w:val="none"/>
              </w:rPr>
              <w:t>”</w:t>
            </w:r>
            <w:r>
              <w:rPr>
                <w:rFonts w:hint="eastAsia"/>
                <w:color w:val="auto"/>
                <w:highlight w:val="none"/>
              </w:rPr>
              <w:t>应用平台的查询结果，涉及5个单元，根据单元准入要求分析，总计发现需关注的准入要求16条，其他准入要求22条。其中：</w:t>
            </w:r>
          </w:p>
          <w:p w14:paraId="058C0E66">
            <w:pPr>
              <w:widowControl/>
              <w:ind w:firstLine="480" w:firstLineChars="200"/>
              <w:jc w:val="left"/>
              <w:rPr>
                <w:color w:val="auto"/>
                <w:kern w:val="0"/>
                <w:highlight w:val="none"/>
              </w:rPr>
            </w:pPr>
            <w:r>
              <w:rPr>
                <w:color w:val="auto"/>
                <w:kern w:val="0"/>
                <w:highlight w:val="none"/>
              </w:rPr>
              <w:t>（1）本项目</w:t>
            </w:r>
            <w:r>
              <w:rPr>
                <w:rFonts w:hint="eastAsia"/>
                <w:color w:val="auto"/>
                <w:kern w:val="0"/>
                <w:highlight w:val="none"/>
              </w:rPr>
              <w:t>陆域环境管控单元为ZH44028120003</w:t>
            </w:r>
            <w:r>
              <w:rPr>
                <w:color w:val="auto"/>
                <w:kern w:val="0"/>
                <w:highlight w:val="none"/>
              </w:rPr>
              <w:t>(乐昌经济开发区重点管控单元)（见附图</w:t>
            </w:r>
            <w:r>
              <w:rPr>
                <w:rFonts w:hint="eastAsia"/>
                <w:color w:val="auto"/>
                <w:kern w:val="0"/>
                <w:highlight w:val="none"/>
              </w:rPr>
              <w:t>13-1</w:t>
            </w:r>
            <w:r>
              <w:rPr>
                <w:color w:val="auto"/>
                <w:kern w:val="0"/>
                <w:highlight w:val="none"/>
              </w:rPr>
              <w:t>）。</w:t>
            </w:r>
          </w:p>
          <w:p w14:paraId="2454BF22">
            <w:pPr>
              <w:widowControl/>
              <w:ind w:firstLine="480" w:firstLineChars="200"/>
              <w:jc w:val="left"/>
              <w:rPr>
                <w:color w:val="auto"/>
                <w:kern w:val="0"/>
                <w:highlight w:val="none"/>
              </w:rPr>
            </w:pPr>
            <w:r>
              <w:rPr>
                <w:color w:val="auto"/>
                <w:kern w:val="0"/>
                <w:highlight w:val="none"/>
              </w:rPr>
              <w:t>（</w:t>
            </w:r>
            <w:r>
              <w:rPr>
                <w:rFonts w:hint="eastAsia"/>
                <w:color w:val="auto"/>
                <w:kern w:val="0"/>
                <w:highlight w:val="none"/>
              </w:rPr>
              <w:t>2</w:t>
            </w:r>
            <w:r>
              <w:rPr>
                <w:color w:val="auto"/>
                <w:kern w:val="0"/>
                <w:highlight w:val="none"/>
              </w:rPr>
              <w:t>）本项目</w:t>
            </w:r>
            <w:r>
              <w:rPr>
                <w:rFonts w:hint="eastAsia"/>
                <w:color w:val="auto"/>
                <w:kern w:val="0"/>
                <w:highlight w:val="none"/>
              </w:rPr>
              <w:t>生态空间分区为ZH44028120003(乐昌市生态空间一般管控区)</w:t>
            </w:r>
            <w:r>
              <w:rPr>
                <w:color w:val="auto"/>
                <w:kern w:val="0"/>
                <w:highlight w:val="none"/>
              </w:rPr>
              <w:t>（见附图</w:t>
            </w:r>
            <w:r>
              <w:rPr>
                <w:rFonts w:hint="eastAsia"/>
                <w:color w:val="auto"/>
                <w:kern w:val="0"/>
                <w:highlight w:val="none"/>
              </w:rPr>
              <w:t>13-2</w:t>
            </w:r>
            <w:r>
              <w:rPr>
                <w:color w:val="auto"/>
                <w:kern w:val="0"/>
                <w:highlight w:val="none"/>
              </w:rPr>
              <w:t>）</w:t>
            </w:r>
            <w:r>
              <w:rPr>
                <w:rFonts w:hint="eastAsia"/>
                <w:color w:val="auto"/>
                <w:kern w:val="0"/>
                <w:highlight w:val="none"/>
              </w:rPr>
              <w:t>。</w:t>
            </w:r>
          </w:p>
          <w:p w14:paraId="73B6B762">
            <w:pPr>
              <w:widowControl/>
              <w:ind w:firstLine="480" w:firstLineChars="200"/>
              <w:jc w:val="left"/>
              <w:rPr>
                <w:color w:val="auto"/>
                <w:kern w:val="0"/>
                <w:highlight w:val="none"/>
              </w:rPr>
            </w:pPr>
            <w:r>
              <w:rPr>
                <w:color w:val="auto"/>
                <w:kern w:val="0"/>
                <w:highlight w:val="none"/>
              </w:rPr>
              <w:t>（</w:t>
            </w:r>
            <w:r>
              <w:rPr>
                <w:rFonts w:hint="eastAsia"/>
                <w:color w:val="auto"/>
                <w:kern w:val="0"/>
                <w:highlight w:val="none"/>
              </w:rPr>
              <w:t>3</w:t>
            </w:r>
            <w:r>
              <w:rPr>
                <w:color w:val="auto"/>
                <w:kern w:val="0"/>
                <w:highlight w:val="none"/>
              </w:rPr>
              <w:t>）本项目</w:t>
            </w:r>
            <w:r>
              <w:rPr>
                <w:rFonts w:hint="eastAsia"/>
                <w:color w:val="auto"/>
                <w:highlight w:val="none"/>
              </w:rPr>
              <w:t>水环境管控分区为YS4402813210014(武水韶关市长来-廊田镇控制单元)</w:t>
            </w:r>
            <w:r>
              <w:rPr>
                <w:color w:val="auto"/>
                <w:kern w:val="0"/>
                <w:highlight w:val="none"/>
              </w:rPr>
              <w:t>（见附图</w:t>
            </w:r>
            <w:r>
              <w:rPr>
                <w:rFonts w:hint="eastAsia"/>
                <w:color w:val="auto"/>
                <w:kern w:val="0"/>
                <w:highlight w:val="none"/>
              </w:rPr>
              <w:t>13-3</w:t>
            </w:r>
            <w:r>
              <w:rPr>
                <w:color w:val="auto"/>
                <w:kern w:val="0"/>
                <w:highlight w:val="none"/>
              </w:rPr>
              <w:t>）。</w:t>
            </w:r>
          </w:p>
          <w:p w14:paraId="2248BFD5">
            <w:pPr>
              <w:widowControl/>
              <w:ind w:firstLine="480" w:firstLineChars="200"/>
              <w:jc w:val="left"/>
              <w:rPr>
                <w:color w:val="auto"/>
                <w:kern w:val="0"/>
                <w:highlight w:val="none"/>
              </w:rPr>
            </w:pPr>
            <w:r>
              <w:rPr>
                <w:color w:val="auto"/>
                <w:kern w:val="0"/>
                <w:highlight w:val="none"/>
              </w:rPr>
              <w:t>（</w:t>
            </w:r>
            <w:r>
              <w:rPr>
                <w:rFonts w:hint="eastAsia"/>
                <w:color w:val="auto"/>
                <w:kern w:val="0"/>
                <w:highlight w:val="none"/>
              </w:rPr>
              <w:t>4</w:t>
            </w:r>
            <w:r>
              <w:rPr>
                <w:color w:val="auto"/>
                <w:kern w:val="0"/>
                <w:highlight w:val="none"/>
              </w:rPr>
              <w:t>）本项目</w:t>
            </w:r>
            <w:r>
              <w:rPr>
                <w:rFonts w:hint="eastAsia"/>
                <w:color w:val="auto"/>
                <w:highlight w:val="none"/>
              </w:rPr>
              <w:t>大气环境管控分区为YS4402812310002(大气环境高排放重点管控区）</w:t>
            </w:r>
            <w:r>
              <w:rPr>
                <w:color w:val="auto"/>
                <w:kern w:val="0"/>
                <w:highlight w:val="none"/>
              </w:rPr>
              <w:t>（见附图</w:t>
            </w:r>
            <w:r>
              <w:rPr>
                <w:rFonts w:hint="eastAsia"/>
                <w:color w:val="auto"/>
                <w:kern w:val="0"/>
                <w:highlight w:val="none"/>
              </w:rPr>
              <w:t>13-4</w:t>
            </w:r>
            <w:r>
              <w:rPr>
                <w:color w:val="auto"/>
                <w:kern w:val="0"/>
                <w:highlight w:val="none"/>
              </w:rPr>
              <w:t>）。</w:t>
            </w:r>
          </w:p>
          <w:p w14:paraId="2B5AA8FC">
            <w:pPr>
              <w:widowControl/>
              <w:ind w:firstLine="480" w:firstLineChars="200"/>
              <w:jc w:val="left"/>
              <w:rPr>
                <w:color w:val="auto"/>
                <w:kern w:val="0"/>
                <w:highlight w:val="none"/>
              </w:rPr>
            </w:pPr>
            <w:r>
              <w:rPr>
                <w:color w:val="auto"/>
                <w:kern w:val="0"/>
                <w:highlight w:val="none"/>
              </w:rPr>
              <w:t>（</w:t>
            </w:r>
            <w:r>
              <w:rPr>
                <w:rFonts w:hint="eastAsia"/>
                <w:color w:val="auto"/>
                <w:kern w:val="0"/>
                <w:highlight w:val="none"/>
              </w:rPr>
              <w:t>5</w:t>
            </w:r>
            <w:r>
              <w:rPr>
                <w:color w:val="auto"/>
                <w:kern w:val="0"/>
                <w:highlight w:val="none"/>
              </w:rPr>
              <w:t>）本项目</w:t>
            </w:r>
            <w:r>
              <w:rPr>
                <w:rFonts w:hint="eastAsia"/>
                <w:color w:val="auto"/>
                <w:highlight w:val="none"/>
              </w:rPr>
              <w:t>自然资源管控分区为YS4402812540001(乐昌市高污染燃料禁燃区)</w:t>
            </w:r>
            <w:r>
              <w:rPr>
                <w:color w:val="auto"/>
                <w:kern w:val="0"/>
                <w:highlight w:val="none"/>
              </w:rPr>
              <w:t>（见附图</w:t>
            </w:r>
            <w:r>
              <w:rPr>
                <w:rFonts w:hint="eastAsia"/>
                <w:color w:val="auto"/>
                <w:kern w:val="0"/>
                <w:highlight w:val="none"/>
              </w:rPr>
              <w:t>13-5</w:t>
            </w:r>
            <w:r>
              <w:rPr>
                <w:color w:val="auto"/>
                <w:kern w:val="0"/>
                <w:highlight w:val="none"/>
              </w:rPr>
              <w:t>）。</w:t>
            </w:r>
          </w:p>
          <w:p w14:paraId="5F221A64">
            <w:pPr>
              <w:widowControl/>
              <w:ind w:firstLine="480" w:firstLineChars="200"/>
              <w:jc w:val="left"/>
              <w:rPr>
                <w:color w:val="auto"/>
                <w:highlight w:val="none"/>
              </w:rPr>
            </w:pPr>
            <w:r>
              <w:rPr>
                <w:color w:val="auto"/>
                <w:kern w:val="0"/>
                <w:highlight w:val="none"/>
              </w:rPr>
              <w:t>其具体管控要求相符性分析详见下表。</w:t>
            </w:r>
          </w:p>
          <w:p w14:paraId="34676AB5">
            <w:pPr>
              <w:pStyle w:val="107"/>
              <w:rPr>
                <w:color w:val="auto"/>
                <w:sz w:val="21"/>
                <w:szCs w:val="21"/>
                <w:highlight w:val="none"/>
              </w:rPr>
            </w:pPr>
            <w:r>
              <w:rPr>
                <w:rFonts w:hint="eastAsia"/>
                <w:color w:val="auto"/>
                <w:sz w:val="21"/>
                <w:szCs w:val="21"/>
                <w:highlight w:val="none"/>
              </w:rPr>
              <w:t>与</w:t>
            </w:r>
            <w:r>
              <w:rPr>
                <w:rFonts w:hint="eastAsia"/>
                <w:bCs/>
                <w:color w:val="auto"/>
                <w:sz w:val="21"/>
                <w:szCs w:val="21"/>
                <w:highlight w:val="none"/>
              </w:rPr>
              <w:t>生态环境准入清单</w:t>
            </w:r>
            <w:r>
              <w:rPr>
                <w:rFonts w:hint="eastAsia"/>
                <w:color w:val="auto"/>
                <w:sz w:val="21"/>
                <w:szCs w:val="21"/>
                <w:highlight w:val="none"/>
              </w:rPr>
              <w:t>相符性分析</w:t>
            </w:r>
          </w:p>
          <w:tbl>
            <w:tblPr>
              <w:tblStyle w:val="50"/>
              <w:tblW w:w="1351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922"/>
              <w:gridCol w:w="1052"/>
              <w:gridCol w:w="6467"/>
              <w:gridCol w:w="3517"/>
              <w:gridCol w:w="54"/>
              <w:gridCol w:w="41"/>
              <w:gridCol w:w="965"/>
            </w:tblGrid>
            <w:tr w14:paraId="70AE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8"/>
                  <w:tcBorders>
                    <w:tl2br w:val="nil"/>
                    <w:tr2bl w:val="nil"/>
                  </w:tcBorders>
                  <w:vAlign w:val="center"/>
                </w:tcPr>
                <w:p w14:paraId="66775AED">
                  <w:pPr>
                    <w:spacing w:line="276" w:lineRule="auto"/>
                    <w:jc w:val="center"/>
                    <w:rPr>
                      <w:color w:val="auto"/>
                      <w:sz w:val="21"/>
                      <w:szCs w:val="21"/>
                      <w:highlight w:val="none"/>
                    </w:rPr>
                  </w:pPr>
                  <w:r>
                    <w:rPr>
                      <w:rFonts w:hint="eastAsia"/>
                      <w:b/>
                      <w:bCs/>
                      <w:color w:val="auto"/>
                      <w:sz w:val="21"/>
                      <w:szCs w:val="21"/>
                      <w:highlight w:val="none"/>
                    </w:rPr>
                    <w:t>与</w:t>
                  </w:r>
                  <w:r>
                    <w:rPr>
                      <w:rFonts w:hint="eastAsia"/>
                      <w:b/>
                      <w:bCs/>
                      <w:color w:val="auto"/>
                      <w:kern w:val="0"/>
                      <w:sz w:val="21"/>
                      <w:szCs w:val="21"/>
                      <w:highlight w:val="none"/>
                    </w:rPr>
                    <w:t>乐昌经济开发区重点管控单元（ZH44028120003）要求相符性分析</w:t>
                  </w:r>
                </w:p>
              </w:tc>
            </w:tr>
            <w:tr w14:paraId="3A2E5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85" w:type="pct"/>
                  <w:vMerge w:val="restart"/>
                  <w:tcBorders>
                    <w:tl2br w:val="nil"/>
                    <w:tr2bl w:val="nil"/>
                  </w:tcBorders>
                  <w:vAlign w:val="center"/>
                </w:tcPr>
                <w:p w14:paraId="29498794">
                  <w:pPr>
                    <w:spacing w:line="276" w:lineRule="auto"/>
                    <w:jc w:val="center"/>
                    <w:rPr>
                      <w:color w:val="auto"/>
                      <w:sz w:val="21"/>
                      <w:szCs w:val="21"/>
                      <w:highlight w:val="none"/>
                    </w:rPr>
                  </w:pPr>
                  <w:r>
                    <w:rPr>
                      <w:rFonts w:hint="eastAsia"/>
                      <w:b/>
                      <w:bCs/>
                      <w:color w:val="auto"/>
                      <w:sz w:val="21"/>
                      <w:szCs w:val="21"/>
                      <w:highlight w:val="none"/>
                    </w:rPr>
                    <w:t>生态环境准入清单</w:t>
                  </w:r>
                </w:p>
              </w:tc>
              <w:tc>
                <w:tcPr>
                  <w:tcW w:w="341" w:type="pct"/>
                  <w:tcBorders>
                    <w:tl2br w:val="nil"/>
                    <w:tr2bl w:val="nil"/>
                  </w:tcBorders>
                  <w:vAlign w:val="center"/>
                </w:tcPr>
                <w:p w14:paraId="16250BBD">
                  <w:pPr>
                    <w:spacing w:line="276" w:lineRule="auto"/>
                    <w:jc w:val="left"/>
                    <w:rPr>
                      <w:color w:val="auto"/>
                      <w:sz w:val="21"/>
                      <w:szCs w:val="21"/>
                      <w:highlight w:val="none"/>
                    </w:rPr>
                  </w:pPr>
                  <w:r>
                    <w:rPr>
                      <w:rFonts w:hint="eastAsia"/>
                      <w:color w:val="auto"/>
                      <w:sz w:val="21"/>
                      <w:szCs w:val="21"/>
                      <w:highlight w:val="none"/>
                    </w:rPr>
                    <w:t>区域布局管控</w:t>
                  </w:r>
                </w:p>
              </w:tc>
              <w:tc>
                <w:tcPr>
                  <w:tcW w:w="2781" w:type="pct"/>
                  <w:gridSpan w:val="2"/>
                  <w:tcBorders>
                    <w:tl2br w:val="nil"/>
                    <w:tr2bl w:val="nil"/>
                  </w:tcBorders>
                  <w:vAlign w:val="center"/>
                </w:tcPr>
                <w:p w14:paraId="20BF878D">
                  <w:pPr>
                    <w:spacing w:line="276" w:lineRule="auto"/>
                    <w:rPr>
                      <w:color w:val="auto"/>
                      <w:sz w:val="21"/>
                      <w:szCs w:val="21"/>
                      <w:highlight w:val="none"/>
                    </w:rPr>
                  </w:pPr>
                  <w:r>
                    <w:rPr>
                      <w:rFonts w:hint="eastAsia"/>
                      <w:color w:val="auto"/>
                      <w:sz w:val="21"/>
                      <w:szCs w:val="21"/>
                      <w:highlight w:val="none"/>
                    </w:rPr>
                    <w:t>1-1.【产业/鼓励引导类】重点发展现代轻工产业（消费电子等）、先进装备制造业等产业，优先引进无污染物或轻污染项目。</w:t>
                  </w:r>
                </w:p>
                <w:p w14:paraId="1FC61D4B">
                  <w:pPr>
                    <w:spacing w:line="276" w:lineRule="auto"/>
                    <w:rPr>
                      <w:color w:val="auto"/>
                      <w:sz w:val="21"/>
                      <w:szCs w:val="21"/>
                      <w:highlight w:val="none"/>
                    </w:rPr>
                  </w:pPr>
                  <w:r>
                    <w:rPr>
                      <w:rFonts w:hint="eastAsia"/>
                      <w:color w:val="auto"/>
                      <w:sz w:val="21"/>
                      <w:szCs w:val="21"/>
                      <w:highlight w:val="none"/>
                    </w:rPr>
                    <w:t>1-2.【产业/禁止类】园区禁止引入专业电镀、化学制浆、鞣革等水污染物排放量大或排放一类污染物、持久性有机污染物的项目。</w:t>
                  </w:r>
                </w:p>
                <w:p w14:paraId="75D4B90C">
                  <w:pPr>
                    <w:spacing w:line="276" w:lineRule="auto"/>
                    <w:rPr>
                      <w:color w:val="auto"/>
                      <w:sz w:val="21"/>
                      <w:szCs w:val="21"/>
                      <w:highlight w:val="none"/>
                    </w:rPr>
                  </w:pPr>
                  <w:r>
                    <w:rPr>
                      <w:rFonts w:hint="eastAsia"/>
                      <w:color w:val="auto"/>
                      <w:sz w:val="21"/>
                      <w:szCs w:val="21"/>
                      <w:highlight w:val="none"/>
                    </w:rPr>
                    <w:t>1-3.【产业/限制类】严格限制不符合园区发展定位的项目入驻。</w:t>
                  </w:r>
                </w:p>
                <w:p w14:paraId="53367CB5">
                  <w:pPr>
                    <w:spacing w:line="276" w:lineRule="auto"/>
                    <w:rPr>
                      <w:color w:val="auto"/>
                      <w:sz w:val="21"/>
                      <w:szCs w:val="21"/>
                      <w:highlight w:val="none"/>
                    </w:rPr>
                  </w:pPr>
                  <w:r>
                    <w:rPr>
                      <w:rFonts w:hint="eastAsia"/>
                      <w:color w:val="auto"/>
                      <w:sz w:val="21"/>
                      <w:szCs w:val="21"/>
                      <w:highlight w:val="none"/>
                    </w:rPr>
                    <w:t>1-4.【产业/综合类】居民区、学校等环境敏感点邻近地块优先布局废气排放量小、工业噪声影响小的产业。</w:t>
                  </w:r>
                </w:p>
              </w:tc>
              <w:tc>
                <w:tcPr>
                  <w:tcW w:w="1321" w:type="pct"/>
                  <w:gridSpan w:val="2"/>
                  <w:tcBorders>
                    <w:tl2br w:val="nil"/>
                    <w:tr2bl w:val="nil"/>
                  </w:tcBorders>
                  <w:vAlign w:val="center"/>
                </w:tcPr>
                <w:p w14:paraId="2E07BD35">
                  <w:pPr>
                    <w:spacing w:line="276" w:lineRule="auto"/>
                    <w:rPr>
                      <w:color w:val="auto"/>
                      <w:sz w:val="21"/>
                      <w:szCs w:val="21"/>
                      <w:highlight w:val="none"/>
                    </w:rPr>
                  </w:pPr>
                  <w:r>
                    <w:rPr>
                      <w:rFonts w:hint="eastAsia"/>
                      <w:color w:val="auto"/>
                      <w:sz w:val="21"/>
                      <w:szCs w:val="21"/>
                      <w:highlight w:val="none"/>
                    </w:rPr>
                    <w:t>本项目为非金属废料和碎屑加工处理行业，不属于专业电镀、化学制浆、鞣革等水污染物排放量大或排放一类污染物、持久性有机污染物的项目；项目符合园区发展定位；本项目废气排放量较小，涉及环境敏感点为居民区，符合布局要求。</w:t>
                  </w:r>
                </w:p>
              </w:tc>
              <w:tc>
                <w:tcPr>
                  <w:tcW w:w="370" w:type="pct"/>
                  <w:gridSpan w:val="2"/>
                  <w:tcBorders>
                    <w:tl2br w:val="nil"/>
                    <w:tr2bl w:val="nil"/>
                  </w:tcBorders>
                  <w:vAlign w:val="center"/>
                </w:tcPr>
                <w:p w14:paraId="1A578DFD">
                  <w:pPr>
                    <w:spacing w:line="276" w:lineRule="auto"/>
                    <w:ind w:right="86" w:rightChars="36"/>
                    <w:jc w:val="center"/>
                    <w:rPr>
                      <w:color w:val="auto"/>
                      <w:sz w:val="21"/>
                      <w:szCs w:val="21"/>
                      <w:highlight w:val="none"/>
                    </w:rPr>
                  </w:pPr>
                  <w:r>
                    <w:rPr>
                      <w:rFonts w:hint="eastAsia"/>
                      <w:color w:val="auto"/>
                      <w:sz w:val="21"/>
                      <w:szCs w:val="21"/>
                      <w:highlight w:val="none"/>
                    </w:rPr>
                    <w:t>符合</w:t>
                  </w:r>
                </w:p>
              </w:tc>
            </w:tr>
            <w:tr w14:paraId="2329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85" w:type="pct"/>
                  <w:vMerge w:val="continue"/>
                  <w:tcBorders>
                    <w:tl2br w:val="nil"/>
                    <w:tr2bl w:val="nil"/>
                  </w:tcBorders>
                  <w:vAlign w:val="center"/>
                </w:tcPr>
                <w:p w14:paraId="360304D8">
                  <w:pPr>
                    <w:spacing w:line="276" w:lineRule="auto"/>
                    <w:jc w:val="center"/>
                    <w:rPr>
                      <w:color w:val="auto"/>
                      <w:sz w:val="21"/>
                      <w:szCs w:val="21"/>
                      <w:highlight w:val="none"/>
                    </w:rPr>
                  </w:pPr>
                </w:p>
              </w:tc>
              <w:tc>
                <w:tcPr>
                  <w:tcW w:w="341" w:type="pct"/>
                  <w:tcBorders>
                    <w:tl2br w:val="nil"/>
                    <w:tr2bl w:val="nil"/>
                  </w:tcBorders>
                  <w:vAlign w:val="center"/>
                </w:tcPr>
                <w:p w14:paraId="2BF166B4">
                  <w:pPr>
                    <w:spacing w:line="276" w:lineRule="auto"/>
                    <w:jc w:val="center"/>
                    <w:rPr>
                      <w:color w:val="auto"/>
                      <w:sz w:val="21"/>
                      <w:szCs w:val="21"/>
                      <w:highlight w:val="none"/>
                    </w:rPr>
                  </w:pPr>
                  <w:r>
                    <w:rPr>
                      <w:rFonts w:hint="eastAsia"/>
                      <w:color w:val="auto"/>
                      <w:sz w:val="21"/>
                      <w:szCs w:val="21"/>
                      <w:highlight w:val="none"/>
                    </w:rPr>
                    <w:t>能源资源利用</w:t>
                  </w:r>
                </w:p>
              </w:tc>
              <w:tc>
                <w:tcPr>
                  <w:tcW w:w="2781" w:type="pct"/>
                  <w:gridSpan w:val="2"/>
                  <w:tcBorders>
                    <w:tl2br w:val="nil"/>
                    <w:tr2bl w:val="nil"/>
                  </w:tcBorders>
                  <w:vAlign w:val="center"/>
                </w:tcPr>
                <w:p w14:paraId="0026CFB9">
                  <w:pPr>
                    <w:spacing w:line="276" w:lineRule="auto"/>
                    <w:rPr>
                      <w:color w:val="auto"/>
                      <w:sz w:val="21"/>
                      <w:szCs w:val="21"/>
                      <w:highlight w:val="none"/>
                    </w:rPr>
                  </w:pPr>
                  <w:r>
                    <w:rPr>
                      <w:rFonts w:hint="eastAsia"/>
                      <w:color w:val="auto"/>
                      <w:sz w:val="21"/>
                      <w:szCs w:val="21"/>
                      <w:highlight w:val="none"/>
                    </w:rPr>
                    <w:t>2-1.【能源/鼓励引导类】园区内能源结构应以电能、燃气等清洁能源为主。</w:t>
                  </w:r>
                </w:p>
                <w:p w14:paraId="7C3F3BFF">
                  <w:pPr>
                    <w:spacing w:line="276" w:lineRule="auto"/>
                    <w:rPr>
                      <w:color w:val="auto"/>
                      <w:sz w:val="21"/>
                      <w:szCs w:val="21"/>
                      <w:highlight w:val="none"/>
                    </w:rPr>
                  </w:pPr>
                  <w:r>
                    <w:rPr>
                      <w:rFonts w:hint="eastAsia"/>
                      <w:color w:val="auto"/>
                      <w:sz w:val="21"/>
                      <w:szCs w:val="21"/>
                      <w:highlight w:val="none"/>
                    </w:rPr>
                    <w:t>2-2.【水资源/综合类】提高园区水资源利用效率，加快中水回用系统建设。</w:t>
                  </w:r>
                </w:p>
                <w:p w14:paraId="40071419">
                  <w:pPr>
                    <w:spacing w:line="276" w:lineRule="auto"/>
                    <w:rPr>
                      <w:color w:val="auto"/>
                      <w:sz w:val="21"/>
                      <w:szCs w:val="21"/>
                      <w:highlight w:val="none"/>
                    </w:rPr>
                  </w:pPr>
                  <w:r>
                    <w:rPr>
                      <w:rFonts w:hint="eastAsia"/>
                      <w:color w:val="auto"/>
                      <w:sz w:val="21"/>
                      <w:szCs w:val="21"/>
                      <w:highlight w:val="none"/>
                    </w:rPr>
                    <w:t>2-3.【其他/综合类】有行业清洁生产标准的新引进项目清洁生产水平须达到本行业国内先进水平。</w:t>
                  </w:r>
                </w:p>
              </w:tc>
              <w:tc>
                <w:tcPr>
                  <w:tcW w:w="1321" w:type="pct"/>
                  <w:gridSpan w:val="2"/>
                  <w:tcBorders>
                    <w:tl2br w:val="nil"/>
                    <w:tr2bl w:val="nil"/>
                  </w:tcBorders>
                  <w:vAlign w:val="center"/>
                </w:tcPr>
                <w:p w14:paraId="29C72F04">
                  <w:pPr>
                    <w:spacing w:line="276" w:lineRule="auto"/>
                    <w:rPr>
                      <w:color w:val="auto"/>
                      <w:sz w:val="21"/>
                      <w:szCs w:val="21"/>
                      <w:highlight w:val="none"/>
                    </w:rPr>
                  </w:pPr>
                  <w:r>
                    <w:rPr>
                      <w:rFonts w:hint="eastAsia"/>
                      <w:color w:val="auto"/>
                      <w:sz w:val="21"/>
                      <w:szCs w:val="21"/>
                      <w:highlight w:val="none"/>
                    </w:rPr>
                    <w:t>项目以主要电能作为生产能源，属于清洁能源；项目生产废水和生活污水处理达标后经园区污水处理厂进一步处理后排放。</w:t>
                  </w:r>
                </w:p>
              </w:tc>
              <w:tc>
                <w:tcPr>
                  <w:tcW w:w="370" w:type="pct"/>
                  <w:gridSpan w:val="2"/>
                  <w:tcBorders>
                    <w:tl2br w:val="nil"/>
                    <w:tr2bl w:val="nil"/>
                  </w:tcBorders>
                  <w:vAlign w:val="center"/>
                </w:tcPr>
                <w:p w14:paraId="39E22B38">
                  <w:pPr>
                    <w:spacing w:line="276" w:lineRule="auto"/>
                    <w:jc w:val="center"/>
                    <w:rPr>
                      <w:color w:val="auto"/>
                      <w:sz w:val="21"/>
                      <w:szCs w:val="21"/>
                      <w:highlight w:val="none"/>
                    </w:rPr>
                  </w:pPr>
                  <w:r>
                    <w:rPr>
                      <w:rFonts w:hint="eastAsia"/>
                      <w:color w:val="auto"/>
                      <w:sz w:val="21"/>
                      <w:szCs w:val="21"/>
                      <w:highlight w:val="none"/>
                    </w:rPr>
                    <w:t>符合</w:t>
                  </w:r>
                </w:p>
              </w:tc>
            </w:tr>
            <w:tr w14:paraId="5CEF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5" w:type="pct"/>
                  <w:vMerge w:val="continue"/>
                  <w:tcBorders>
                    <w:tl2br w:val="nil"/>
                    <w:tr2bl w:val="nil"/>
                  </w:tcBorders>
                  <w:vAlign w:val="center"/>
                </w:tcPr>
                <w:p w14:paraId="6E7DC643">
                  <w:pPr>
                    <w:spacing w:line="276" w:lineRule="auto"/>
                    <w:jc w:val="center"/>
                    <w:rPr>
                      <w:color w:val="auto"/>
                      <w:sz w:val="21"/>
                      <w:szCs w:val="21"/>
                      <w:highlight w:val="none"/>
                    </w:rPr>
                  </w:pPr>
                </w:p>
              </w:tc>
              <w:tc>
                <w:tcPr>
                  <w:tcW w:w="341" w:type="pct"/>
                  <w:tcBorders>
                    <w:tl2br w:val="nil"/>
                    <w:tr2bl w:val="nil"/>
                  </w:tcBorders>
                  <w:vAlign w:val="center"/>
                </w:tcPr>
                <w:p w14:paraId="3B7E005B">
                  <w:pPr>
                    <w:spacing w:line="276" w:lineRule="auto"/>
                    <w:jc w:val="center"/>
                    <w:rPr>
                      <w:color w:val="auto"/>
                      <w:sz w:val="21"/>
                      <w:szCs w:val="21"/>
                      <w:highlight w:val="none"/>
                    </w:rPr>
                  </w:pPr>
                  <w:r>
                    <w:rPr>
                      <w:rFonts w:hint="eastAsia"/>
                      <w:color w:val="auto"/>
                      <w:sz w:val="21"/>
                      <w:szCs w:val="21"/>
                      <w:highlight w:val="none"/>
                    </w:rPr>
                    <w:t>污染物排放管控</w:t>
                  </w:r>
                </w:p>
              </w:tc>
              <w:tc>
                <w:tcPr>
                  <w:tcW w:w="2781" w:type="pct"/>
                  <w:gridSpan w:val="2"/>
                  <w:tcBorders>
                    <w:tl2br w:val="nil"/>
                    <w:tr2bl w:val="nil"/>
                  </w:tcBorders>
                  <w:vAlign w:val="center"/>
                </w:tcPr>
                <w:p w14:paraId="427C1ABA">
                  <w:pPr>
                    <w:spacing w:line="276" w:lineRule="auto"/>
                    <w:rPr>
                      <w:color w:val="auto"/>
                      <w:sz w:val="21"/>
                      <w:szCs w:val="21"/>
                      <w:highlight w:val="none"/>
                    </w:rPr>
                  </w:pPr>
                  <w:r>
                    <w:rPr>
                      <w:rFonts w:hint="eastAsia"/>
                      <w:color w:val="auto"/>
                      <w:sz w:val="21"/>
                      <w:szCs w:val="21"/>
                      <w:highlight w:val="none"/>
                    </w:rPr>
                    <w:t>3-1.【水、大气/限制类】园区各项污染物排放总量不得突破园区规划环评核定的污染物排放总量管控要求。</w:t>
                  </w:r>
                </w:p>
                <w:p w14:paraId="4B1B0F0C">
                  <w:pPr>
                    <w:spacing w:line="276" w:lineRule="auto"/>
                    <w:rPr>
                      <w:rFonts w:hint="eastAsia"/>
                      <w:color w:val="auto"/>
                      <w:sz w:val="21"/>
                      <w:szCs w:val="21"/>
                      <w:highlight w:val="none"/>
                    </w:rPr>
                  </w:pPr>
                  <w:r>
                    <w:rPr>
                      <w:rFonts w:hint="eastAsia"/>
                      <w:color w:val="auto"/>
                      <w:sz w:val="21"/>
                      <w:szCs w:val="21"/>
                      <w:highlight w:val="none"/>
                    </w:rPr>
                    <w:t>3-2.【水/限制类】实行重点重金属污染物（铅、砷、汞、镉、铬）等量替代。严格控制涉重金属及有毒有害污染物排放的项目建设，新建、改建、扩建涉重金属重点行业的项目应明确重金属污染物总量来源。</w:t>
                  </w:r>
                </w:p>
                <w:p w14:paraId="3664BDBE">
                  <w:pPr>
                    <w:spacing w:line="276" w:lineRule="auto"/>
                    <w:rPr>
                      <w:color w:val="auto"/>
                      <w:sz w:val="21"/>
                      <w:szCs w:val="21"/>
                      <w:highlight w:val="none"/>
                    </w:rPr>
                  </w:pPr>
                  <w:r>
                    <w:rPr>
                      <w:rFonts w:hint="eastAsia"/>
                      <w:color w:val="auto"/>
                      <w:sz w:val="21"/>
                      <w:szCs w:val="21"/>
                      <w:highlight w:val="none"/>
                    </w:rPr>
                    <w:t>3-3.【大气/限制类】新建项目原则上实施氮氧化物、挥发性有机物排放量等量替代。</w:t>
                  </w:r>
                </w:p>
                <w:p w14:paraId="6E8AB571">
                  <w:pPr>
                    <w:spacing w:line="276" w:lineRule="auto"/>
                    <w:rPr>
                      <w:color w:val="auto"/>
                      <w:sz w:val="21"/>
                      <w:szCs w:val="21"/>
                      <w:highlight w:val="none"/>
                    </w:rPr>
                  </w:pPr>
                  <w:r>
                    <w:rPr>
                      <w:rFonts w:hint="eastAsia"/>
                      <w:color w:val="auto"/>
                      <w:sz w:val="21"/>
                      <w:szCs w:val="21"/>
                      <w:highlight w:val="none"/>
                    </w:rPr>
                    <w:t>3-4.【其它/鼓励引导类】支持危险废物专业收集转运和利用处置单位建设区域性收集网点和贮存设施。</w:t>
                  </w:r>
                </w:p>
              </w:tc>
              <w:tc>
                <w:tcPr>
                  <w:tcW w:w="1321" w:type="pct"/>
                  <w:gridSpan w:val="2"/>
                  <w:tcBorders>
                    <w:tl2br w:val="nil"/>
                    <w:tr2bl w:val="nil"/>
                  </w:tcBorders>
                  <w:vAlign w:val="center"/>
                </w:tcPr>
                <w:p w14:paraId="1186890C">
                  <w:pPr>
                    <w:spacing w:line="276" w:lineRule="auto"/>
                    <w:rPr>
                      <w:color w:val="auto"/>
                      <w:sz w:val="21"/>
                      <w:szCs w:val="21"/>
                      <w:highlight w:val="none"/>
                    </w:rPr>
                  </w:pPr>
                  <w:r>
                    <w:rPr>
                      <w:rFonts w:hint="eastAsia"/>
                      <w:color w:val="auto"/>
                      <w:sz w:val="21"/>
                      <w:szCs w:val="21"/>
                      <w:highlight w:val="none"/>
                    </w:rPr>
                    <w:t>项目生产过程产生的</w:t>
                  </w:r>
                  <w:r>
                    <w:rPr>
                      <w:rFonts w:hint="eastAsia"/>
                      <w:color w:val="auto"/>
                      <w:sz w:val="21"/>
                      <w:szCs w:val="21"/>
                      <w:highlight w:val="none"/>
                      <w:lang w:val="en-US" w:eastAsia="zh-CN"/>
                    </w:rPr>
                    <w:t>VOCs</w:t>
                  </w:r>
                  <w:r>
                    <w:rPr>
                      <w:rFonts w:hint="eastAsia"/>
                      <w:color w:val="auto"/>
                      <w:sz w:val="21"/>
                      <w:szCs w:val="21"/>
                      <w:highlight w:val="none"/>
                    </w:rPr>
                    <w:t>没有突破园区规划环评核定的污染物排放总量，需向韶关市生态环境局乐昌分局申请分配实行等量代替，项目不涉及重金属污染物，危险废物贮存在厂区危险废物暂存间，统一收集后交有资质的单位处理。</w:t>
                  </w:r>
                </w:p>
              </w:tc>
              <w:tc>
                <w:tcPr>
                  <w:tcW w:w="370" w:type="pct"/>
                  <w:gridSpan w:val="2"/>
                  <w:tcBorders>
                    <w:tl2br w:val="nil"/>
                    <w:tr2bl w:val="nil"/>
                  </w:tcBorders>
                  <w:vAlign w:val="center"/>
                </w:tcPr>
                <w:p w14:paraId="370DA438">
                  <w:pPr>
                    <w:spacing w:line="276" w:lineRule="auto"/>
                    <w:jc w:val="center"/>
                    <w:rPr>
                      <w:color w:val="auto"/>
                      <w:sz w:val="21"/>
                      <w:szCs w:val="21"/>
                      <w:highlight w:val="none"/>
                    </w:rPr>
                  </w:pPr>
                  <w:r>
                    <w:rPr>
                      <w:rFonts w:hint="eastAsia"/>
                      <w:color w:val="auto"/>
                      <w:sz w:val="21"/>
                      <w:szCs w:val="21"/>
                      <w:highlight w:val="none"/>
                    </w:rPr>
                    <w:t>符合</w:t>
                  </w:r>
                </w:p>
              </w:tc>
            </w:tr>
            <w:tr w14:paraId="1A60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185" w:type="pct"/>
                  <w:vMerge w:val="continue"/>
                  <w:tcBorders>
                    <w:tl2br w:val="nil"/>
                    <w:tr2bl w:val="nil"/>
                  </w:tcBorders>
                  <w:vAlign w:val="center"/>
                </w:tcPr>
                <w:p w14:paraId="746B44D8">
                  <w:pPr>
                    <w:spacing w:line="276" w:lineRule="auto"/>
                    <w:ind w:right="86" w:rightChars="36"/>
                    <w:jc w:val="center"/>
                    <w:rPr>
                      <w:color w:val="auto"/>
                      <w:sz w:val="21"/>
                      <w:szCs w:val="21"/>
                      <w:highlight w:val="none"/>
                    </w:rPr>
                  </w:pPr>
                </w:p>
              </w:tc>
              <w:tc>
                <w:tcPr>
                  <w:tcW w:w="341" w:type="pct"/>
                  <w:tcBorders>
                    <w:tl2br w:val="nil"/>
                    <w:tr2bl w:val="nil"/>
                  </w:tcBorders>
                  <w:vAlign w:val="center"/>
                </w:tcPr>
                <w:p w14:paraId="24799764">
                  <w:pPr>
                    <w:spacing w:line="276" w:lineRule="auto"/>
                    <w:ind w:right="86" w:rightChars="36"/>
                    <w:jc w:val="center"/>
                    <w:rPr>
                      <w:color w:val="auto"/>
                      <w:sz w:val="21"/>
                      <w:szCs w:val="21"/>
                      <w:highlight w:val="none"/>
                    </w:rPr>
                  </w:pPr>
                  <w:r>
                    <w:rPr>
                      <w:rFonts w:hint="eastAsia"/>
                      <w:color w:val="auto"/>
                      <w:sz w:val="21"/>
                      <w:szCs w:val="21"/>
                      <w:highlight w:val="none"/>
                    </w:rPr>
                    <w:t>环境风险防控</w:t>
                  </w:r>
                </w:p>
              </w:tc>
              <w:tc>
                <w:tcPr>
                  <w:tcW w:w="2781" w:type="pct"/>
                  <w:gridSpan w:val="2"/>
                  <w:tcBorders>
                    <w:tl2br w:val="nil"/>
                    <w:tr2bl w:val="nil"/>
                  </w:tcBorders>
                  <w:vAlign w:val="center"/>
                </w:tcPr>
                <w:p w14:paraId="76C0B5AA">
                  <w:pPr>
                    <w:spacing w:line="276" w:lineRule="auto"/>
                    <w:rPr>
                      <w:color w:val="auto"/>
                      <w:sz w:val="21"/>
                      <w:szCs w:val="21"/>
                      <w:highlight w:val="none"/>
                    </w:rPr>
                  </w:pPr>
                  <w:r>
                    <w:rPr>
                      <w:rFonts w:hint="eastAsia"/>
                      <w:color w:val="auto"/>
                      <w:sz w:val="21"/>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水处理厂设置足够容积的事故应急池，纳污水体设置水质监控断面，发现问题，及时采取限制废水排放等措施。</w:t>
                  </w:r>
                </w:p>
              </w:tc>
              <w:tc>
                <w:tcPr>
                  <w:tcW w:w="1321" w:type="pct"/>
                  <w:gridSpan w:val="2"/>
                  <w:tcBorders>
                    <w:tl2br w:val="nil"/>
                    <w:tr2bl w:val="nil"/>
                  </w:tcBorders>
                  <w:vAlign w:val="center"/>
                </w:tcPr>
                <w:p w14:paraId="21D6D3D0">
                  <w:pPr>
                    <w:spacing w:line="276" w:lineRule="auto"/>
                    <w:rPr>
                      <w:color w:val="auto"/>
                      <w:sz w:val="21"/>
                      <w:szCs w:val="21"/>
                      <w:highlight w:val="none"/>
                    </w:rPr>
                  </w:pPr>
                  <w:r>
                    <w:rPr>
                      <w:rFonts w:hint="eastAsia"/>
                      <w:color w:val="auto"/>
                      <w:sz w:val="21"/>
                      <w:szCs w:val="21"/>
                      <w:highlight w:val="none"/>
                    </w:rPr>
                    <w:t>项目位于乐昌产业转移工业园内，乐昌产业转移工业园已完善相关环保手续，并制定了事故风险防范和应急措施，能够满足项目环境风险防控的要求。</w:t>
                  </w:r>
                </w:p>
              </w:tc>
              <w:tc>
                <w:tcPr>
                  <w:tcW w:w="370" w:type="pct"/>
                  <w:gridSpan w:val="2"/>
                  <w:tcBorders>
                    <w:tl2br w:val="nil"/>
                    <w:tr2bl w:val="nil"/>
                  </w:tcBorders>
                  <w:vAlign w:val="center"/>
                </w:tcPr>
                <w:p w14:paraId="77161C76">
                  <w:pPr>
                    <w:spacing w:line="276" w:lineRule="auto"/>
                    <w:jc w:val="center"/>
                    <w:rPr>
                      <w:color w:val="auto"/>
                      <w:sz w:val="21"/>
                      <w:szCs w:val="21"/>
                      <w:highlight w:val="none"/>
                    </w:rPr>
                  </w:pPr>
                  <w:r>
                    <w:rPr>
                      <w:rFonts w:hint="eastAsia"/>
                      <w:color w:val="auto"/>
                      <w:sz w:val="21"/>
                      <w:szCs w:val="21"/>
                      <w:highlight w:val="none"/>
                    </w:rPr>
                    <w:t>符合</w:t>
                  </w:r>
                </w:p>
              </w:tc>
            </w:tr>
            <w:tr w14:paraId="18D6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31502D20">
                  <w:pPr>
                    <w:spacing w:line="276" w:lineRule="auto"/>
                    <w:ind w:right="86" w:rightChars="36"/>
                    <w:jc w:val="center"/>
                    <w:rPr>
                      <w:b/>
                      <w:bCs/>
                      <w:color w:val="auto"/>
                      <w:sz w:val="21"/>
                      <w:szCs w:val="21"/>
                      <w:highlight w:val="none"/>
                    </w:rPr>
                  </w:pPr>
                  <w:r>
                    <w:rPr>
                      <w:rFonts w:hint="eastAsia"/>
                      <w:b/>
                      <w:bCs/>
                      <w:color w:val="auto"/>
                      <w:sz w:val="21"/>
                      <w:szCs w:val="21"/>
                      <w:highlight w:val="none"/>
                    </w:rPr>
                    <w:t>环境管控单元编码</w:t>
                  </w:r>
                </w:p>
              </w:tc>
              <w:tc>
                <w:tcPr>
                  <w:tcW w:w="2392" w:type="pct"/>
                  <w:tcBorders>
                    <w:tl2br w:val="nil"/>
                    <w:tr2bl w:val="nil"/>
                  </w:tcBorders>
                  <w:vAlign w:val="center"/>
                </w:tcPr>
                <w:p w14:paraId="7D35F8B7">
                  <w:pPr>
                    <w:spacing w:line="276" w:lineRule="auto"/>
                    <w:jc w:val="center"/>
                    <w:rPr>
                      <w:b/>
                      <w:bCs/>
                      <w:color w:val="auto"/>
                      <w:sz w:val="21"/>
                      <w:szCs w:val="21"/>
                      <w:highlight w:val="none"/>
                    </w:rPr>
                  </w:pPr>
                  <w:r>
                    <w:rPr>
                      <w:rFonts w:hint="eastAsia"/>
                      <w:b/>
                      <w:bCs/>
                      <w:color w:val="auto"/>
                      <w:sz w:val="21"/>
                      <w:szCs w:val="21"/>
                      <w:highlight w:val="none"/>
                    </w:rPr>
                    <w:t>环境管控单元名称</w:t>
                  </w:r>
                </w:p>
              </w:tc>
              <w:tc>
                <w:tcPr>
                  <w:tcW w:w="1691" w:type="pct"/>
                  <w:gridSpan w:val="4"/>
                  <w:tcBorders>
                    <w:tl2br w:val="nil"/>
                    <w:tr2bl w:val="nil"/>
                  </w:tcBorders>
                  <w:vAlign w:val="center"/>
                </w:tcPr>
                <w:p w14:paraId="7D4066F3">
                  <w:pPr>
                    <w:spacing w:line="276" w:lineRule="auto"/>
                    <w:jc w:val="center"/>
                    <w:rPr>
                      <w:b/>
                      <w:bCs/>
                      <w:color w:val="auto"/>
                      <w:sz w:val="21"/>
                      <w:szCs w:val="21"/>
                      <w:highlight w:val="none"/>
                    </w:rPr>
                  </w:pPr>
                  <w:r>
                    <w:rPr>
                      <w:rFonts w:hint="eastAsia"/>
                      <w:b/>
                      <w:bCs/>
                      <w:color w:val="auto"/>
                      <w:sz w:val="21"/>
                      <w:szCs w:val="21"/>
                      <w:highlight w:val="none"/>
                    </w:rPr>
                    <w:t>管控单元分类</w:t>
                  </w:r>
                </w:p>
              </w:tc>
            </w:tr>
            <w:tr w14:paraId="3E93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69434F5A">
                  <w:pPr>
                    <w:spacing w:line="276" w:lineRule="auto"/>
                    <w:ind w:right="86" w:rightChars="36"/>
                    <w:jc w:val="center"/>
                    <w:rPr>
                      <w:color w:val="auto"/>
                      <w:sz w:val="21"/>
                      <w:szCs w:val="21"/>
                      <w:highlight w:val="none"/>
                    </w:rPr>
                  </w:pPr>
                  <w:r>
                    <w:rPr>
                      <w:rFonts w:hint="eastAsia"/>
                      <w:color w:val="auto"/>
                      <w:kern w:val="0"/>
                      <w:sz w:val="21"/>
                      <w:szCs w:val="21"/>
                      <w:highlight w:val="none"/>
                    </w:rPr>
                    <w:t>ZH44028120003</w:t>
                  </w:r>
                </w:p>
              </w:tc>
              <w:tc>
                <w:tcPr>
                  <w:tcW w:w="2392" w:type="pct"/>
                  <w:tcBorders>
                    <w:tl2br w:val="nil"/>
                    <w:tr2bl w:val="nil"/>
                  </w:tcBorders>
                  <w:vAlign w:val="center"/>
                </w:tcPr>
                <w:p w14:paraId="6D94F897">
                  <w:pPr>
                    <w:spacing w:line="276" w:lineRule="auto"/>
                    <w:jc w:val="center"/>
                    <w:rPr>
                      <w:color w:val="auto"/>
                      <w:sz w:val="21"/>
                      <w:szCs w:val="21"/>
                      <w:highlight w:val="none"/>
                    </w:rPr>
                  </w:pPr>
                  <w:r>
                    <w:rPr>
                      <w:rFonts w:hint="eastAsia"/>
                      <w:color w:val="auto"/>
                      <w:kern w:val="0"/>
                      <w:sz w:val="21"/>
                      <w:szCs w:val="21"/>
                      <w:highlight w:val="none"/>
                    </w:rPr>
                    <w:t>乐昌市生态空间一般管控区</w:t>
                  </w:r>
                </w:p>
              </w:tc>
              <w:tc>
                <w:tcPr>
                  <w:tcW w:w="1691" w:type="pct"/>
                  <w:gridSpan w:val="4"/>
                  <w:tcBorders>
                    <w:tl2br w:val="nil"/>
                    <w:tr2bl w:val="nil"/>
                  </w:tcBorders>
                  <w:vAlign w:val="center"/>
                </w:tcPr>
                <w:p w14:paraId="555C08AC">
                  <w:pPr>
                    <w:spacing w:line="276" w:lineRule="auto"/>
                    <w:jc w:val="center"/>
                    <w:rPr>
                      <w:color w:val="auto"/>
                      <w:sz w:val="21"/>
                      <w:szCs w:val="21"/>
                      <w:highlight w:val="none"/>
                    </w:rPr>
                  </w:pPr>
                  <w:r>
                    <w:rPr>
                      <w:rFonts w:hint="eastAsia"/>
                      <w:color w:val="auto"/>
                      <w:sz w:val="21"/>
                      <w:szCs w:val="21"/>
                      <w:highlight w:val="none"/>
                    </w:rPr>
                    <w:t>生态空间一般管控区</w:t>
                  </w:r>
                </w:p>
              </w:tc>
            </w:tr>
            <w:tr w14:paraId="4B81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B3F39C7">
                  <w:pPr>
                    <w:spacing w:line="276" w:lineRule="auto"/>
                    <w:ind w:right="86" w:rightChars="36"/>
                    <w:jc w:val="center"/>
                    <w:rPr>
                      <w:b/>
                      <w:bCs/>
                      <w:color w:val="auto"/>
                      <w:kern w:val="0"/>
                      <w:sz w:val="21"/>
                      <w:szCs w:val="21"/>
                      <w:highlight w:val="none"/>
                    </w:rPr>
                  </w:pPr>
                  <w:r>
                    <w:rPr>
                      <w:rFonts w:hint="eastAsia"/>
                      <w:b/>
                      <w:bCs/>
                      <w:color w:val="auto"/>
                      <w:kern w:val="0"/>
                      <w:sz w:val="21"/>
                      <w:szCs w:val="21"/>
                      <w:highlight w:val="none"/>
                    </w:rPr>
                    <w:t>管控维度</w:t>
                  </w:r>
                </w:p>
              </w:tc>
              <w:tc>
                <w:tcPr>
                  <w:tcW w:w="2392" w:type="pct"/>
                  <w:tcBorders>
                    <w:tl2br w:val="nil"/>
                    <w:tr2bl w:val="nil"/>
                  </w:tcBorders>
                  <w:vAlign w:val="center"/>
                </w:tcPr>
                <w:p w14:paraId="0C54D8F5">
                  <w:pPr>
                    <w:spacing w:line="276" w:lineRule="auto"/>
                    <w:jc w:val="center"/>
                    <w:rPr>
                      <w:b/>
                      <w:bCs/>
                      <w:color w:val="auto"/>
                      <w:kern w:val="0"/>
                      <w:sz w:val="21"/>
                      <w:szCs w:val="21"/>
                      <w:highlight w:val="none"/>
                    </w:rPr>
                  </w:pPr>
                  <w:r>
                    <w:rPr>
                      <w:rFonts w:hint="eastAsia"/>
                      <w:b/>
                      <w:bCs/>
                      <w:color w:val="auto"/>
                      <w:kern w:val="0"/>
                      <w:sz w:val="21"/>
                      <w:szCs w:val="21"/>
                      <w:highlight w:val="none"/>
                    </w:rPr>
                    <w:t>管控要求</w:t>
                  </w:r>
                </w:p>
              </w:tc>
              <w:tc>
                <w:tcPr>
                  <w:tcW w:w="1301" w:type="pct"/>
                  <w:tcBorders>
                    <w:tl2br w:val="nil"/>
                    <w:tr2bl w:val="nil"/>
                  </w:tcBorders>
                  <w:vAlign w:val="center"/>
                </w:tcPr>
                <w:p w14:paraId="57C65AC2">
                  <w:pPr>
                    <w:spacing w:line="276" w:lineRule="auto"/>
                    <w:jc w:val="center"/>
                    <w:rPr>
                      <w:b/>
                      <w:bCs/>
                      <w:color w:val="auto"/>
                      <w:sz w:val="21"/>
                      <w:szCs w:val="21"/>
                      <w:highlight w:val="none"/>
                    </w:rPr>
                  </w:pPr>
                  <w:r>
                    <w:rPr>
                      <w:rFonts w:hint="eastAsia"/>
                      <w:b/>
                      <w:bCs/>
                      <w:color w:val="auto"/>
                      <w:sz w:val="21"/>
                      <w:szCs w:val="21"/>
                      <w:highlight w:val="none"/>
                    </w:rPr>
                    <w:t>项目情况</w:t>
                  </w:r>
                </w:p>
              </w:tc>
              <w:tc>
                <w:tcPr>
                  <w:tcW w:w="390" w:type="pct"/>
                  <w:gridSpan w:val="3"/>
                  <w:tcBorders>
                    <w:tl2br w:val="nil"/>
                    <w:tr2bl w:val="nil"/>
                  </w:tcBorders>
                  <w:vAlign w:val="center"/>
                </w:tcPr>
                <w:p w14:paraId="4A4EBA02">
                  <w:pPr>
                    <w:spacing w:line="276" w:lineRule="auto"/>
                    <w:jc w:val="center"/>
                    <w:rPr>
                      <w:b/>
                      <w:bCs/>
                      <w:color w:val="auto"/>
                      <w:sz w:val="21"/>
                      <w:szCs w:val="21"/>
                      <w:highlight w:val="none"/>
                    </w:rPr>
                  </w:pPr>
                  <w:r>
                    <w:rPr>
                      <w:rFonts w:hint="eastAsia"/>
                      <w:b/>
                      <w:bCs/>
                      <w:color w:val="auto"/>
                      <w:sz w:val="21"/>
                      <w:szCs w:val="21"/>
                      <w:highlight w:val="none"/>
                    </w:rPr>
                    <w:t>相符性</w:t>
                  </w:r>
                </w:p>
              </w:tc>
            </w:tr>
            <w:tr w14:paraId="5812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0A7D141D">
                  <w:pPr>
                    <w:spacing w:line="276" w:lineRule="auto"/>
                    <w:ind w:right="86" w:rightChars="36"/>
                    <w:jc w:val="center"/>
                    <w:rPr>
                      <w:color w:val="auto"/>
                      <w:kern w:val="0"/>
                      <w:sz w:val="21"/>
                      <w:szCs w:val="21"/>
                      <w:highlight w:val="none"/>
                    </w:rPr>
                  </w:pPr>
                  <w:r>
                    <w:rPr>
                      <w:rFonts w:hint="eastAsia"/>
                      <w:color w:val="auto"/>
                      <w:kern w:val="0"/>
                      <w:sz w:val="21"/>
                      <w:szCs w:val="21"/>
                      <w:highlight w:val="none"/>
                    </w:rPr>
                    <w:t>区域布局管控</w:t>
                  </w:r>
                </w:p>
              </w:tc>
              <w:tc>
                <w:tcPr>
                  <w:tcW w:w="2392" w:type="pct"/>
                  <w:tcBorders>
                    <w:tl2br w:val="nil"/>
                    <w:tr2bl w:val="nil"/>
                  </w:tcBorders>
                  <w:vAlign w:val="center"/>
                </w:tcPr>
                <w:p w14:paraId="696A0B06">
                  <w:pPr>
                    <w:spacing w:line="276" w:lineRule="auto"/>
                    <w:jc w:val="center"/>
                    <w:rPr>
                      <w:color w:val="auto"/>
                      <w:kern w:val="0"/>
                      <w:sz w:val="21"/>
                      <w:szCs w:val="21"/>
                      <w:highlight w:val="none"/>
                    </w:rPr>
                  </w:pPr>
                  <w:r>
                    <w:rPr>
                      <w:rFonts w:hint="eastAsia"/>
                      <w:color w:val="auto"/>
                      <w:kern w:val="0"/>
                      <w:sz w:val="21"/>
                      <w:szCs w:val="21"/>
                      <w:highlight w:val="none"/>
                    </w:rPr>
                    <w:t>按国家和省统一要求管理。</w:t>
                  </w:r>
                </w:p>
              </w:tc>
              <w:tc>
                <w:tcPr>
                  <w:tcW w:w="1301" w:type="pct"/>
                  <w:tcBorders>
                    <w:tl2br w:val="nil"/>
                    <w:tr2bl w:val="nil"/>
                  </w:tcBorders>
                  <w:vAlign w:val="center"/>
                </w:tcPr>
                <w:p w14:paraId="6210868F">
                  <w:pPr>
                    <w:spacing w:line="276" w:lineRule="auto"/>
                    <w:jc w:val="center"/>
                    <w:rPr>
                      <w:color w:val="auto"/>
                      <w:sz w:val="21"/>
                      <w:szCs w:val="21"/>
                      <w:highlight w:val="none"/>
                    </w:rPr>
                  </w:pPr>
                  <w:r>
                    <w:rPr>
                      <w:rFonts w:hint="eastAsia"/>
                      <w:color w:val="auto"/>
                      <w:sz w:val="21"/>
                      <w:szCs w:val="21"/>
                      <w:highlight w:val="none"/>
                    </w:rPr>
                    <w:t>项目不涉及自然生态用地，合理开发，符合城市规划</w:t>
                  </w:r>
                </w:p>
              </w:tc>
              <w:tc>
                <w:tcPr>
                  <w:tcW w:w="390" w:type="pct"/>
                  <w:gridSpan w:val="3"/>
                  <w:tcBorders>
                    <w:tl2br w:val="nil"/>
                    <w:tr2bl w:val="nil"/>
                  </w:tcBorders>
                  <w:vAlign w:val="center"/>
                </w:tcPr>
                <w:p w14:paraId="283F5560">
                  <w:pPr>
                    <w:spacing w:line="276" w:lineRule="auto"/>
                    <w:jc w:val="center"/>
                    <w:rPr>
                      <w:color w:val="auto"/>
                      <w:sz w:val="21"/>
                      <w:szCs w:val="21"/>
                      <w:highlight w:val="none"/>
                    </w:rPr>
                  </w:pPr>
                  <w:r>
                    <w:rPr>
                      <w:rFonts w:hint="eastAsia"/>
                      <w:color w:val="auto"/>
                      <w:sz w:val="21"/>
                      <w:szCs w:val="21"/>
                      <w:highlight w:val="none"/>
                    </w:rPr>
                    <w:t>符合</w:t>
                  </w:r>
                </w:p>
              </w:tc>
            </w:tr>
            <w:tr w14:paraId="292E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07FA7B8B">
                  <w:pPr>
                    <w:widowControl/>
                    <w:jc w:val="center"/>
                    <w:rPr>
                      <w:color w:val="auto"/>
                      <w:kern w:val="0"/>
                      <w:sz w:val="21"/>
                      <w:szCs w:val="21"/>
                      <w:highlight w:val="none"/>
                    </w:rPr>
                  </w:pPr>
                  <w:r>
                    <w:rPr>
                      <w:rFonts w:hint="eastAsia" w:ascii="宋体" w:hAnsi="宋体" w:cs="宋体"/>
                      <w:b/>
                      <w:bCs/>
                      <w:color w:val="auto"/>
                      <w:kern w:val="0"/>
                      <w:sz w:val="21"/>
                      <w:szCs w:val="21"/>
                      <w:highlight w:val="none"/>
                    </w:rPr>
                    <w:t>环境管控单元编码</w:t>
                  </w:r>
                </w:p>
              </w:tc>
              <w:tc>
                <w:tcPr>
                  <w:tcW w:w="2392" w:type="pct"/>
                  <w:tcBorders>
                    <w:tl2br w:val="nil"/>
                    <w:tr2bl w:val="nil"/>
                  </w:tcBorders>
                  <w:vAlign w:val="center"/>
                </w:tcPr>
                <w:p w14:paraId="10EF302D">
                  <w:pPr>
                    <w:widowControl/>
                    <w:jc w:val="center"/>
                    <w:rPr>
                      <w:color w:val="auto"/>
                      <w:kern w:val="0"/>
                      <w:sz w:val="21"/>
                      <w:szCs w:val="21"/>
                      <w:highlight w:val="none"/>
                    </w:rPr>
                  </w:pPr>
                  <w:r>
                    <w:rPr>
                      <w:rFonts w:hint="eastAsia" w:ascii="宋体" w:hAnsi="宋体" w:cs="宋体"/>
                      <w:b/>
                      <w:bCs/>
                      <w:color w:val="auto"/>
                      <w:kern w:val="0"/>
                      <w:sz w:val="21"/>
                      <w:szCs w:val="21"/>
                      <w:highlight w:val="none"/>
                    </w:rPr>
                    <w:t>环境管控单元名称</w:t>
                  </w:r>
                </w:p>
              </w:tc>
              <w:tc>
                <w:tcPr>
                  <w:tcW w:w="1691" w:type="pct"/>
                  <w:gridSpan w:val="4"/>
                  <w:tcBorders>
                    <w:tl2br w:val="nil"/>
                    <w:tr2bl w:val="nil"/>
                  </w:tcBorders>
                  <w:vAlign w:val="center"/>
                </w:tcPr>
                <w:p w14:paraId="3BB6DA69">
                  <w:pPr>
                    <w:widowControl/>
                    <w:jc w:val="center"/>
                    <w:rPr>
                      <w:color w:val="auto"/>
                      <w:sz w:val="21"/>
                      <w:szCs w:val="21"/>
                      <w:highlight w:val="none"/>
                    </w:rPr>
                  </w:pPr>
                  <w:r>
                    <w:rPr>
                      <w:rFonts w:hint="eastAsia" w:ascii="宋体" w:hAnsi="宋体" w:cs="宋体"/>
                      <w:b/>
                      <w:bCs/>
                      <w:color w:val="auto"/>
                      <w:kern w:val="0"/>
                      <w:sz w:val="21"/>
                      <w:szCs w:val="21"/>
                      <w:highlight w:val="none"/>
                    </w:rPr>
                    <w:t>管控单元分类</w:t>
                  </w:r>
                </w:p>
              </w:tc>
            </w:tr>
            <w:tr w14:paraId="07E9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6DBDFC9E">
                  <w:pPr>
                    <w:spacing w:line="276" w:lineRule="auto"/>
                    <w:ind w:right="86" w:rightChars="36"/>
                    <w:jc w:val="center"/>
                    <w:rPr>
                      <w:color w:val="auto"/>
                      <w:kern w:val="0"/>
                      <w:sz w:val="21"/>
                      <w:szCs w:val="21"/>
                      <w:highlight w:val="none"/>
                    </w:rPr>
                  </w:pPr>
                  <w:r>
                    <w:rPr>
                      <w:rFonts w:hint="eastAsia" w:ascii="宋体" w:hAnsi="宋体" w:cs="宋体"/>
                      <w:color w:val="auto"/>
                      <w:sz w:val="21"/>
                      <w:szCs w:val="21"/>
                      <w:highlight w:val="none"/>
                    </w:rPr>
                    <w:t>YS4402813210014</w:t>
                  </w:r>
                </w:p>
              </w:tc>
              <w:tc>
                <w:tcPr>
                  <w:tcW w:w="2392" w:type="pct"/>
                  <w:tcBorders>
                    <w:tl2br w:val="nil"/>
                    <w:tr2bl w:val="nil"/>
                  </w:tcBorders>
                  <w:vAlign w:val="center"/>
                </w:tcPr>
                <w:p w14:paraId="4B3B18C2">
                  <w:pPr>
                    <w:spacing w:line="276" w:lineRule="auto"/>
                    <w:jc w:val="center"/>
                    <w:rPr>
                      <w:color w:val="auto"/>
                      <w:kern w:val="0"/>
                      <w:sz w:val="21"/>
                      <w:szCs w:val="21"/>
                      <w:highlight w:val="none"/>
                    </w:rPr>
                  </w:pPr>
                  <w:r>
                    <w:rPr>
                      <w:rFonts w:hint="eastAsia" w:ascii="宋体" w:hAnsi="宋体" w:cs="宋体"/>
                      <w:color w:val="auto"/>
                      <w:sz w:val="21"/>
                      <w:szCs w:val="21"/>
                      <w:highlight w:val="none"/>
                    </w:rPr>
                    <w:t>武水韶关市长来-廊田镇控制单元</w:t>
                  </w:r>
                </w:p>
              </w:tc>
              <w:tc>
                <w:tcPr>
                  <w:tcW w:w="1691" w:type="pct"/>
                  <w:gridSpan w:val="4"/>
                  <w:tcBorders>
                    <w:tl2br w:val="nil"/>
                    <w:tr2bl w:val="nil"/>
                  </w:tcBorders>
                  <w:vAlign w:val="center"/>
                </w:tcPr>
                <w:p w14:paraId="4E6643C2">
                  <w:pPr>
                    <w:spacing w:line="276" w:lineRule="auto"/>
                    <w:jc w:val="center"/>
                    <w:rPr>
                      <w:color w:val="auto"/>
                      <w:sz w:val="21"/>
                      <w:szCs w:val="21"/>
                      <w:highlight w:val="none"/>
                    </w:rPr>
                  </w:pPr>
                  <w:r>
                    <w:rPr>
                      <w:rFonts w:hint="eastAsia"/>
                      <w:color w:val="auto"/>
                      <w:sz w:val="21"/>
                      <w:szCs w:val="21"/>
                      <w:highlight w:val="none"/>
                    </w:rPr>
                    <w:t>水环境一般管控区</w:t>
                  </w:r>
                </w:p>
              </w:tc>
            </w:tr>
            <w:tr w14:paraId="1524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128CED1">
                  <w:pPr>
                    <w:widowControl/>
                    <w:jc w:val="center"/>
                    <w:rPr>
                      <w:color w:val="auto"/>
                      <w:kern w:val="0"/>
                      <w:sz w:val="21"/>
                      <w:szCs w:val="21"/>
                      <w:highlight w:val="none"/>
                    </w:rPr>
                  </w:pPr>
                  <w:r>
                    <w:rPr>
                      <w:rFonts w:hint="eastAsia" w:ascii="宋体" w:hAnsi="宋体" w:cs="宋体"/>
                      <w:b/>
                      <w:bCs/>
                      <w:color w:val="auto"/>
                      <w:kern w:val="0"/>
                      <w:sz w:val="21"/>
                      <w:szCs w:val="21"/>
                      <w:highlight w:val="none"/>
                    </w:rPr>
                    <w:t>管控维度</w:t>
                  </w:r>
                </w:p>
              </w:tc>
              <w:tc>
                <w:tcPr>
                  <w:tcW w:w="2392" w:type="pct"/>
                  <w:tcBorders>
                    <w:tl2br w:val="nil"/>
                    <w:tr2bl w:val="nil"/>
                  </w:tcBorders>
                  <w:vAlign w:val="center"/>
                </w:tcPr>
                <w:p w14:paraId="390D7ABB">
                  <w:pPr>
                    <w:widowControl/>
                    <w:jc w:val="center"/>
                    <w:rPr>
                      <w:color w:val="auto"/>
                      <w:kern w:val="0"/>
                      <w:sz w:val="21"/>
                      <w:szCs w:val="21"/>
                      <w:highlight w:val="none"/>
                    </w:rPr>
                  </w:pPr>
                  <w:r>
                    <w:rPr>
                      <w:rFonts w:hint="eastAsia" w:ascii="宋体" w:hAnsi="宋体" w:cs="宋体"/>
                      <w:b/>
                      <w:bCs/>
                      <w:color w:val="auto"/>
                      <w:kern w:val="0"/>
                      <w:sz w:val="21"/>
                      <w:szCs w:val="21"/>
                      <w:highlight w:val="none"/>
                    </w:rPr>
                    <w:t>管控要求</w:t>
                  </w:r>
                </w:p>
              </w:tc>
              <w:tc>
                <w:tcPr>
                  <w:tcW w:w="1301" w:type="pct"/>
                  <w:tcBorders>
                    <w:tl2br w:val="nil"/>
                    <w:tr2bl w:val="nil"/>
                  </w:tcBorders>
                  <w:vAlign w:val="center"/>
                </w:tcPr>
                <w:p w14:paraId="5FBF2B2F">
                  <w:pPr>
                    <w:widowControl/>
                    <w:jc w:val="center"/>
                    <w:rPr>
                      <w:color w:val="auto"/>
                      <w:sz w:val="21"/>
                      <w:szCs w:val="21"/>
                      <w:highlight w:val="none"/>
                    </w:rPr>
                  </w:pPr>
                  <w:r>
                    <w:rPr>
                      <w:rFonts w:hint="eastAsia" w:ascii="宋体" w:hAnsi="宋体" w:cs="宋体"/>
                      <w:b/>
                      <w:bCs/>
                      <w:color w:val="auto"/>
                      <w:kern w:val="0"/>
                      <w:sz w:val="21"/>
                      <w:szCs w:val="21"/>
                      <w:highlight w:val="none"/>
                    </w:rPr>
                    <w:t>项目情况</w:t>
                  </w:r>
                </w:p>
              </w:tc>
              <w:tc>
                <w:tcPr>
                  <w:tcW w:w="390" w:type="pct"/>
                  <w:gridSpan w:val="3"/>
                  <w:tcBorders>
                    <w:tl2br w:val="nil"/>
                    <w:tr2bl w:val="nil"/>
                  </w:tcBorders>
                  <w:vAlign w:val="center"/>
                </w:tcPr>
                <w:p w14:paraId="7B2B825E">
                  <w:pPr>
                    <w:spacing w:line="276" w:lineRule="auto"/>
                    <w:jc w:val="center"/>
                    <w:rPr>
                      <w:color w:val="auto"/>
                      <w:sz w:val="21"/>
                      <w:szCs w:val="21"/>
                      <w:highlight w:val="none"/>
                    </w:rPr>
                  </w:pPr>
                  <w:r>
                    <w:rPr>
                      <w:rFonts w:hint="eastAsia"/>
                      <w:b/>
                      <w:bCs/>
                      <w:color w:val="auto"/>
                      <w:sz w:val="21"/>
                      <w:szCs w:val="21"/>
                      <w:highlight w:val="none"/>
                    </w:rPr>
                    <w:t>相符性</w:t>
                  </w:r>
                </w:p>
              </w:tc>
            </w:tr>
            <w:tr w14:paraId="5B5E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7DB8F992">
                  <w:pPr>
                    <w:spacing w:line="276" w:lineRule="auto"/>
                    <w:ind w:right="86" w:rightChars="36"/>
                    <w:jc w:val="center"/>
                    <w:rPr>
                      <w:color w:val="auto"/>
                      <w:kern w:val="0"/>
                      <w:sz w:val="21"/>
                      <w:szCs w:val="21"/>
                      <w:highlight w:val="none"/>
                    </w:rPr>
                  </w:pPr>
                  <w:r>
                    <w:rPr>
                      <w:rFonts w:hint="eastAsia" w:ascii="宋体" w:hAnsi="宋体" w:cs="宋体"/>
                      <w:color w:val="auto"/>
                      <w:sz w:val="21"/>
                      <w:szCs w:val="21"/>
                      <w:highlight w:val="none"/>
                    </w:rPr>
                    <w:t>区域布局管控</w:t>
                  </w:r>
                </w:p>
              </w:tc>
              <w:tc>
                <w:tcPr>
                  <w:tcW w:w="2392" w:type="pct"/>
                  <w:tcBorders>
                    <w:tl2br w:val="nil"/>
                    <w:tr2bl w:val="nil"/>
                  </w:tcBorders>
                  <w:vAlign w:val="center"/>
                </w:tcPr>
                <w:p w14:paraId="71B3807F">
                  <w:pPr>
                    <w:spacing w:line="276" w:lineRule="auto"/>
                    <w:jc w:val="center"/>
                    <w:rPr>
                      <w:color w:val="auto"/>
                      <w:kern w:val="0"/>
                      <w:sz w:val="21"/>
                      <w:szCs w:val="21"/>
                      <w:highlight w:val="none"/>
                    </w:rPr>
                  </w:pPr>
                  <w:r>
                    <w:rPr>
                      <w:rFonts w:hint="eastAsia" w:ascii="宋体" w:hAnsi="宋体" w:cs="宋体"/>
                      <w:color w:val="auto"/>
                      <w:sz w:val="21"/>
                      <w:szCs w:val="21"/>
                      <w:highlight w:val="none"/>
                    </w:rPr>
                    <w:t>严格执行畜禽养殖禁养区管理要求，畜禽养殖禁养区内严禁建设规模化畜禽养殖场和规模化畜禽养殖小区，禁养区外的养殖场应配套污染防治设施</w:t>
                  </w:r>
                </w:p>
              </w:tc>
              <w:tc>
                <w:tcPr>
                  <w:tcW w:w="1301" w:type="pct"/>
                  <w:tcBorders>
                    <w:tl2br w:val="nil"/>
                    <w:tr2bl w:val="nil"/>
                  </w:tcBorders>
                  <w:vAlign w:val="center"/>
                </w:tcPr>
                <w:p w14:paraId="48905500">
                  <w:pPr>
                    <w:spacing w:line="276" w:lineRule="auto"/>
                    <w:jc w:val="center"/>
                    <w:rPr>
                      <w:color w:val="auto"/>
                      <w:sz w:val="21"/>
                      <w:szCs w:val="21"/>
                      <w:highlight w:val="none"/>
                    </w:rPr>
                  </w:pPr>
                  <w:r>
                    <w:rPr>
                      <w:rFonts w:hint="eastAsia"/>
                      <w:color w:val="auto"/>
                      <w:sz w:val="21"/>
                      <w:szCs w:val="21"/>
                      <w:highlight w:val="none"/>
                    </w:rPr>
                    <w:t>本项目不涉及畜禽养殖。</w:t>
                  </w:r>
                </w:p>
              </w:tc>
              <w:tc>
                <w:tcPr>
                  <w:tcW w:w="390" w:type="pct"/>
                  <w:gridSpan w:val="3"/>
                  <w:tcBorders>
                    <w:tl2br w:val="nil"/>
                    <w:tr2bl w:val="nil"/>
                  </w:tcBorders>
                  <w:vAlign w:val="center"/>
                </w:tcPr>
                <w:p w14:paraId="07EB2A2C">
                  <w:pPr>
                    <w:spacing w:line="276" w:lineRule="auto"/>
                    <w:jc w:val="center"/>
                    <w:rPr>
                      <w:color w:val="auto"/>
                      <w:sz w:val="21"/>
                      <w:szCs w:val="21"/>
                      <w:highlight w:val="none"/>
                    </w:rPr>
                  </w:pPr>
                  <w:r>
                    <w:rPr>
                      <w:rFonts w:hint="eastAsia"/>
                      <w:color w:val="auto"/>
                      <w:sz w:val="21"/>
                      <w:szCs w:val="21"/>
                      <w:highlight w:val="none"/>
                    </w:rPr>
                    <w:t>符合</w:t>
                  </w:r>
                </w:p>
              </w:tc>
            </w:tr>
            <w:tr w14:paraId="0BBC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5E999EC">
                  <w:pPr>
                    <w:spacing w:line="276" w:lineRule="auto"/>
                    <w:ind w:right="86" w:rightChars="36"/>
                    <w:jc w:val="center"/>
                    <w:rPr>
                      <w:rFonts w:ascii="宋体" w:hAnsi="宋体" w:cs="宋体"/>
                      <w:color w:val="auto"/>
                      <w:sz w:val="21"/>
                      <w:szCs w:val="21"/>
                      <w:highlight w:val="none"/>
                    </w:rPr>
                  </w:pPr>
                  <w:r>
                    <w:rPr>
                      <w:rFonts w:hint="eastAsia" w:ascii="宋体" w:hAnsi="宋体" w:cs="宋体"/>
                      <w:color w:val="auto"/>
                      <w:sz w:val="21"/>
                      <w:szCs w:val="21"/>
                      <w:highlight w:val="none"/>
                    </w:rPr>
                    <w:t>环境风险防控</w:t>
                  </w:r>
                </w:p>
              </w:tc>
              <w:tc>
                <w:tcPr>
                  <w:tcW w:w="2392" w:type="pct"/>
                  <w:tcBorders>
                    <w:tl2br w:val="nil"/>
                    <w:tr2bl w:val="nil"/>
                  </w:tcBorders>
                  <w:vAlign w:val="center"/>
                </w:tcPr>
                <w:p w14:paraId="66686E26">
                  <w:pPr>
                    <w:spacing w:line="276"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集中式污水处理厂应采取有效措施，防止事故废水直接排入水体</w:t>
                  </w:r>
                </w:p>
              </w:tc>
              <w:tc>
                <w:tcPr>
                  <w:tcW w:w="1301" w:type="pct"/>
                  <w:tcBorders>
                    <w:tl2br w:val="nil"/>
                    <w:tr2bl w:val="nil"/>
                  </w:tcBorders>
                  <w:vAlign w:val="center"/>
                </w:tcPr>
                <w:p w14:paraId="06DD1097">
                  <w:pPr>
                    <w:spacing w:line="276" w:lineRule="auto"/>
                    <w:jc w:val="center"/>
                    <w:rPr>
                      <w:color w:val="auto"/>
                      <w:sz w:val="21"/>
                      <w:szCs w:val="21"/>
                      <w:highlight w:val="none"/>
                    </w:rPr>
                  </w:pPr>
                  <w:r>
                    <w:rPr>
                      <w:rFonts w:hint="eastAsia"/>
                      <w:color w:val="auto"/>
                      <w:sz w:val="21"/>
                      <w:szCs w:val="21"/>
                      <w:highlight w:val="none"/>
                    </w:rPr>
                    <w:t>本项目不属于集中式污水处理厂建设，依托的园区污水处理厂设有应急措施。</w:t>
                  </w:r>
                </w:p>
              </w:tc>
              <w:tc>
                <w:tcPr>
                  <w:tcW w:w="390" w:type="pct"/>
                  <w:gridSpan w:val="3"/>
                  <w:tcBorders>
                    <w:tl2br w:val="nil"/>
                    <w:tr2bl w:val="nil"/>
                  </w:tcBorders>
                  <w:vAlign w:val="center"/>
                </w:tcPr>
                <w:p w14:paraId="232F7F25">
                  <w:pPr>
                    <w:spacing w:line="276" w:lineRule="auto"/>
                    <w:jc w:val="center"/>
                    <w:rPr>
                      <w:color w:val="auto"/>
                      <w:sz w:val="21"/>
                      <w:szCs w:val="21"/>
                      <w:highlight w:val="none"/>
                    </w:rPr>
                  </w:pPr>
                  <w:r>
                    <w:rPr>
                      <w:rFonts w:hint="eastAsia"/>
                      <w:color w:val="auto"/>
                      <w:sz w:val="21"/>
                      <w:szCs w:val="21"/>
                      <w:highlight w:val="none"/>
                    </w:rPr>
                    <w:t>符合</w:t>
                  </w:r>
                </w:p>
              </w:tc>
            </w:tr>
            <w:tr w14:paraId="5EF0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383DB4DD">
                  <w:pPr>
                    <w:widowControl/>
                    <w:jc w:val="center"/>
                    <w:rPr>
                      <w:rFonts w:ascii="宋体" w:hAnsi="宋体" w:cs="宋体"/>
                      <w:color w:val="auto"/>
                      <w:sz w:val="21"/>
                      <w:szCs w:val="21"/>
                      <w:highlight w:val="none"/>
                    </w:rPr>
                  </w:pPr>
                  <w:r>
                    <w:rPr>
                      <w:rFonts w:hint="eastAsia" w:ascii="宋体" w:hAnsi="宋体" w:cs="宋体"/>
                      <w:b/>
                      <w:bCs/>
                      <w:color w:val="auto"/>
                      <w:kern w:val="0"/>
                      <w:sz w:val="21"/>
                      <w:szCs w:val="21"/>
                      <w:highlight w:val="none"/>
                    </w:rPr>
                    <w:t>环境管控单元编码</w:t>
                  </w:r>
                </w:p>
              </w:tc>
              <w:tc>
                <w:tcPr>
                  <w:tcW w:w="2392" w:type="pct"/>
                  <w:tcBorders>
                    <w:tl2br w:val="nil"/>
                    <w:tr2bl w:val="nil"/>
                  </w:tcBorders>
                  <w:vAlign w:val="center"/>
                </w:tcPr>
                <w:p w14:paraId="788088EC">
                  <w:pPr>
                    <w:widowControl/>
                    <w:jc w:val="center"/>
                    <w:rPr>
                      <w:rFonts w:ascii="宋体" w:hAnsi="宋体" w:cs="宋体"/>
                      <w:color w:val="auto"/>
                      <w:sz w:val="21"/>
                      <w:szCs w:val="21"/>
                      <w:highlight w:val="none"/>
                    </w:rPr>
                  </w:pPr>
                  <w:r>
                    <w:rPr>
                      <w:rFonts w:hint="eastAsia" w:ascii="宋体" w:hAnsi="宋体" w:cs="宋体"/>
                      <w:b/>
                      <w:bCs/>
                      <w:color w:val="auto"/>
                      <w:kern w:val="0"/>
                      <w:sz w:val="21"/>
                      <w:szCs w:val="21"/>
                      <w:highlight w:val="none"/>
                    </w:rPr>
                    <w:t>环境管控单元名称</w:t>
                  </w:r>
                </w:p>
              </w:tc>
              <w:tc>
                <w:tcPr>
                  <w:tcW w:w="1691" w:type="pct"/>
                  <w:gridSpan w:val="4"/>
                  <w:tcBorders>
                    <w:tl2br w:val="nil"/>
                    <w:tr2bl w:val="nil"/>
                  </w:tcBorders>
                  <w:vAlign w:val="center"/>
                </w:tcPr>
                <w:p w14:paraId="2CB0A95B">
                  <w:pPr>
                    <w:widowControl/>
                    <w:jc w:val="center"/>
                    <w:rPr>
                      <w:color w:val="auto"/>
                      <w:sz w:val="21"/>
                      <w:szCs w:val="21"/>
                      <w:highlight w:val="none"/>
                    </w:rPr>
                  </w:pPr>
                  <w:r>
                    <w:rPr>
                      <w:rFonts w:hint="eastAsia" w:ascii="宋体" w:hAnsi="宋体" w:cs="宋体"/>
                      <w:b/>
                      <w:bCs/>
                      <w:color w:val="auto"/>
                      <w:kern w:val="0"/>
                      <w:sz w:val="21"/>
                      <w:szCs w:val="21"/>
                      <w:highlight w:val="none"/>
                    </w:rPr>
                    <w:t>管控单元分类</w:t>
                  </w:r>
                </w:p>
              </w:tc>
            </w:tr>
            <w:tr w14:paraId="5519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7BB2BAFB">
                  <w:pPr>
                    <w:spacing w:line="276" w:lineRule="auto"/>
                    <w:ind w:right="86" w:rightChars="36"/>
                    <w:jc w:val="center"/>
                    <w:rPr>
                      <w:rFonts w:ascii="宋体" w:hAnsi="宋体" w:cs="宋体"/>
                      <w:color w:val="auto"/>
                      <w:sz w:val="21"/>
                      <w:szCs w:val="21"/>
                      <w:highlight w:val="none"/>
                    </w:rPr>
                  </w:pPr>
                  <w:r>
                    <w:rPr>
                      <w:rFonts w:hint="eastAsia" w:ascii="宋体" w:hAnsi="宋体" w:cs="宋体"/>
                      <w:color w:val="auto"/>
                      <w:sz w:val="21"/>
                      <w:szCs w:val="21"/>
                      <w:highlight w:val="none"/>
                    </w:rPr>
                    <w:t>YS4402812310002</w:t>
                  </w:r>
                </w:p>
              </w:tc>
              <w:tc>
                <w:tcPr>
                  <w:tcW w:w="2392" w:type="pct"/>
                  <w:tcBorders>
                    <w:tl2br w:val="nil"/>
                    <w:tr2bl w:val="nil"/>
                  </w:tcBorders>
                  <w:vAlign w:val="center"/>
                </w:tcPr>
                <w:p w14:paraId="3F0F0474">
                  <w:pPr>
                    <w:spacing w:line="276"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大气环境高排放重点管控区</w:t>
                  </w:r>
                </w:p>
              </w:tc>
              <w:tc>
                <w:tcPr>
                  <w:tcW w:w="1691" w:type="pct"/>
                  <w:gridSpan w:val="4"/>
                  <w:tcBorders>
                    <w:tl2br w:val="nil"/>
                    <w:tr2bl w:val="nil"/>
                  </w:tcBorders>
                  <w:vAlign w:val="center"/>
                </w:tcPr>
                <w:p w14:paraId="32821217">
                  <w:pPr>
                    <w:spacing w:line="276" w:lineRule="auto"/>
                    <w:jc w:val="center"/>
                    <w:rPr>
                      <w:color w:val="auto"/>
                      <w:sz w:val="21"/>
                      <w:szCs w:val="21"/>
                      <w:highlight w:val="none"/>
                    </w:rPr>
                  </w:pPr>
                  <w:r>
                    <w:rPr>
                      <w:rFonts w:hint="eastAsia" w:ascii="宋体" w:hAnsi="宋体" w:cs="宋体"/>
                      <w:color w:val="auto"/>
                      <w:sz w:val="21"/>
                      <w:szCs w:val="21"/>
                      <w:highlight w:val="none"/>
                    </w:rPr>
                    <w:t>重点管控区</w:t>
                  </w:r>
                </w:p>
              </w:tc>
            </w:tr>
            <w:tr w14:paraId="1F05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3C7751C4">
                  <w:pPr>
                    <w:widowControl/>
                    <w:jc w:val="center"/>
                    <w:rPr>
                      <w:rFonts w:ascii="宋体" w:hAnsi="宋体" w:cs="宋体"/>
                      <w:color w:val="auto"/>
                      <w:sz w:val="21"/>
                      <w:szCs w:val="21"/>
                      <w:highlight w:val="none"/>
                    </w:rPr>
                  </w:pPr>
                  <w:r>
                    <w:rPr>
                      <w:rFonts w:hint="eastAsia" w:ascii="宋体" w:hAnsi="宋体" w:cs="宋体"/>
                      <w:b/>
                      <w:bCs/>
                      <w:color w:val="auto"/>
                      <w:kern w:val="0"/>
                      <w:sz w:val="21"/>
                      <w:szCs w:val="21"/>
                      <w:highlight w:val="none"/>
                    </w:rPr>
                    <w:t>管控维度</w:t>
                  </w:r>
                </w:p>
              </w:tc>
              <w:tc>
                <w:tcPr>
                  <w:tcW w:w="2392" w:type="pct"/>
                  <w:tcBorders>
                    <w:tl2br w:val="nil"/>
                    <w:tr2bl w:val="nil"/>
                  </w:tcBorders>
                  <w:vAlign w:val="center"/>
                </w:tcPr>
                <w:p w14:paraId="527F2C37">
                  <w:pPr>
                    <w:widowControl/>
                    <w:jc w:val="center"/>
                    <w:rPr>
                      <w:rFonts w:ascii="宋体" w:hAnsi="宋体" w:cs="宋体"/>
                      <w:color w:val="auto"/>
                      <w:sz w:val="21"/>
                      <w:szCs w:val="21"/>
                      <w:highlight w:val="none"/>
                    </w:rPr>
                  </w:pPr>
                  <w:r>
                    <w:rPr>
                      <w:rFonts w:hint="eastAsia" w:ascii="宋体" w:hAnsi="宋体" w:cs="宋体"/>
                      <w:b/>
                      <w:bCs/>
                      <w:color w:val="auto"/>
                      <w:kern w:val="0"/>
                      <w:sz w:val="21"/>
                      <w:szCs w:val="21"/>
                      <w:highlight w:val="none"/>
                    </w:rPr>
                    <w:t>管控要求</w:t>
                  </w:r>
                </w:p>
              </w:tc>
              <w:tc>
                <w:tcPr>
                  <w:tcW w:w="1336" w:type="pct"/>
                  <w:gridSpan w:val="3"/>
                  <w:tcBorders>
                    <w:tl2br w:val="nil"/>
                    <w:tr2bl w:val="nil"/>
                  </w:tcBorders>
                  <w:vAlign w:val="center"/>
                </w:tcPr>
                <w:p w14:paraId="2CC25ED0">
                  <w:pPr>
                    <w:widowControl/>
                    <w:jc w:val="center"/>
                    <w:rPr>
                      <w:rFonts w:ascii="宋体" w:hAnsi="宋体" w:cs="宋体"/>
                      <w:color w:val="auto"/>
                      <w:sz w:val="21"/>
                      <w:szCs w:val="21"/>
                      <w:highlight w:val="none"/>
                    </w:rPr>
                  </w:pPr>
                  <w:r>
                    <w:rPr>
                      <w:rFonts w:hint="eastAsia" w:ascii="宋体" w:hAnsi="宋体" w:cs="宋体"/>
                      <w:b/>
                      <w:bCs/>
                      <w:color w:val="auto"/>
                      <w:kern w:val="0"/>
                      <w:sz w:val="21"/>
                      <w:szCs w:val="21"/>
                      <w:highlight w:val="none"/>
                    </w:rPr>
                    <w:t>项目情况</w:t>
                  </w:r>
                </w:p>
              </w:tc>
              <w:tc>
                <w:tcPr>
                  <w:tcW w:w="355" w:type="pct"/>
                  <w:tcBorders>
                    <w:tl2br w:val="nil"/>
                    <w:tr2bl w:val="nil"/>
                  </w:tcBorders>
                  <w:vAlign w:val="center"/>
                </w:tcPr>
                <w:p w14:paraId="3CF998BE">
                  <w:pPr>
                    <w:spacing w:line="276" w:lineRule="auto"/>
                    <w:jc w:val="center"/>
                    <w:rPr>
                      <w:rFonts w:ascii="宋体" w:hAnsi="宋体" w:cs="宋体"/>
                      <w:color w:val="auto"/>
                      <w:sz w:val="21"/>
                      <w:szCs w:val="21"/>
                      <w:highlight w:val="none"/>
                    </w:rPr>
                  </w:pPr>
                  <w:r>
                    <w:rPr>
                      <w:rFonts w:hint="eastAsia"/>
                      <w:b/>
                      <w:bCs/>
                      <w:color w:val="auto"/>
                      <w:sz w:val="21"/>
                      <w:szCs w:val="21"/>
                      <w:highlight w:val="none"/>
                    </w:rPr>
                    <w:t>相符性</w:t>
                  </w:r>
                </w:p>
              </w:tc>
            </w:tr>
            <w:tr w14:paraId="1796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4A0C65CF">
                  <w:pPr>
                    <w:widowControl/>
                    <w:spacing w:line="276" w:lineRule="auto"/>
                    <w:jc w:val="center"/>
                    <w:rPr>
                      <w:b/>
                      <w:bCs/>
                      <w:color w:val="auto"/>
                      <w:kern w:val="0"/>
                      <w:sz w:val="21"/>
                      <w:szCs w:val="21"/>
                      <w:highlight w:val="none"/>
                    </w:rPr>
                  </w:pPr>
                  <w:r>
                    <w:rPr>
                      <w:color w:val="auto"/>
                      <w:sz w:val="21"/>
                      <w:szCs w:val="21"/>
                      <w:highlight w:val="none"/>
                    </w:rPr>
                    <w:t>区域布局管控</w:t>
                  </w:r>
                </w:p>
              </w:tc>
              <w:tc>
                <w:tcPr>
                  <w:tcW w:w="2392" w:type="pct"/>
                  <w:tcBorders>
                    <w:tl2br w:val="nil"/>
                    <w:tr2bl w:val="nil"/>
                  </w:tcBorders>
                  <w:vAlign w:val="center"/>
                </w:tcPr>
                <w:p w14:paraId="19937146">
                  <w:pPr>
                    <w:widowControl/>
                    <w:spacing w:line="276" w:lineRule="auto"/>
                    <w:rPr>
                      <w:color w:val="auto"/>
                      <w:sz w:val="21"/>
                      <w:szCs w:val="21"/>
                      <w:highlight w:val="none"/>
                    </w:rPr>
                  </w:pPr>
                  <w:r>
                    <w:rPr>
                      <w:color w:val="auto"/>
                      <w:sz w:val="21"/>
                      <w:szCs w:val="21"/>
                      <w:highlight w:val="none"/>
                    </w:rPr>
                    <w:t>1-1.引导工业项目科学布局，新建项目原则上入园管理，推动现有工业项目集中进园。</w:t>
                  </w:r>
                </w:p>
                <w:p w14:paraId="151B7972">
                  <w:pPr>
                    <w:widowControl/>
                    <w:spacing w:line="276" w:lineRule="auto"/>
                    <w:rPr>
                      <w:color w:val="auto"/>
                      <w:sz w:val="21"/>
                      <w:szCs w:val="21"/>
                      <w:highlight w:val="none"/>
                    </w:rPr>
                  </w:pPr>
                  <w:r>
                    <w:rPr>
                      <w:color w:val="auto"/>
                      <w:sz w:val="21"/>
                      <w:szCs w:val="21"/>
                      <w:highlight w:val="none"/>
                    </w:rPr>
                    <w:t>1-2.严格控制涉重金属及有毒有害污染物排放的项目建设，新建、改建、扩建涉重金属重点行业的项目应明确重金属污染物总量来源。</w:t>
                  </w:r>
                </w:p>
                <w:p w14:paraId="7D9695FB">
                  <w:pPr>
                    <w:widowControl/>
                    <w:spacing w:line="276" w:lineRule="auto"/>
                    <w:rPr>
                      <w:color w:val="auto"/>
                      <w:sz w:val="21"/>
                      <w:szCs w:val="21"/>
                      <w:highlight w:val="none"/>
                    </w:rPr>
                  </w:pPr>
                  <w:r>
                    <w:rPr>
                      <w:color w:val="auto"/>
                      <w:sz w:val="21"/>
                      <w:szCs w:val="21"/>
                      <w:highlight w:val="none"/>
                    </w:rPr>
                    <w:t>1-3.严格限制新建除热电联产以外的煤电项目；严格限制新（改、扩）建钢铁、建材（水泥、平板玻璃）、焦化、有色金属冶炼、石化等高污染行业项目。</w:t>
                  </w:r>
                </w:p>
                <w:p w14:paraId="26E8DD24">
                  <w:pPr>
                    <w:widowControl/>
                    <w:spacing w:line="276" w:lineRule="auto"/>
                    <w:rPr>
                      <w:b/>
                      <w:bCs/>
                      <w:color w:val="auto"/>
                      <w:kern w:val="0"/>
                      <w:sz w:val="21"/>
                      <w:szCs w:val="21"/>
                      <w:highlight w:val="none"/>
                    </w:rPr>
                  </w:pPr>
                  <w:r>
                    <w:rPr>
                      <w:color w:val="auto"/>
                      <w:sz w:val="21"/>
                      <w:szCs w:val="21"/>
                      <w:highlight w:val="none"/>
                    </w:rPr>
                    <w:t>1-4.禁止违法露天焚烧秸秆等产生烟尘污染物质以及焚烧垃圾等产生有毒有害烟尘、恶臭气体物质的行为。</w:t>
                  </w:r>
                </w:p>
              </w:tc>
              <w:tc>
                <w:tcPr>
                  <w:tcW w:w="1336" w:type="pct"/>
                  <w:gridSpan w:val="3"/>
                  <w:tcBorders>
                    <w:tl2br w:val="nil"/>
                    <w:tr2bl w:val="nil"/>
                  </w:tcBorders>
                  <w:vAlign w:val="center"/>
                </w:tcPr>
                <w:p w14:paraId="1CEBD943">
                  <w:pPr>
                    <w:widowControl/>
                    <w:spacing w:line="276" w:lineRule="auto"/>
                    <w:jc w:val="center"/>
                    <w:rPr>
                      <w:color w:val="auto"/>
                      <w:sz w:val="21"/>
                      <w:szCs w:val="21"/>
                      <w:highlight w:val="none"/>
                    </w:rPr>
                  </w:pPr>
                  <w:r>
                    <w:rPr>
                      <w:rFonts w:hint="eastAsia"/>
                      <w:color w:val="auto"/>
                      <w:sz w:val="21"/>
                      <w:szCs w:val="21"/>
                      <w:highlight w:val="none"/>
                    </w:rPr>
                    <w:t>本项目选址位于乐昌产业转移工业园，属于入园管理项目；</w:t>
                  </w:r>
                </w:p>
                <w:p w14:paraId="21EE9437">
                  <w:pPr>
                    <w:widowControl/>
                    <w:spacing w:line="276" w:lineRule="auto"/>
                    <w:jc w:val="center"/>
                    <w:rPr>
                      <w:b/>
                      <w:bCs/>
                      <w:color w:val="auto"/>
                      <w:kern w:val="0"/>
                      <w:sz w:val="21"/>
                      <w:szCs w:val="21"/>
                      <w:highlight w:val="none"/>
                    </w:rPr>
                  </w:pPr>
                  <w:r>
                    <w:rPr>
                      <w:rFonts w:hint="eastAsia"/>
                      <w:color w:val="auto"/>
                      <w:sz w:val="21"/>
                      <w:szCs w:val="21"/>
                      <w:highlight w:val="none"/>
                    </w:rPr>
                    <w:t>本项目为非金属废料和碎屑加工处理行业，不属于严格限制的项目，且废气排放不涉及</w:t>
                  </w:r>
                  <w:r>
                    <w:rPr>
                      <w:color w:val="auto"/>
                      <w:sz w:val="21"/>
                      <w:szCs w:val="21"/>
                      <w:highlight w:val="none"/>
                    </w:rPr>
                    <w:t>重金属及有毒有害污染物</w:t>
                  </w:r>
                  <w:r>
                    <w:rPr>
                      <w:rFonts w:hint="eastAsia"/>
                      <w:color w:val="auto"/>
                      <w:sz w:val="21"/>
                      <w:szCs w:val="21"/>
                      <w:highlight w:val="none"/>
                    </w:rPr>
                    <w:t>。</w:t>
                  </w:r>
                </w:p>
              </w:tc>
              <w:tc>
                <w:tcPr>
                  <w:tcW w:w="355" w:type="pct"/>
                  <w:tcBorders>
                    <w:tl2br w:val="nil"/>
                    <w:tr2bl w:val="nil"/>
                  </w:tcBorders>
                  <w:vAlign w:val="center"/>
                </w:tcPr>
                <w:p w14:paraId="3184D31B">
                  <w:pPr>
                    <w:spacing w:line="276" w:lineRule="auto"/>
                    <w:jc w:val="center"/>
                    <w:rPr>
                      <w:b/>
                      <w:bCs/>
                      <w:color w:val="auto"/>
                      <w:sz w:val="21"/>
                      <w:szCs w:val="21"/>
                      <w:highlight w:val="none"/>
                    </w:rPr>
                  </w:pPr>
                  <w:r>
                    <w:rPr>
                      <w:rFonts w:hint="eastAsia"/>
                      <w:color w:val="auto"/>
                      <w:sz w:val="21"/>
                      <w:szCs w:val="21"/>
                      <w:highlight w:val="none"/>
                    </w:rPr>
                    <w:t>符合</w:t>
                  </w:r>
                </w:p>
              </w:tc>
            </w:tr>
            <w:tr w14:paraId="42CA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38D98B6">
                  <w:pPr>
                    <w:widowControl/>
                    <w:spacing w:line="276" w:lineRule="auto"/>
                    <w:jc w:val="center"/>
                    <w:rPr>
                      <w:color w:val="auto"/>
                      <w:sz w:val="21"/>
                      <w:szCs w:val="21"/>
                      <w:highlight w:val="none"/>
                    </w:rPr>
                  </w:pPr>
                  <w:r>
                    <w:rPr>
                      <w:color w:val="auto"/>
                      <w:sz w:val="21"/>
                      <w:szCs w:val="21"/>
                      <w:highlight w:val="none"/>
                    </w:rPr>
                    <w:t>能源资源利用</w:t>
                  </w:r>
                </w:p>
              </w:tc>
              <w:tc>
                <w:tcPr>
                  <w:tcW w:w="2392" w:type="pct"/>
                  <w:tcBorders>
                    <w:tl2br w:val="nil"/>
                    <w:tr2bl w:val="nil"/>
                  </w:tcBorders>
                  <w:vAlign w:val="center"/>
                </w:tcPr>
                <w:p w14:paraId="6F910BE4">
                  <w:pPr>
                    <w:widowControl/>
                    <w:spacing w:line="276" w:lineRule="auto"/>
                    <w:rPr>
                      <w:color w:val="auto"/>
                      <w:sz w:val="21"/>
                      <w:szCs w:val="21"/>
                      <w:highlight w:val="none"/>
                    </w:rPr>
                  </w:pPr>
                  <w:r>
                    <w:rPr>
                      <w:color w:val="auto"/>
                      <w:sz w:val="21"/>
                      <w:szCs w:val="21"/>
                      <w:highlight w:val="none"/>
                    </w:rPr>
                    <w:t>4-1.推广节能技术，加快发展绿色货运与现代物流。</w:t>
                  </w:r>
                </w:p>
                <w:p w14:paraId="100D60A2">
                  <w:pPr>
                    <w:widowControl/>
                    <w:spacing w:line="276" w:lineRule="auto"/>
                    <w:rPr>
                      <w:color w:val="auto"/>
                      <w:sz w:val="21"/>
                      <w:szCs w:val="21"/>
                      <w:highlight w:val="none"/>
                    </w:rPr>
                  </w:pPr>
                  <w:r>
                    <w:rPr>
                      <w:color w:val="auto"/>
                      <w:sz w:val="21"/>
                      <w:szCs w:val="21"/>
                      <w:highlight w:val="none"/>
                    </w:rPr>
                    <w:t>4-2.禁燃区内，禁止新建、扩建燃用高污染燃料的设施；已有使用高污染燃料设施改用清洁能源。</w:t>
                  </w:r>
                </w:p>
                <w:p w14:paraId="469FF971">
                  <w:pPr>
                    <w:widowControl/>
                    <w:spacing w:line="276" w:lineRule="auto"/>
                    <w:rPr>
                      <w:color w:val="auto"/>
                      <w:sz w:val="21"/>
                      <w:szCs w:val="21"/>
                      <w:highlight w:val="none"/>
                    </w:rPr>
                  </w:pPr>
                  <w:r>
                    <w:rPr>
                      <w:color w:val="auto"/>
                      <w:sz w:val="21"/>
                      <w:szCs w:val="21"/>
                      <w:highlight w:val="none"/>
                    </w:rPr>
                    <w:t>4-3.科学实施能源消费总量和强度“双控”，新建高能耗项目单位产品(产值)能耗达到国际国内先进水平。</w:t>
                  </w:r>
                </w:p>
              </w:tc>
              <w:tc>
                <w:tcPr>
                  <w:tcW w:w="1336" w:type="pct"/>
                  <w:gridSpan w:val="3"/>
                  <w:tcBorders>
                    <w:tl2br w:val="nil"/>
                    <w:tr2bl w:val="nil"/>
                  </w:tcBorders>
                  <w:vAlign w:val="center"/>
                </w:tcPr>
                <w:p w14:paraId="723E3FD1">
                  <w:pPr>
                    <w:widowControl/>
                    <w:spacing w:line="276" w:lineRule="auto"/>
                    <w:jc w:val="center"/>
                    <w:rPr>
                      <w:b/>
                      <w:bCs/>
                      <w:color w:val="auto"/>
                      <w:kern w:val="0"/>
                      <w:sz w:val="21"/>
                      <w:szCs w:val="21"/>
                      <w:highlight w:val="none"/>
                    </w:rPr>
                  </w:pPr>
                  <w:r>
                    <w:rPr>
                      <w:rFonts w:hint="eastAsia"/>
                      <w:color w:val="auto"/>
                      <w:sz w:val="21"/>
                      <w:szCs w:val="21"/>
                      <w:highlight w:val="none"/>
                    </w:rPr>
                    <w:t>本项目主要能源使用为电能，不涉及高污染燃料且项目不属于高能耗类型项目</w:t>
                  </w:r>
                </w:p>
              </w:tc>
              <w:tc>
                <w:tcPr>
                  <w:tcW w:w="355" w:type="pct"/>
                  <w:tcBorders>
                    <w:tl2br w:val="nil"/>
                    <w:tr2bl w:val="nil"/>
                  </w:tcBorders>
                  <w:vAlign w:val="center"/>
                </w:tcPr>
                <w:p w14:paraId="5A4677C9">
                  <w:pPr>
                    <w:spacing w:line="276" w:lineRule="auto"/>
                    <w:jc w:val="center"/>
                    <w:rPr>
                      <w:b/>
                      <w:bCs/>
                      <w:color w:val="auto"/>
                      <w:sz w:val="21"/>
                      <w:szCs w:val="21"/>
                      <w:highlight w:val="none"/>
                    </w:rPr>
                  </w:pPr>
                  <w:r>
                    <w:rPr>
                      <w:rFonts w:hint="eastAsia"/>
                      <w:color w:val="auto"/>
                      <w:sz w:val="21"/>
                      <w:szCs w:val="21"/>
                      <w:highlight w:val="none"/>
                    </w:rPr>
                    <w:t>符合</w:t>
                  </w:r>
                </w:p>
              </w:tc>
            </w:tr>
            <w:tr w14:paraId="3C71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2A62094D">
                  <w:pPr>
                    <w:widowControl/>
                    <w:spacing w:line="276" w:lineRule="auto"/>
                    <w:jc w:val="center"/>
                    <w:rPr>
                      <w:color w:val="auto"/>
                      <w:sz w:val="21"/>
                      <w:szCs w:val="21"/>
                      <w:highlight w:val="none"/>
                    </w:rPr>
                  </w:pPr>
                  <w:r>
                    <w:rPr>
                      <w:color w:val="auto"/>
                      <w:sz w:val="21"/>
                      <w:szCs w:val="21"/>
                      <w:highlight w:val="none"/>
                    </w:rPr>
                    <w:t>污染物排放管控</w:t>
                  </w:r>
                </w:p>
              </w:tc>
              <w:tc>
                <w:tcPr>
                  <w:tcW w:w="2392" w:type="pct"/>
                  <w:tcBorders>
                    <w:tl2br w:val="nil"/>
                    <w:tr2bl w:val="nil"/>
                  </w:tcBorders>
                  <w:vAlign w:val="center"/>
                </w:tcPr>
                <w:p w14:paraId="01C337CE">
                  <w:pPr>
                    <w:widowControl/>
                    <w:spacing w:line="276" w:lineRule="auto"/>
                    <w:rPr>
                      <w:color w:val="auto"/>
                      <w:sz w:val="21"/>
                      <w:szCs w:val="21"/>
                      <w:highlight w:val="none"/>
                    </w:rPr>
                  </w:pPr>
                  <w:r>
                    <w:rPr>
                      <w:color w:val="auto"/>
                      <w:sz w:val="21"/>
                      <w:szCs w:val="21"/>
                      <w:highlight w:val="none"/>
                    </w:rPr>
                    <w:t>2-1.园区各项污染物排放总量不得突破园区规划环评核定的污染物排放总量管控要求。</w:t>
                  </w:r>
                </w:p>
                <w:p w14:paraId="33DF2CF0">
                  <w:pPr>
                    <w:widowControl/>
                    <w:spacing w:line="276" w:lineRule="auto"/>
                    <w:rPr>
                      <w:color w:val="auto"/>
                      <w:sz w:val="21"/>
                      <w:szCs w:val="21"/>
                      <w:highlight w:val="none"/>
                    </w:rPr>
                  </w:pPr>
                  <w:r>
                    <w:rPr>
                      <w:color w:val="auto"/>
                      <w:sz w:val="21"/>
                      <w:szCs w:val="21"/>
                      <w:highlight w:val="none"/>
                    </w:rPr>
                    <w:t>2-2.实行重点重金属污染物（铅、砷、汞、镉、铬）等量替代。严格控制涉重金属及有毒有害污染物排放的项目建设，新建、改建、扩建涉重金属重点行业的项目应明确重金属污染物总量来源。</w:t>
                  </w:r>
                </w:p>
                <w:p w14:paraId="77D6268A">
                  <w:pPr>
                    <w:widowControl/>
                    <w:spacing w:line="276" w:lineRule="auto"/>
                    <w:rPr>
                      <w:color w:val="auto"/>
                      <w:sz w:val="21"/>
                      <w:szCs w:val="21"/>
                      <w:highlight w:val="none"/>
                    </w:rPr>
                  </w:pPr>
                  <w:r>
                    <w:rPr>
                      <w:color w:val="auto"/>
                      <w:sz w:val="21"/>
                      <w:szCs w:val="21"/>
                      <w:highlight w:val="none"/>
                    </w:rPr>
                    <w:t>2-3.新建项目原则上实施氮氧化物、挥发性有机物排放量等量替代。</w:t>
                  </w:r>
                </w:p>
                <w:p w14:paraId="77047C1C">
                  <w:pPr>
                    <w:widowControl/>
                    <w:spacing w:line="276" w:lineRule="auto"/>
                    <w:rPr>
                      <w:color w:val="auto"/>
                      <w:sz w:val="21"/>
                      <w:szCs w:val="21"/>
                      <w:highlight w:val="none"/>
                    </w:rPr>
                  </w:pPr>
                  <w:r>
                    <w:rPr>
                      <w:color w:val="auto"/>
                      <w:sz w:val="21"/>
                      <w:szCs w:val="21"/>
                      <w:highlight w:val="none"/>
                    </w:rPr>
                    <w:t>2-4.支持危险废物专业收集转运和利用处置单位建设区域性收集网点和贮存设施。</w:t>
                  </w:r>
                </w:p>
                <w:p w14:paraId="1D82CF31">
                  <w:pPr>
                    <w:widowControl/>
                    <w:spacing w:line="276" w:lineRule="auto"/>
                    <w:rPr>
                      <w:color w:val="auto"/>
                      <w:sz w:val="21"/>
                      <w:szCs w:val="21"/>
                      <w:highlight w:val="none"/>
                    </w:rPr>
                  </w:pPr>
                  <w:r>
                    <w:rPr>
                      <w:color w:val="auto"/>
                      <w:sz w:val="21"/>
                      <w:szCs w:val="21"/>
                      <w:highlight w:val="none"/>
                    </w:rPr>
                    <w:t>2-5.积极实行集中供热，应尽快关停现有企业小锅炉。</w:t>
                  </w:r>
                </w:p>
              </w:tc>
              <w:tc>
                <w:tcPr>
                  <w:tcW w:w="1336" w:type="pct"/>
                  <w:gridSpan w:val="3"/>
                  <w:tcBorders>
                    <w:tl2br w:val="nil"/>
                    <w:tr2bl w:val="nil"/>
                  </w:tcBorders>
                  <w:vAlign w:val="center"/>
                </w:tcPr>
                <w:p w14:paraId="62FE9580">
                  <w:pPr>
                    <w:widowControl/>
                    <w:spacing w:line="276" w:lineRule="auto"/>
                    <w:rPr>
                      <w:b/>
                      <w:bCs/>
                      <w:color w:val="auto"/>
                      <w:kern w:val="0"/>
                      <w:sz w:val="21"/>
                      <w:szCs w:val="21"/>
                      <w:highlight w:val="none"/>
                    </w:rPr>
                  </w:pPr>
                  <w:r>
                    <w:rPr>
                      <w:color w:val="auto"/>
                      <w:sz w:val="21"/>
                      <w:szCs w:val="21"/>
                      <w:highlight w:val="none"/>
                    </w:rPr>
                    <w:t>本项目所在园区污染物排放总量未超过核定总量。本项目不涉及重金属污染物排放。本项目不涉及危险废物专业收集转运和利用处置。</w:t>
                  </w:r>
                </w:p>
              </w:tc>
              <w:tc>
                <w:tcPr>
                  <w:tcW w:w="355" w:type="pct"/>
                  <w:tcBorders>
                    <w:tl2br w:val="nil"/>
                    <w:tr2bl w:val="nil"/>
                  </w:tcBorders>
                  <w:vAlign w:val="center"/>
                </w:tcPr>
                <w:p w14:paraId="1C5F8969">
                  <w:pPr>
                    <w:spacing w:line="276" w:lineRule="auto"/>
                    <w:jc w:val="center"/>
                    <w:rPr>
                      <w:b/>
                      <w:bCs/>
                      <w:color w:val="auto"/>
                      <w:sz w:val="21"/>
                      <w:szCs w:val="21"/>
                      <w:highlight w:val="none"/>
                    </w:rPr>
                  </w:pPr>
                  <w:r>
                    <w:rPr>
                      <w:rFonts w:hint="eastAsia"/>
                      <w:color w:val="auto"/>
                      <w:sz w:val="21"/>
                      <w:szCs w:val="21"/>
                      <w:highlight w:val="none"/>
                    </w:rPr>
                    <w:t>符合</w:t>
                  </w:r>
                </w:p>
              </w:tc>
            </w:tr>
            <w:tr w14:paraId="304A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2EB0EEC5">
                  <w:pPr>
                    <w:widowControl/>
                    <w:spacing w:line="276" w:lineRule="auto"/>
                    <w:jc w:val="center"/>
                    <w:rPr>
                      <w:color w:val="auto"/>
                      <w:sz w:val="21"/>
                      <w:szCs w:val="21"/>
                      <w:highlight w:val="none"/>
                    </w:rPr>
                  </w:pPr>
                  <w:r>
                    <w:rPr>
                      <w:color w:val="auto"/>
                      <w:sz w:val="21"/>
                      <w:szCs w:val="21"/>
                      <w:highlight w:val="none"/>
                    </w:rPr>
                    <w:t>环境风险防控</w:t>
                  </w:r>
                </w:p>
              </w:tc>
              <w:tc>
                <w:tcPr>
                  <w:tcW w:w="2392" w:type="pct"/>
                  <w:tcBorders>
                    <w:tl2br w:val="nil"/>
                    <w:tr2bl w:val="nil"/>
                  </w:tcBorders>
                  <w:vAlign w:val="center"/>
                </w:tcPr>
                <w:p w14:paraId="70942700">
                  <w:pPr>
                    <w:widowControl/>
                    <w:spacing w:line="276" w:lineRule="auto"/>
                    <w:rPr>
                      <w:color w:val="auto"/>
                      <w:sz w:val="21"/>
                      <w:szCs w:val="21"/>
                      <w:highlight w:val="none"/>
                    </w:rPr>
                  </w:pPr>
                  <w:r>
                    <w:rPr>
                      <w:color w:val="auto"/>
                      <w:sz w:val="21"/>
                      <w:szCs w:val="21"/>
                      <w:highlight w:val="none"/>
                    </w:rPr>
                    <w:t>4-1.集中式污水处理厂应采取有效措施，防止事故废水直接排入水体。</w:t>
                  </w:r>
                </w:p>
                <w:p w14:paraId="52674065">
                  <w:pPr>
                    <w:widowControl/>
                    <w:spacing w:line="276" w:lineRule="auto"/>
                    <w:rPr>
                      <w:color w:val="auto"/>
                      <w:sz w:val="21"/>
                      <w:szCs w:val="21"/>
                      <w:highlight w:val="none"/>
                    </w:rPr>
                  </w:pPr>
                  <w:r>
                    <w:rPr>
                      <w:color w:val="auto"/>
                      <w:sz w:val="21"/>
                      <w:szCs w:val="21"/>
                      <w:highlight w:val="none"/>
                    </w:rPr>
                    <w:t>4-2.有水环境污染风险的企事业单位，应当制定有关水污染事故的应急方案，做好应急准备，并定期进行演练，做好突发水污染事故应急处置和事后恢复等工作。有水环境污染风险的企事业单位，生产、储存危险化学品的企事业单位，应当采取措施，防止在应急处置过程中产生的消防废水、废液直接排入水体。</w:t>
                  </w:r>
                </w:p>
              </w:tc>
              <w:tc>
                <w:tcPr>
                  <w:tcW w:w="1336" w:type="pct"/>
                  <w:gridSpan w:val="3"/>
                  <w:tcBorders>
                    <w:tl2br w:val="nil"/>
                    <w:tr2bl w:val="nil"/>
                  </w:tcBorders>
                  <w:vAlign w:val="center"/>
                </w:tcPr>
                <w:p w14:paraId="7ED30133">
                  <w:pPr>
                    <w:widowControl/>
                    <w:spacing w:line="276" w:lineRule="auto"/>
                    <w:rPr>
                      <w:b/>
                      <w:bCs/>
                      <w:color w:val="auto"/>
                      <w:kern w:val="0"/>
                      <w:sz w:val="21"/>
                      <w:szCs w:val="21"/>
                      <w:highlight w:val="none"/>
                    </w:rPr>
                  </w:pPr>
                  <w:r>
                    <w:rPr>
                      <w:color w:val="auto"/>
                      <w:sz w:val="21"/>
                      <w:szCs w:val="21"/>
                      <w:highlight w:val="none"/>
                    </w:rPr>
                    <w:t>项目建设完成后</w:t>
                  </w:r>
                  <w:r>
                    <w:rPr>
                      <w:rFonts w:hint="eastAsia"/>
                      <w:color w:val="auto"/>
                      <w:sz w:val="21"/>
                      <w:szCs w:val="21"/>
                      <w:highlight w:val="none"/>
                    </w:rPr>
                    <w:t>按照相关规定完善环境风险应急措施</w:t>
                  </w:r>
                  <w:r>
                    <w:rPr>
                      <w:color w:val="auto"/>
                      <w:sz w:val="21"/>
                      <w:szCs w:val="21"/>
                      <w:highlight w:val="none"/>
                    </w:rPr>
                    <w:t>，与园区、政府构成三级环境风险防控体系</w:t>
                  </w:r>
                </w:p>
              </w:tc>
              <w:tc>
                <w:tcPr>
                  <w:tcW w:w="355" w:type="pct"/>
                  <w:tcBorders>
                    <w:tl2br w:val="nil"/>
                    <w:tr2bl w:val="nil"/>
                  </w:tcBorders>
                  <w:vAlign w:val="center"/>
                </w:tcPr>
                <w:p w14:paraId="7B88A3E5">
                  <w:pPr>
                    <w:spacing w:line="276" w:lineRule="auto"/>
                    <w:jc w:val="center"/>
                    <w:rPr>
                      <w:b/>
                      <w:bCs/>
                      <w:color w:val="auto"/>
                      <w:sz w:val="21"/>
                      <w:szCs w:val="21"/>
                      <w:highlight w:val="none"/>
                    </w:rPr>
                  </w:pPr>
                  <w:r>
                    <w:rPr>
                      <w:rFonts w:hint="eastAsia"/>
                      <w:color w:val="auto"/>
                      <w:sz w:val="21"/>
                      <w:szCs w:val="21"/>
                      <w:highlight w:val="none"/>
                    </w:rPr>
                    <w:t>符合</w:t>
                  </w:r>
                </w:p>
              </w:tc>
            </w:tr>
            <w:tr w14:paraId="6D2C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E92E14A">
                  <w:pPr>
                    <w:widowControl/>
                    <w:jc w:val="center"/>
                    <w:rPr>
                      <w:color w:val="auto"/>
                      <w:sz w:val="21"/>
                      <w:szCs w:val="21"/>
                      <w:highlight w:val="none"/>
                    </w:rPr>
                  </w:pPr>
                  <w:r>
                    <w:rPr>
                      <w:rFonts w:hint="eastAsia" w:ascii="宋体" w:hAnsi="宋体" w:cs="宋体"/>
                      <w:b/>
                      <w:bCs/>
                      <w:color w:val="auto"/>
                      <w:kern w:val="0"/>
                      <w:sz w:val="21"/>
                      <w:szCs w:val="21"/>
                      <w:highlight w:val="none"/>
                    </w:rPr>
                    <w:t>环境管控单元编码</w:t>
                  </w:r>
                </w:p>
              </w:tc>
              <w:tc>
                <w:tcPr>
                  <w:tcW w:w="2392" w:type="pct"/>
                  <w:tcBorders>
                    <w:tl2br w:val="nil"/>
                    <w:tr2bl w:val="nil"/>
                  </w:tcBorders>
                  <w:vAlign w:val="center"/>
                </w:tcPr>
                <w:p w14:paraId="3828EC56">
                  <w:pPr>
                    <w:widowControl/>
                    <w:jc w:val="center"/>
                    <w:rPr>
                      <w:color w:val="auto"/>
                      <w:sz w:val="21"/>
                      <w:szCs w:val="21"/>
                      <w:highlight w:val="none"/>
                    </w:rPr>
                  </w:pPr>
                  <w:r>
                    <w:rPr>
                      <w:rFonts w:hint="eastAsia" w:ascii="宋体" w:hAnsi="宋体" w:cs="宋体"/>
                      <w:b/>
                      <w:bCs/>
                      <w:color w:val="auto"/>
                      <w:kern w:val="0"/>
                      <w:sz w:val="21"/>
                      <w:szCs w:val="21"/>
                      <w:highlight w:val="none"/>
                    </w:rPr>
                    <w:t>环境管控单元名称</w:t>
                  </w:r>
                </w:p>
              </w:tc>
              <w:tc>
                <w:tcPr>
                  <w:tcW w:w="1691" w:type="pct"/>
                  <w:gridSpan w:val="4"/>
                  <w:tcBorders>
                    <w:tl2br w:val="nil"/>
                    <w:tr2bl w:val="nil"/>
                  </w:tcBorders>
                  <w:vAlign w:val="center"/>
                </w:tcPr>
                <w:p w14:paraId="235999A4">
                  <w:pPr>
                    <w:widowControl/>
                    <w:jc w:val="center"/>
                    <w:rPr>
                      <w:color w:val="auto"/>
                      <w:sz w:val="21"/>
                      <w:szCs w:val="21"/>
                      <w:highlight w:val="none"/>
                    </w:rPr>
                  </w:pPr>
                  <w:r>
                    <w:rPr>
                      <w:rFonts w:hint="eastAsia" w:ascii="宋体" w:hAnsi="宋体" w:cs="宋体"/>
                      <w:b/>
                      <w:bCs/>
                      <w:color w:val="auto"/>
                      <w:kern w:val="0"/>
                      <w:sz w:val="21"/>
                      <w:szCs w:val="21"/>
                      <w:highlight w:val="none"/>
                    </w:rPr>
                    <w:t>管控单元分类</w:t>
                  </w:r>
                </w:p>
              </w:tc>
            </w:tr>
            <w:tr w14:paraId="609E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9ABC775">
                  <w:pPr>
                    <w:widowControl/>
                    <w:jc w:val="center"/>
                    <w:rPr>
                      <w:rFonts w:ascii="宋体" w:hAnsi="宋体" w:cs="宋体"/>
                      <w:b/>
                      <w:bCs/>
                      <w:color w:val="auto"/>
                      <w:kern w:val="0"/>
                      <w:sz w:val="21"/>
                      <w:szCs w:val="21"/>
                      <w:highlight w:val="none"/>
                    </w:rPr>
                  </w:pPr>
                  <w:r>
                    <w:rPr>
                      <w:rFonts w:hint="eastAsia" w:ascii="宋体" w:hAnsi="宋体" w:cs="宋体"/>
                      <w:color w:val="auto"/>
                      <w:highlight w:val="none"/>
                    </w:rPr>
                    <w:t>YS4402812540001</w:t>
                  </w:r>
                </w:p>
              </w:tc>
              <w:tc>
                <w:tcPr>
                  <w:tcW w:w="2392" w:type="pct"/>
                  <w:tcBorders>
                    <w:tl2br w:val="nil"/>
                    <w:tr2bl w:val="nil"/>
                  </w:tcBorders>
                  <w:vAlign w:val="center"/>
                </w:tcPr>
                <w:p w14:paraId="016F6CB6">
                  <w:pPr>
                    <w:widowControl/>
                    <w:jc w:val="center"/>
                    <w:rPr>
                      <w:rFonts w:ascii="宋体" w:hAnsi="宋体" w:cs="宋体"/>
                      <w:b/>
                      <w:bCs/>
                      <w:color w:val="auto"/>
                      <w:kern w:val="0"/>
                      <w:sz w:val="21"/>
                      <w:szCs w:val="21"/>
                      <w:highlight w:val="none"/>
                    </w:rPr>
                  </w:pPr>
                  <w:r>
                    <w:rPr>
                      <w:rFonts w:hint="eastAsia" w:ascii="宋体" w:hAnsi="宋体" w:cs="宋体"/>
                      <w:color w:val="auto"/>
                      <w:highlight w:val="none"/>
                    </w:rPr>
                    <w:t>乐昌市高污染燃料禁燃区</w:t>
                  </w:r>
                </w:p>
              </w:tc>
              <w:tc>
                <w:tcPr>
                  <w:tcW w:w="1691" w:type="pct"/>
                  <w:gridSpan w:val="4"/>
                  <w:tcBorders>
                    <w:tl2br w:val="nil"/>
                    <w:tr2bl w:val="nil"/>
                  </w:tcBorders>
                  <w:vAlign w:val="center"/>
                </w:tcPr>
                <w:p w14:paraId="018154FF">
                  <w:pPr>
                    <w:widowControl/>
                    <w:jc w:val="center"/>
                    <w:rPr>
                      <w:rFonts w:ascii="宋体" w:hAnsi="宋体" w:cs="宋体"/>
                      <w:b/>
                      <w:bCs/>
                      <w:color w:val="auto"/>
                      <w:kern w:val="0"/>
                      <w:sz w:val="21"/>
                      <w:szCs w:val="21"/>
                      <w:highlight w:val="none"/>
                    </w:rPr>
                  </w:pPr>
                  <w:r>
                    <w:rPr>
                      <w:rFonts w:hint="eastAsia" w:ascii="宋体" w:hAnsi="宋体" w:cs="宋体"/>
                      <w:color w:val="auto"/>
                      <w:highlight w:val="none"/>
                    </w:rPr>
                    <w:t>重点管控区</w:t>
                  </w:r>
                </w:p>
              </w:tc>
            </w:tr>
            <w:tr w14:paraId="7851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1C93C218">
                  <w:pPr>
                    <w:widowControl/>
                    <w:jc w:val="center"/>
                    <w:rPr>
                      <w:color w:val="auto"/>
                      <w:sz w:val="21"/>
                      <w:szCs w:val="21"/>
                      <w:highlight w:val="none"/>
                    </w:rPr>
                  </w:pPr>
                  <w:r>
                    <w:rPr>
                      <w:rFonts w:hint="eastAsia" w:ascii="宋体" w:hAnsi="宋体" w:cs="宋体"/>
                      <w:b/>
                      <w:bCs/>
                      <w:color w:val="auto"/>
                      <w:kern w:val="0"/>
                      <w:sz w:val="21"/>
                      <w:szCs w:val="21"/>
                      <w:highlight w:val="none"/>
                    </w:rPr>
                    <w:t>管控维度</w:t>
                  </w:r>
                </w:p>
              </w:tc>
              <w:tc>
                <w:tcPr>
                  <w:tcW w:w="2392" w:type="pct"/>
                  <w:tcBorders>
                    <w:tl2br w:val="nil"/>
                    <w:tr2bl w:val="nil"/>
                  </w:tcBorders>
                  <w:vAlign w:val="center"/>
                </w:tcPr>
                <w:p w14:paraId="088F5DC5">
                  <w:pPr>
                    <w:widowControl/>
                    <w:jc w:val="center"/>
                    <w:rPr>
                      <w:color w:val="auto"/>
                      <w:sz w:val="21"/>
                      <w:szCs w:val="21"/>
                      <w:highlight w:val="none"/>
                    </w:rPr>
                  </w:pPr>
                  <w:r>
                    <w:rPr>
                      <w:rFonts w:hint="eastAsia" w:ascii="宋体" w:hAnsi="宋体" w:cs="宋体"/>
                      <w:b/>
                      <w:bCs/>
                      <w:color w:val="auto"/>
                      <w:kern w:val="0"/>
                      <w:sz w:val="21"/>
                      <w:szCs w:val="21"/>
                      <w:highlight w:val="none"/>
                    </w:rPr>
                    <w:t>管控要求</w:t>
                  </w:r>
                </w:p>
              </w:tc>
              <w:tc>
                <w:tcPr>
                  <w:tcW w:w="1336" w:type="pct"/>
                  <w:gridSpan w:val="3"/>
                  <w:tcBorders>
                    <w:tl2br w:val="nil"/>
                    <w:tr2bl w:val="nil"/>
                  </w:tcBorders>
                  <w:vAlign w:val="center"/>
                </w:tcPr>
                <w:p w14:paraId="7C8E04F5">
                  <w:pPr>
                    <w:widowControl/>
                    <w:jc w:val="center"/>
                    <w:rPr>
                      <w:color w:val="auto"/>
                      <w:sz w:val="21"/>
                      <w:szCs w:val="21"/>
                      <w:highlight w:val="none"/>
                    </w:rPr>
                  </w:pPr>
                  <w:r>
                    <w:rPr>
                      <w:rFonts w:hint="eastAsia" w:ascii="宋体" w:hAnsi="宋体" w:cs="宋体"/>
                      <w:b/>
                      <w:bCs/>
                      <w:color w:val="auto"/>
                      <w:kern w:val="0"/>
                      <w:sz w:val="21"/>
                      <w:szCs w:val="21"/>
                      <w:highlight w:val="none"/>
                    </w:rPr>
                    <w:t>项目情况</w:t>
                  </w:r>
                </w:p>
              </w:tc>
              <w:tc>
                <w:tcPr>
                  <w:tcW w:w="355" w:type="pct"/>
                  <w:tcBorders>
                    <w:tl2br w:val="nil"/>
                    <w:tr2bl w:val="nil"/>
                  </w:tcBorders>
                  <w:vAlign w:val="center"/>
                </w:tcPr>
                <w:p w14:paraId="644F346F">
                  <w:pPr>
                    <w:spacing w:line="276" w:lineRule="auto"/>
                    <w:jc w:val="center"/>
                    <w:rPr>
                      <w:color w:val="auto"/>
                      <w:sz w:val="21"/>
                      <w:szCs w:val="21"/>
                      <w:highlight w:val="none"/>
                    </w:rPr>
                  </w:pPr>
                  <w:r>
                    <w:rPr>
                      <w:rFonts w:hint="eastAsia"/>
                      <w:b/>
                      <w:bCs/>
                      <w:color w:val="auto"/>
                      <w:sz w:val="21"/>
                      <w:szCs w:val="21"/>
                      <w:highlight w:val="none"/>
                    </w:rPr>
                    <w:t>相符性</w:t>
                  </w:r>
                </w:p>
              </w:tc>
            </w:tr>
            <w:tr w14:paraId="024A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301AF370">
                  <w:pPr>
                    <w:widowControl/>
                    <w:spacing w:line="276" w:lineRule="auto"/>
                    <w:jc w:val="center"/>
                    <w:rPr>
                      <w:color w:val="auto"/>
                      <w:sz w:val="21"/>
                      <w:szCs w:val="21"/>
                      <w:highlight w:val="none"/>
                    </w:rPr>
                  </w:pPr>
                  <w:r>
                    <w:rPr>
                      <w:rFonts w:hint="eastAsia" w:ascii="宋体" w:hAnsi="宋体" w:cs="宋体"/>
                      <w:color w:val="auto"/>
                      <w:sz w:val="21"/>
                      <w:szCs w:val="21"/>
                      <w:highlight w:val="none"/>
                    </w:rPr>
                    <w:t>区域布局管控</w:t>
                  </w:r>
                </w:p>
              </w:tc>
              <w:tc>
                <w:tcPr>
                  <w:tcW w:w="2392" w:type="pct"/>
                  <w:tcBorders>
                    <w:tl2br w:val="nil"/>
                    <w:tr2bl w:val="nil"/>
                  </w:tcBorders>
                  <w:vAlign w:val="center"/>
                </w:tcPr>
                <w:p w14:paraId="5D2D161B">
                  <w:pPr>
                    <w:widowControl/>
                    <w:spacing w:line="276" w:lineRule="auto"/>
                    <w:jc w:val="center"/>
                    <w:rPr>
                      <w:color w:val="auto"/>
                      <w:sz w:val="21"/>
                      <w:szCs w:val="21"/>
                      <w:highlight w:val="none"/>
                    </w:rPr>
                  </w:pPr>
                  <w:r>
                    <w:rPr>
                      <w:rFonts w:hint="eastAsia" w:ascii="宋体" w:hAnsi="宋体" w:cs="宋体"/>
                      <w:color w:val="auto"/>
                      <w:sz w:val="21"/>
                      <w:szCs w:val="21"/>
                      <w:highlight w:val="none"/>
                    </w:rPr>
                    <w:t>禁止新、扩建燃用高污染燃料的设施</w:t>
                  </w:r>
                </w:p>
              </w:tc>
              <w:tc>
                <w:tcPr>
                  <w:tcW w:w="1336" w:type="pct"/>
                  <w:gridSpan w:val="3"/>
                  <w:tcBorders>
                    <w:tl2br w:val="nil"/>
                    <w:tr2bl w:val="nil"/>
                  </w:tcBorders>
                  <w:vAlign w:val="center"/>
                </w:tcPr>
                <w:p w14:paraId="11926EBC">
                  <w:pPr>
                    <w:widowControl/>
                    <w:spacing w:line="276" w:lineRule="auto"/>
                    <w:jc w:val="center"/>
                    <w:rPr>
                      <w:color w:val="auto"/>
                      <w:sz w:val="21"/>
                      <w:szCs w:val="21"/>
                      <w:highlight w:val="none"/>
                    </w:rPr>
                  </w:pPr>
                  <w:r>
                    <w:rPr>
                      <w:rFonts w:hint="eastAsia" w:ascii="宋体" w:hAnsi="宋体" w:cs="宋体"/>
                      <w:color w:val="auto"/>
                      <w:kern w:val="0"/>
                      <w:sz w:val="21"/>
                      <w:szCs w:val="21"/>
                      <w:highlight w:val="none"/>
                    </w:rPr>
                    <w:t>本项目使用电能，不使用高污染燃料。</w:t>
                  </w:r>
                </w:p>
              </w:tc>
              <w:tc>
                <w:tcPr>
                  <w:tcW w:w="355" w:type="pct"/>
                  <w:tcBorders>
                    <w:tl2br w:val="nil"/>
                    <w:tr2bl w:val="nil"/>
                  </w:tcBorders>
                  <w:vAlign w:val="center"/>
                </w:tcPr>
                <w:p w14:paraId="6EC138F8">
                  <w:pPr>
                    <w:spacing w:line="276" w:lineRule="auto"/>
                    <w:jc w:val="center"/>
                    <w:rPr>
                      <w:color w:val="auto"/>
                      <w:sz w:val="21"/>
                      <w:szCs w:val="21"/>
                      <w:highlight w:val="none"/>
                    </w:rPr>
                  </w:pPr>
                  <w:r>
                    <w:rPr>
                      <w:rFonts w:hint="eastAsia"/>
                      <w:color w:val="auto"/>
                      <w:sz w:val="21"/>
                      <w:szCs w:val="21"/>
                      <w:highlight w:val="none"/>
                    </w:rPr>
                    <w:t>符合</w:t>
                  </w:r>
                </w:p>
              </w:tc>
            </w:tr>
            <w:tr w14:paraId="1B96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50B1CCA1">
                  <w:pPr>
                    <w:widowControl/>
                    <w:spacing w:line="276"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能源资源利用</w:t>
                  </w:r>
                </w:p>
              </w:tc>
              <w:tc>
                <w:tcPr>
                  <w:tcW w:w="2392" w:type="pct"/>
                  <w:tcBorders>
                    <w:tl2br w:val="nil"/>
                    <w:tr2bl w:val="nil"/>
                  </w:tcBorders>
                  <w:vAlign w:val="center"/>
                </w:tcPr>
                <w:p w14:paraId="69C6E5E0">
                  <w:pPr>
                    <w:widowControl/>
                    <w:spacing w:line="276" w:lineRule="auto"/>
                    <w:jc w:val="center"/>
                    <w:rPr>
                      <w:color w:val="auto"/>
                      <w:sz w:val="21"/>
                      <w:szCs w:val="21"/>
                      <w:highlight w:val="none"/>
                    </w:rPr>
                  </w:pPr>
                  <w:r>
                    <w:rPr>
                      <w:rFonts w:hint="eastAsia" w:ascii="宋体" w:hAnsi="宋体" w:cs="宋体"/>
                      <w:color w:val="auto"/>
                      <w:sz w:val="21"/>
                      <w:szCs w:val="21"/>
                      <w:highlight w:val="none"/>
                    </w:rPr>
                    <w:t>在禁燃区内，禁止销售、燃用高污染燃料；已建成的高污染燃料设施应当改用天然气、页岩气、液化石油气、电等清洁能源。</w:t>
                  </w:r>
                </w:p>
              </w:tc>
              <w:tc>
                <w:tcPr>
                  <w:tcW w:w="1336" w:type="pct"/>
                  <w:gridSpan w:val="3"/>
                  <w:tcBorders>
                    <w:tl2br w:val="nil"/>
                    <w:tr2bl w:val="nil"/>
                  </w:tcBorders>
                  <w:vAlign w:val="center"/>
                </w:tcPr>
                <w:p w14:paraId="4D0FDACE">
                  <w:pPr>
                    <w:widowControl/>
                    <w:spacing w:line="276" w:lineRule="auto"/>
                    <w:jc w:val="center"/>
                    <w:rPr>
                      <w:color w:val="auto"/>
                      <w:sz w:val="21"/>
                      <w:szCs w:val="21"/>
                      <w:highlight w:val="none"/>
                    </w:rPr>
                  </w:pPr>
                  <w:r>
                    <w:rPr>
                      <w:rFonts w:hint="eastAsia" w:ascii="宋体" w:hAnsi="宋体" w:cs="宋体"/>
                      <w:color w:val="auto"/>
                      <w:kern w:val="0"/>
                      <w:sz w:val="21"/>
                      <w:szCs w:val="21"/>
                      <w:highlight w:val="none"/>
                    </w:rPr>
                    <w:t>本项目使用电能，不销售、不使用高污染燃料。</w:t>
                  </w:r>
                </w:p>
              </w:tc>
              <w:tc>
                <w:tcPr>
                  <w:tcW w:w="355" w:type="pct"/>
                  <w:tcBorders>
                    <w:tl2br w:val="nil"/>
                    <w:tr2bl w:val="nil"/>
                  </w:tcBorders>
                  <w:vAlign w:val="center"/>
                </w:tcPr>
                <w:p w14:paraId="3EBC83B1">
                  <w:pPr>
                    <w:spacing w:line="276" w:lineRule="auto"/>
                    <w:jc w:val="center"/>
                    <w:rPr>
                      <w:color w:val="auto"/>
                      <w:sz w:val="21"/>
                      <w:szCs w:val="21"/>
                      <w:highlight w:val="none"/>
                    </w:rPr>
                  </w:pPr>
                  <w:r>
                    <w:rPr>
                      <w:rFonts w:hint="eastAsia"/>
                      <w:color w:val="auto"/>
                      <w:sz w:val="21"/>
                      <w:szCs w:val="21"/>
                      <w:highlight w:val="none"/>
                    </w:rPr>
                    <w:t>符合</w:t>
                  </w:r>
                </w:p>
              </w:tc>
            </w:tr>
            <w:tr w14:paraId="2698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15" w:type="pct"/>
                  <w:gridSpan w:val="3"/>
                  <w:tcBorders>
                    <w:tl2br w:val="nil"/>
                    <w:tr2bl w:val="nil"/>
                  </w:tcBorders>
                  <w:vAlign w:val="center"/>
                </w:tcPr>
                <w:p w14:paraId="3F5DF98B">
                  <w:pPr>
                    <w:widowControl/>
                    <w:spacing w:line="276"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污染物排放管控</w:t>
                  </w:r>
                </w:p>
              </w:tc>
              <w:tc>
                <w:tcPr>
                  <w:tcW w:w="2392" w:type="pct"/>
                  <w:tcBorders>
                    <w:tl2br w:val="nil"/>
                    <w:tr2bl w:val="nil"/>
                  </w:tcBorders>
                  <w:vAlign w:val="center"/>
                </w:tcPr>
                <w:p w14:paraId="0604BE37">
                  <w:pPr>
                    <w:widowControl/>
                    <w:spacing w:line="276" w:lineRule="auto"/>
                    <w:jc w:val="center"/>
                    <w:rPr>
                      <w:color w:val="auto"/>
                      <w:sz w:val="21"/>
                      <w:szCs w:val="21"/>
                      <w:highlight w:val="none"/>
                    </w:rPr>
                  </w:pPr>
                  <w:r>
                    <w:rPr>
                      <w:color w:val="auto"/>
                      <w:sz w:val="21"/>
                      <w:szCs w:val="21"/>
                      <w:highlight w:val="none"/>
                    </w:rPr>
                    <w:t>禁燃区内使用生物质成型燃料锅炉和气化供热项目的，污染物排放浓度要达到或优于天燃气锅炉对应的大气污染物排放标准（折算基准氧含量排放浓度时，生物质成型燃料锅炉按9%执行，生物质气化供热项目按3.5%执行）。</w:t>
                  </w:r>
                </w:p>
              </w:tc>
              <w:tc>
                <w:tcPr>
                  <w:tcW w:w="1336" w:type="pct"/>
                  <w:gridSpan w:val="3"/>
                  <w:tcBorders>
                    <w:tl2br w:val="nil"/>
                    <w:tr2bl w:val="nil"/>
                  </w:tcBorders>
                  <w:vAlign w:val="center"/>
                </w:tcPr>
                <w:p w14:paraId="231CF191">
                  <w:pPr>
                    <w:widowControl/>
                    <w:spacing w:line="276" w:lineRule="auto"/>
                    <w:jc w:val="center"/>
                    <w:rPr>
                      <w:color w:val="auto"/>
                      <w:sz w:val="21"/>
                      <w:szCs w:val="21"/>
                      <w:highlight w:val="none"/>
                    </w:rPr>
                  </w:pPr>
                  <w:r>
                    <w:rPr>
                      <w:rFonts w:hint="eastAsia" w:ascii="宋体" w:hAnsi="宋体" w:cs="宋体"/>
                      <w:color w:val="auto"/>
                      <w:kern w:val="0"/>
                      <w:sz w:val="21"/>
                      <w:szCs w:val="21"/>
                      <w:highlight w:val="none"/>
                    </w:rPr>
                    <w:t>本项目不涉及</w:t>
                  </w:r>
                </w:p>
              </w:tc>
              <w:tc>
                <w:tcPr>
                  <w:tcW w:w="355" w:type="pct"/>
                  <w:tcBorders>
                    <w:tl2br w:val="nil"/>
                    <w:tr2bl w:val="nil"/>
                  </w:tcBorders>
                  <w:vAlign w:val="center"/>
                </w:tcPr>
                <w:p w14:paraId="21029834">
                  <w:pPr>
                    <w:spacing w:line="276" w:lineRule="auto"/>
                    <w:jc w:val="center"/>
                    <w:rPr>
                      <w:color w:val="auto"/>
                      <w:sz w:val="21"/>
                      <w:szCs w:val="21"/>
                      <w:highlight w:val="none"/>
                    </w:rPr>
                  </w:pPr>
                  <w:r>
                    <w:rPr>
                      <w:rFonts w:hint="eastAsia"/>
                      <w:color w:val="auto"/>
                      <w:sz w:val="21"/>
                      <w:szCs w:val="21"/>
                      <w:highlight w:val="none"/>
                    </w:rPr>
                    <w:t>符合</w:t>
                  </w:r>
                </w:p>
              </w:tc>
            </w:tr>
          </w:tbl>
          <w:p w14:paraId="3093530E">
            <w:pPr>
              <w:pStyle w:val="16"/>
              <w:spacing w:after="0"/>
              <w:ind w:firstLine="480" w:firstLineChars="200"/>
              <w:jc w:val="left"/>
              <w:rPr>
                <w:color w:val="auto"/>
                <w:highlight w:val="none"/>
              </w:rPr>
            </w:pPr>
            <w:r>
              <w:rPr>
                <w:rFonts w:hint="eastAsia"/>
                <w:b w:val="0"/>
                <w:bCs w:val="0"/>
                <w:color w:val="auto"/>
                <w:sz w:val="24"/>
                <w:highlight w:val="none"/>
              </w:rPr>
              <w:t>综上，项目符合韶关市人民政府关于印发《韶关市“三线一单”生态环境分区管控方案的通知》的通知（韶府〔2021〕10号）和《韶关市生态环境分区管控动态更新成果》的相关要求。</w:t>
            </w:r>
          </w:p>
        </w:tc>
      </w:tr>
    </w:tbl>
    <w:p w14:paraId="38146BFD">
      <w:pPr>
        <w:pStyle w:val="18"/>
        <w:numPr>
          <w:ilvl w:val="0"/>
          <w:numId w:val="0"/>
        </w:numPr>
        <w:rPr>
          <w:rFonts w:cs="Times New Roman"/>
          <w:color w:val="auto"/>
          <w:highlight w:val="none"/>
        </w:rPr>
        <w:sectPr>
          <w:pgSz w:w="16838" w:h="11906" w:orient="landscape"/>
          <w:pgMar w:top="1083" w:right="1440" w:bottom="1083" w:left="1440" w:header="851" w:footer="680" w:gutter="0"/>
          <w:pgNumType w:fmt="numberInDash"/>
          <w:cols w:space="0" w:num="1"/>
          <w:docGrid w:type="linesAndChars" w:linePitch="335" w:charSpace="0"/>
        </w:sect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9480"/>
      </w:tblGrid>
      <w:tr w14:paraId="0388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242" w:type="pct"/>
            <w:vAlign w:val="center"/>
          </w:tcPr>
          <w:p w14:paraId="240F32DA">
            <w:pPr>
              <w:keepNext/>
              <w:widowControl/>
              <w:numPr>
                <w:ilvl w:val="1"/>
                <w:numId w:val="0"/>
              </w:numPr>
              <w:tabs>
                <w:tab w:val="left" w:pos="420"/>
              </w:tabs>
              <w:rPr>
                <w:color w:val="auto"/>
                <w:highlight w:val="none"/>
              </w:rPr>
            </w:pPr>
            <w:r>
              <w:rPr>
                <w:rFonts w:hint="eastAsia"/>
                <w:color w:val="auto"/>
                <w:highlight w:val="none"/>
              </w:rPr>
              <w:t>其他符合性分析</w:t>
            </w:r>
          </w:p>
        </w:tc>
        <w:tc>
          <w:tcPr>
            <w:tcW w:w="4757" w:type="pct"/>
            <w:vAlign w:val="center"/>
          </w:tcPr>
          <w:p w14:paraId="5CDB2AD7">
            <w:pPr>
              <w:keepNext/>
              <w:keepLines/>
              <w:tabs>
                <w:tab w:val="left" w:pos="0"/>
              </w:tabs>
              <w:ind w:left="-2" w:firstLine="480" w:firstLineChars="200"/>
              <w:outlineLvl w:val="2"/>
              <w:rPr>
                <w:color w:val="auto"/>
                <w:highlight w:val="none"/>
              </w:rPr>
            </w:pPr>
            <w:r>
              <w:rPr>
                <w:rFonts w:hint="eastAsia"/>
                <w:b/>
                <w:bCs/>
                <w:color w:val="auto"/>
                <w:highlight w:val="none"/>
              </w:rPr>
              <w:t>六、相关规划相符性分析</w:t>
            </w:r>
          </w:p>
          <w:p w14:paraId="77150FCC">
            <w:pPr>
              <w:keepNext/>
              <w:keepLines/>
              <w:tabs>
                <w:tab w:val="left" w:pos="0"/>
              </w:tabs>
              <w:ind w:firstLine="480" w:firstLineChars="200"/>
              <w:outlineLvl w:val="3"/>
              <w:rPr>
                <w:b/>
                <w:bCs/>
                <w:color w:val="auto"/>
                <w:highlight w:val="none"/>
              </w:rPr>
            </w:pPr>
            <w:r>
              <w:rPr>
                <w:rFonts w:hint="eastAsia"/>
                <w:b/>
                <w:bCs/>
                <w:color w:val="auto"/>
                <w:highlight w:val="none"/>
              </w:rPr>
              <w:t>1、《关于印发&lt;广东省生态环境保护“十四五”规划&gt;的通知》（粤环〔2021〕10号）</w:t>
            </w:r>
          </w:p>
          <w:p w14:paraId="2108BA17">
            <w:pPr>
              <w:pStyle w:val="26"/>
              <w:ind w:firstLine="480"/>
              <w:rPr>
                <w:color w:val="auto"/>
                <w:highlight w:val="none"/>
              </w:rPr>
            </w:pPr>
            <w:r>
              <w:rPr>
                <w:rFonts w:hint="eastAsia"/>
                <w:color w:val="auto"/>
                <w:highlight w:val="none"/>
              </w:rPr>
              <w:t>《广东省生态环境保护“十四五”规划》要求：新建高能耗项目单位产品（产值）能耗达到国际国内先进水平。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p>
          <w:p w14:paraId="4F258F4A">
            <w:pPr>
              <w:pStyle w:val="24"/>
              <w:ind w:firstLine="480"/>
              <w:rPr>
                <w:color w:val="auto"/>
                <w:sz w:val="24"/>
                <w:highlight w:val="none"/>
              </w:rPr>
            </w:pPr>
            <w:r>
              <w:rPr>
                <w:rFonts w:hint="eastAsia"/>
                <w:color w:val="auto"/>
                <w:sz w:val="24"/>
                <w:highlight w:val="none"/>
              </w:rPr>
              <w:t>项目不使用高VOCs含量的溶剂型涂料、油墨、胶粘剂等。项目</w:t>
            </w:r>
            <w:r>
              <w:rPr>
                <w:rFonts w:hint="eastAsia"/>
                <w:color w:val="auto"/>
                <w:sz w:val="24"/>
                <w:highlight w:val="none"/>
                <w:lang w:val="en-US" w:eastAsia="zh-CN"/>
              </w:rPr>
              <w:t>破碎粉尘通过布袋除尘器处理后由15m排气筒DA001排放；造粒</w:t>
            </w:r>
            <w:r>
              <w:rPr>
                <w:rFonts w:hint="eastAsia"/>
                <w:color w:val="auto"/>
                <w:sz w:val="24"/>
                <w:highlight w:val="none"/>
              </w:rPr>
              <w:t>工序产生的污染物主要有</w:t>
            </w:r>
            <w:r>
              <w:rPr>
                <w:rFonts w:hint="eastAsia"/>
                <w:color w:val="auto"/>
                <w:sz w:val="24"/>
                <w:highlight w:val="none"/>
                <w:lang w:val="en-US" w:eastAsia="zh-CN"/>
              </w:rPr>
              <w:t>非甲烷总烃、颗粒物、臭气浓度，造粒</w:t>
            </w:r>
            <w:r>
              <w:rPr>
                <w:rFonts w:hint="eastAsia"/>
                <w:color w:val="auto"/>
                <w:sz w:val="24"/>
                <w:highlight w:val="none"/>
              </w:rPr>
              <w:t>废气收集经</w:t>
            </w:r>
            <w:r>
              <w:rPr>
                <w:rFonts w:hint="eastAsia" w:cs="Times New Roman"/>
                <w:bCs/>
                <w:color w:val="auto"/>
                <w:kern w:val="2"/>
                <w:sz w:val="24"/>
                <w:szCs w:val="24"/>
                <w:highlight w:val="none"/>
                <w:lang w:val="en-US" w:eastAsia="zh-CN" w:bidi="ar-SA"/>
              </w:rPr>
              <w:t>电捕焦油+气旋混动喷淋+干式过滤+活性炭吸附脱附+催化燃烧+活性炭吸附</w:t>
            </w:r>
            <w:r>
              <w:rPr>
                <w:rFonts w:hint="eastAsia"/>
                <w:color w:val="auto"/>
                <w:sz w:val="24"/>
                <w:highlight w:val="none"/>
                <w:lang w:val="en-US" w:eastAsia="zh-CN"/>
              </w:rPr>
              <w:t>处理后由15m</w:t>
            </w:r>
            <w:r>
              <w:rPr>
                <w:rFonts w:hint="eastAsia"/>
                <w:color w:val="auto"/>
                <w:sz w:val="24"/>
                <w:highlight w:val="none"/>
              </w:rPr>
              <w:t>排气筒DA00</w:t>
            </w:r>
            <w:r>
              <w:rPr>
                <w:rFonts w:hint="eastAsia"/>
                <w:color w:val="auto"/>
                <w:sz w:val="24"/>
                <w:highlight w:val="none"/>
                <w:lang w:val="en-US" w:eastAsia="zh-CN"/>
              </w:rPr>
              <w:t>2</w:t>
            </w:r>
            <w:r>
              <w:rPr>
                <w:rFonts w:hint="eastAsia"/>
                <w:color w:val="auto"/>
                <w:sz w:val="24"/>
                <w:highlight w:val="none"/>
              </w:rPr>
              <w:t>高空排放，排放高度不低于</w:t>
            </w:r>
            <w:r>
              <w:rPr>
                <w:rFonts w:hint="eastAsia"/>
                <w:color w:val="auto"/>
                <w:sz w:val="24"/>
                <w:highlight w:val="none"/>
                <w:lang w:eastAsia="zh-CN"/>
              </w:rPr>
              <w:t>15m</w:t>
            </w:r>
            <w:r>
              <w:rPr>
                <w:rFonts w:hint="eastAsia"/>
                <w:color w:val="auto"/>
                <w:sz w:val="24"/>
                <w:highlight w:val="none"/>
              </w:rPr>
              <w:t>。</w:t>
            </w:r>
          </w:p>
          <w:p w14:paraId="726EA7C9">
            <w:pPr>
              <w:pStyle w:val="26"/>
              <w:ind w:firstLine="480"/>
              <w:rPr>
                <w:color w:val="auto"/>
                <w:highlight w:val="none"/>
              </w:rPr>
            </w:pPr>
            <w:r>
              <w:rPr>
                <w:rFonts w:hint="eastAsia"/>
                <w:color w:val="auto"/>
                <w:highlight w:val="none"/>
              </w:rPr>
              <w:t>综上所述，本项目与《关于印发&lt;广东省生态环境保护“十四五”规划&gt;的通知》（粤环〔2021〕10号）相符。</w:t>
            </w:r>
          </w:p>
          <w:p w14:paraId="19B31330">
            <w:pPr>
              <w:pStyle w:val="26"/>
              <w:ind w:firstLine="482"/>
              <w:rPr>
                <w:b/>
                <w:bCs/>
                <w:color w:val="auto"/>
                <w:highlight w:val="none"/>
              </w:rPr>
            </w:pPr>
            <w:r>
              <w:rPr>
                <w:rFonts w:hint="eastAsia"/>
                <w:b/>
                <w:bCs/>
                <w:color w:val="auto"/>
                <w:highlight w:val="none"/>
              </w:rPr>
              <w:t>2、韶关市人民政府办公室《关于印发&lt;韶关市生态环境保护“十四五”规划&gt;的通知》（韶府办〔2022〕1号）</w:t>
            </w:r>
          </w:p>
          <w:p w14:paraId="22C89A18">
            <w:pPr>
              <w:widowControl/>
              <w:ind w:firstLine="480" w:firstLineChars="200"/>
              <w:rPr>
                <w:color w:val="auto"/>
                <w:highlight w:val="none"/>
              </w:rPr>
            </w:pPr>
            <w:r>
              <w:rPr>
                <w:rFonts w:hint="eastAsia"/>
                <w:color w:val="auto"/>
                <w:highlight w:val="none"/>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00DA45EE">
            <w:pPr>
              <w:pStyle w:val="26"/>
              <w:ind w:firstLine="480"/>
              <w:rPr>
                <w:color w:val="auto"/>
                <w:highlight w:val="none"/>
              </w:rPr>
            </w:pPr>
            <w:r>
              <w:rPr>
                <w:rFonts w:hint="eastAsia"/>
                <w:color w:val="auto"/>
                <w:highlight w:val="none"/>
              </w:rPr>
              <w:t>项目不涉及锅炉。项目干法破碎工序产生的污染物主要有颗粒物，废气收集后经</w:t>
            </w:r>
            <w:r>
              <w:rPr>
                <w:rFonts w:hint="eastAsia"/>
                <w:color w:val="auto"/>
                <w:highlight w:val="none"/>
                <w:lang w:eastAsia="zh-CN"/>
              </w:rPr>
              <w:t>15m</w:t>
            </w:r>
            <w:r>
              <w:rPr>
                <w:rFonts w:hint="eastAsia"/>
                <w:color w:val="auto"/>
                <w:highlight w:val="none"/>
              </w:rPr>
              <w:t>高排气筒DA001高空排放。本项目产生的工业固体废物均得到妥善处置。故本项目与韶关市人民政府办公室《关于印发&lt;韶关市生态环境保护“十四五”规划&gt;的通知》（韶府办〔2022〕1号）相符。</w:t>
            </w:r>
          </w:p>
          <w:p w14:paraId="7ED64FA0">
            <w:pPr>
              <w:pStyle w:val="24"/>
              <w:ind w:firstLine="482"/>
              <w:rPr>
                <w:b/>
                <w:bCs/>
                <w:color w:val="auto"/>
                <w:sz w:val="24"/>
                <w:highlight w:val="none"/>
              </w:rPr>
            </w:pPr>
            <w:r>
              <w:rPr>
                <w:rFonts w:hint="eastAsia"/>
                <w:b/>
                <w:bCs/>
                <w:color w:val="auto"/>
                <w:sz w:val="24"/>
                <w:highlight w:val="none"/>
              </w:rPr>
              <w:t>3、乐昌市人民政府办公室《关于印发&lt;乐昌市生态环境保护“十四五”规划的通知》（乐府办〔2022〕16号）</w:t>
            </w:r>
          </w:p>
          <w:p w14:paraId="51CA2B3B">
            <w:pPr>
              <w:pStyle w:val="63"/>
              <w:ind w:firstLine="480" w:firstLineChars="200"/>
              <w:rPr>
                <w:color w:val="auto"/>
                <w:szCs w:val="24"/>
                <w:highlight w:val="none"/>
              </w:rPr>
            </w:pPr>
            <w:r>
              <w:rPr>
                <w:rFonts w:hint="eastAsia"/>
                <w:color w:val="auto"/>
                <w:szCs w:val="24"/>
                <w:highlight w:val="none"/>
              </w:rPr>
              <w:t>深化重点污染源治理，推进污染物减排。在水泥、化工、火电等行业全面执行大气污染物特别排放限值。逐步推进水泥行业实施超低排放改造，力争到2025年全市水泥（熟料）制造企业的水泥窑及窑尾余热利用系统烟气NOx排放浓度不高于100mg/m</w:t>
            </w:r>
            <w:r>
              <w:rPr>
                <w:rFonts w:hint="eastAsia"/>
                <w:color w:val="auto"/>
                <w:szCs w:val="24"/>
                <w:highlight w:val="none"/>
                <w:vertAlign w:val="superscript"/>
              </w:rPr>
              <w:t>3</w:t>
            </w:r>
            <w:r>
              <w:rPr>
                <w:rFonts w:hint="eastAsia"/>
                <w:color w:val="auto"/>
                <w:szCs w:val="24"/>
                <w:highlight w:val="none"/>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31BF7866">
            <w:pPr>
              <w:pStyle w:val="24"/>
              <w:ind w:firstLine="480"/>
              <w:rPr>
                <w:color w:val="auto"/>
                <w:sz w:val="24"/>
                <w:highlight w:val="none"/>
              </w:rPr>
            </w:pPr>
            <w:r>
              <w:rPr>
                <w:rFonts w:hint="eastAsia"/>
                <w:color w:val="auto"/>
                <w:sz w:val="24"/>
                <w:highlight w:val="none"/>
              </w:rPr>
              <w:t>项目不涉及锅炉。项目</w:t>
            </w:r>
            <w:r>
              <w:rPr>
                <w:rFonts w:hint="eastAsia"/>
                <w:color w:val="auto"/>
                <w:sz w:val="24"/>
                <w:highlight w:val="none"/>
                <w:lang w:val="en-US" w:eastAsia="zh-CN"/>
              </w:rPr>
              <w:t>破碎粉尘采取布袋除尘器处理后经15m高排气筒（DA001）排放，造粒</w:t>
            </w:r>
            <w:r>
              <w:rPr>
                <w:rFonts w:hint="eastAsia"/>
                <w:color w:val="auto"/>
                <w:sz w:val="24"/>
                <w:highlight w:val="none"/>
              </w:rPr>
              <w:t>工序产生的污染物主要有</w:t>
            </w:r>
            <w:r>
              <w:rPr>
                <w:rFonts w:hint="eastAsia"/>
                <w:color w:val="auto"/>
                <w:sz w:val="24"/>
                <w:highlight w:val="none"/>
                <w:lang w:val="en-US" w:eastAsia="zh-CN"/>
              </w:rPr>
              <w:t>非甲烷总烃、</w:t>
            </w:r>
            <w:r>
              <w:rPr>
                <w:rFonts w:hint="eastAsia"/>
                <w:color w:val="auto"/>
                <w:sz w:val="24"/>
                <w:highlight w:val="none"/>
              </w:rPr>
              <w:t>颗粒物</w:t>
            </w:r>
            <w:r>
              <w:rPr>
                <w:rFonts w:hint="eastAsia"/>
                <w:color w:val="auto"/>
                <w:sz w:val="24"/>
                <w:highlight w:val="none"/>
                <w:lang w:eastAsia="zh-CN"/>
              </w:rPr>
              <w:t>、</w:t>
            </w:r>
            <w:r>
              <w:rPr>
                <w:rFonts w:hint="eastAsia"/>
                <w:color w:val="auto"/>
                <w:sz w:val="24"/>
                <w:highlight w:val="none"/>
                <w:lang w:val="en-US" w:eastAsia="zh-CN"/>
              </w:rPr>
              <w:t>恶臭</w:t>
            </w:r>
            <w:r>
              <w:rPr>
                <w:rFonts w:hint="eastAsia"/>
                <w:color w:val="auto"/>
                <w:sz w:val="24"/>
                <w:highlight w:val="none"/>
              </w:rPr>
              <w:t>，废气收集后经排气筒DA00</w:t>
            </w:r>
            <w:r>
              <w:rPr>
                <w:rFonts w:hint="eastAsia"/>
                <w:color w:val="auto"/>
                <w:sz w:val="24"/>
                <w:highlight w:val="none"/>
                <w:lang w:val="en-US" w:eastAsia="zh-CN"/>
              </w:rPr>
              <w:t>2</w:t>
            </w:r>
            <w:r>
              <w:rPr>
                <w:rFonts w:hint="eastAsia"/>
                <w:color w:val="auto"/>
                <w:sz w:val="24"/>
                <w:highlight w:val="none"/>
              </w:rPr>
              <w:t>高空排放。故本项目与乐昌市人民政府办公室《关于印发&lt;乐昌市生态环境保护“十四五”规划的通知》（乐府办〔2022〕16号）相符。</w:t>
            </w:r>
          </w:p>
          <w:p w14:paraId="64434E68">
            <w:pPr>
              <w:pStyle w:val="20"/>
              <w:numPr>
                <w:ilvl w:val="3"/>
                <w:numId w:val="0"/>
              </w:numPr>
              <w:ind w:firstLine="480" w:firstLineChars="200"/>
              <w:rPr>
                <w:color w:val="auto"/>
                <w:szCs w:val="24"/>
                <w:highlight w:val="none"/>
              </w:rPr>
            </w:pPr>
            <w:r>
              <w:rPr>
                <w:rFonts w:hint="eastAsia"/>
                <w:color w:val="auto"/>
                <w:szCs w:val="24"/>
                <w:highlight w:val="none"/>
              </w:rPr>
              <w:t>七、环境保护部《关于印发&lt;重点行业挥发性有机物综合治理方案&gt;的通知》（环大气〔2019〕53号）</w:t>
            </w:r>
          </w:p>
          <w:p w14:paraId="55736431">
            <w:pPr>
              <w:pStyle w:val="26"/>
              <w:ind w:firstLine="480"/>
              <w:rPr>
                <w:color w:val="auto"/>
                <w:highlight w:val="none"/>
              </w:rPr>
            </w:pPr>
            <w:r>
              <w:rPr>
                <w:rFonts w:hint="eastAsia"/>
                <w:color w:val="auto"/>
                <w:highlight w:val="none"/>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31243C8E">
            <w:pPr>
              <w:pStyle w:val="26"/>
              <w:ind w:firstLine="480"/>
              <w:rPr>
                <w:b/>
                <w:bCs/>
                <w:color w:val="auto"/>
                <w:highlight w:val="none"/>
              </w:rPr>
            </w:pPr>
            <w:r>
              <w:rPr>
                <w:rFonts w:hint="eastAsia"/>
                <w:color w:val="auto"/>
                <w:highlight w:val="none"/>
              </w:rPr>
              <w:t>本项目原料</w:t>
            </w:r>
            <w:r>
              <w:rPr>
                <w:rFonts w:hint="eastAsia"/>
                <w:color w:val="auto"/>
                <w:highlight w:val="none"/>
                <w:lang w:val="en-US" w:eastAsia="zh-CN"/>
              </w:rPr>
              <w:t>主要为废塑料碎片，通过控制工艺温度，</w:t>
            </w:r>
            <w:r>
              <w:rPr>
                <w:rFonts w:hint="eastAsia"/>
                <w:color w:val="auto"/>
                <w:highlight w:val="none"/>
              </w:rPr>
              <w:t>可从源头有效控制VOCs</w:t>
            </w:r>
            <w:r>
              <w:rPr>
                <w:rFonts w:hint="eastAsia"/>
                <w:color w:val="auto"/>
                <w:highlight w:val="none"/>
                <w:lang w:val="en-US" w:eastAsia="zh-CN"/>
              </w:rPr>
              <w:t>产生和排放</w:t>
            </w:r>
            <w:r>
              <w:rPr>
                <w:rFonts w:hint="eastAsia"/>
                <w:color w:val="auto"/>
                <w:highlight w:val="none"/>
              </w:rPr>
              <w:t>，项目产生的污染物主要有</w:t>
            </w:r>
            <w:r>
              <w:rPr>
                <w:rFonts w:hint="eastAsia"/>
                <w:color w:val="auto"/>
                <w:highlight w:val="none"/>
                <w:lang w:val="en-US" w:eastAsia="zh-CN"/>
              </w:rPr>
              <w:t>非甲烷总烃、</w:t>
            </w:r>
            <w:r>
              <w:rPr>
                <w:rFonts w:hint="eastAsia"/>
                <w:color w:val="auto"/>
                <w:highlight w:val="none"/>
              </w:rPr>
              <w:t>颗粒物</w:t>
            </w:r>
            <w:r>
              <w:rPr>
                <w:rFonts w:hint="eastAsia"/>
                <w:color w:val="auto"/>
                <w:highlight w:val="none"/>
                <w:lang w:eastAsia="zh-CN"/>
              </w:rPr>
              <w:t>、</w:t>
            </w:r>
            <w:r>
              <w:rPr>
                <w:rFonts w:hint="eastAsia"/>
                <w:color w:val="auto"/>
                <w:highlight w:val="none"/>
                <w:lang w:val="en-US" w:eastAsia="zh-CN"/>
              </w:rPr>
              <w:t>臭气浓度</w:t>
            </w:r>
            <w:r>
              <w:rPr>
                <w:rFonts w:hint="eastAsia"/>
                <w:color w:val="auto"/>
                <w:highlight w:val="none"/>
              </w:rPr>
              <w:t>，收集后经</w:t>
            </w:r>
            <w:r>
              <w:rPr>
                <w:rFonts w:hint="eastAsia"/>
                <w:color w:val="auto"/>
                <w:highlight w:val="none"/>
                <w:lang w:val="en-US" w:eastAsia="zh-CN"/>
              </w:rPr>
              <w:t>15m</w:t>
            </w:r>
            <w:r>
              <w:rPr>
                <w:rFonts w:hint="eastAsia"/>
                <w:color w:val="auto"/>
                <w:highlight w:val="none"/>
              </w:rPr>
              <w:t>排气筒DA00</w:t>
            </w:r>
            <w:r>
              <w:rPr>
                <w:rFonts w:hint="eastAsia"/>
                <w:color w:val="auto"/>
                <w:highlight w:val="none"/>
                <w:lang w:val="en-US" w:eastAsia="zh-CN"/>
              </w:rPr>
              <w:t>2</w:t>
            </w:r>
            <w:r>
              <w:rPr>
                <w:rFonts w:hint="eastAsia"/>
                <w:color w:val="auto"/>
                <w:highlight w:val="none"/>
              </w:rPr>
              <w:t>高空排放。综上，本项目与环境保护部《关于印发&lt;重点行业挥发性有机物综合治理方案&gt;的通知》（环大气〔2019〕53号）相符。</w:t>
            </w:r>
          </w:p>
          <w:p w14:paraId="660585A4">
            <w:pPr>
              <w:pStyle w:val="109"/>
              <w:numPr>
                <w:ilvl w:val="0"/>
                <w:numId w:val="0"/>
              </w:numPr>
              <w:ind w:firstLine="480" w:firstLineChars="200"/>
              <w:rPr>
                <w:rFonts w:hint="default" w:cs="Times New Roman"/>
                <w:color w:val="auto"/>
                <w:highlight w:val="none"/>
              </w:rPr>
            </w:pPr>
            <w:r>
              <w:rPr>
                <w:rFonts w:cs="Times New Roman"/>
                <w:color w:val="auto"/>
                <w:highlight w:val="none"/>
              </w:rPr>
              <w:t>八、</w:t>
            </w:r>
            <w:r>
              <w:rPr>
                <w:rFonts w:hint="default" w:cs="Times New Roman"/>
                <w:color w:val="auto"/>
                <w:highlight w:val="none"/>
              </w:rPr>
              <w:t>与《广东省2023年土壤与地下水污染防治工作方案》（粤环〔2023〕3号）的相符性</w:t>
            </w:r>
          </w:p>
          <w:p w14:paraId="3BEC81C6">
            <w:pPr>
              <w:pStyle w:val="110"/>
              <w:ind w:firstLine="480"/>
              <w:rPr>
                <w:color w:val="auto"/>
                <w:highlight w:val="none"/>
              </w:rPr>
            </w:pPr>
            <w:r>
              <w:rPr>
                <w:color w:val="auto"/>
                <w:highlight w:val="none"/>
              </w:rPr>
              <w:t>“方案要求：</w:t>
            </w:r>
          </w:p>
          <w:p w14:paraId="71B8C889">
            <w:pPr>
              <w:ind w:firstLine="480" w:firstLineChars="200"/>
              <w:rPr>
                <w:color w:val="auto"/>
                <w:highlight w:val="none"/>
              </w:rPr>
            </w:pPr>
            <w:r>
              <w:rPr>
                <w:color w:val="auto"/>
                <w:highlight w:val="none"/>
              </w:rPr>
              <w:t>三、系统推进土壤污染源头防控</w:t>
            </w:r>
          </w:p>
          <w:p w14:paraId="6D00015D">
            <w:pPr>
              <w:ind w:firstLine="480" w:firstLineChars="200"/>
              <w:rPr>
                <w:color w:val="auto"/>
                <w:highlight w:val="none"/>
              </w:rPr>
            </w:pPr>
            <w:r>
              <w:rPr>
                <w:color w:val="auto"/>
                <w:highlight w:val="none"/>
              </w:rPr>
              <w:t>（一）加强涉重金属行业污染防控。深化涉镉等重点行业企业污染源排查整治，动态更新污染源排查整治清单。韶关、阳江、清远市要督促有关涉重金属污染物排放企业严格执行特别排放限值相关规定。2023年底前，各地要督促纳入大气环境重点排污单位名录的涉镉等重金属排放企业实现大气污染物中的颗粒物自动监测、监控设备联网。（省生态环境厅牵头，省自然资源厅等按职责分工负责）</w:t>
            </w:r>
          </w:p>
          <w:p w14:paraId="712C86A1">
            <w:pPr>
              <w:ind w:firstLine="480" w:firstLineChars="200"/>
              <w:rPr>
                <w:color w:val="auto"/>
                <w:highlight w:val="none"/>
              </w:rPr>
            </w:pPr>
            <w:r>
              <w:rPr>
                <w:color w:val="auto"/>
                <w:highlight w:val="none"/>
              </w:rPr>
              <w:t>（二）严格监管土壤污染重点监管单位。更新并公布土壤污染重点监管单位名录，督促重点监管单位落实法定义务，原则上新纳入的重点监管单位应在当年完成隐患排查，所有重点监管单位完成一轮土壤和地下水自行监测。各地级以上市要组织对重点监管单位开展周边监测，完成比例不低于40%；督促50%已开展隐患排查的重点监管单位开展隐患排查“回头看”。省市两级对“回头看”工作开展质量控制抽查，省级抽查比例不低于10%，市级抽查比例不低于20%（省生态环境厅负责）</w:t>
            </w:r>
            <w:r>
              <w:rPr>
                <w:rFonts w:hint="eastAsia"/>
                <w:color w:val="auto"/>
                <w:highlight w:val="none"/>
              </w:rPr>
              <w:t>。</w:t>
            </w:r>
          </w:p>
          <w:p w14:paraId="19D514BC">
            <w:pPr>
              <w:pStyle w:val="110"/>
              <w:ind w:firstLine="480"/>
              <w:rPr>
                <w:color w:val="auto"/>
                <w:highlight w:val="none"/>
              </w:rPr>
            </w:pPr>
            <w:r>
              <w:rPr>
                <w:color w:val="auto"/>
                <w:highlight w:val="none"/>
              </w:rPr>
              <w:t>六、有序推进地下水污染防治</w:t>
            </w:r>
          </w:p>
          <w:p w14:paraId="3E5E5215">
            <w:pPr>
              <w:ind w:firstLine="480" w:firstLineChars="200"/>
              <w:rPr>
                <w:color w:val="auto"/>
                <w:highlight w:val="none"/>
              </w:rPr>
            </w:pPr>
            <w:r>
              <w:rPr>
                <w:color w:val="auto"/>
                <w:highlight w:val="none"/>
              </w:rPr>
              <w:t>（一）加强地下水环境质量目标管理和分区管理。各地级以上市加快印发并实施“十四五”国家地下水环境质量考核点位水质达标保持方案，省生态环境厅定期组织对各地级以上市达标保持方案重点工作实施情况开展评估。湛江等市开展地下水国考点位、地下水型农村“千吨万人”饮用水源环境背景值调查研究。实施地下水环境分区管理、分级防治，完成珠三角整体区域及佛山、韶关、河源、东莞、湛江、云浮等市地下水污染防治重点区划定工作。（省生态环境厅牵头，省发展改革委、自然资源厅、水利厅、地质局等按职责分工负责）</w:t>
            </w:r>
          </w:p>
          <w:p w14:paraId="3FCB7F8A">
            <w:pPr>
              <w:ind w:firstLine="480" w:firstLineChars="200"/>
              <w:rPr>
                <w:color w:val="auto"/>
                <w:highlight w:val="none"/>
              </w:rPr>
            </w:pPr>
            <w:r>
              <w:rPr>
                <w:color w:val="auto"/>
                <w:highlight w:val="none"/>
              </w:rPr>
              <w:t xml:space="preserve">（三）加强地下水污染防治重点排污单位管理。各地级以上市建立并公布地下水污染防治重点排污单位名录，参照生态环境 </w:t>
            </w:r>
          </w:p>
          <w:p w14:paraId="51D8DCEC">
            <w:pPr>
              <w:ind w:firstLine="480" w:firstLineChars="200"/>
              <w:rPr>
                <w:color w:val="auto"/>
                <w:highlight w:val="none"/>
              </w:rPr>
            </w:pPr>
            <w:r>
              <w:rPr>
                <w:color w:val="auto"/>
                <w:highlight w:val="none"/>
              </w:rPr>
              <w:t>部制定的重点监管单位土壤污染隐患排查技术指南、地下水污染源防渗技术指南等，指导重点排污单位开展地下水污染渗漏排查，存在问题的单位应开展防渗改造。（省生态环境厅牵头，省住房城乡建设厅等按职责分工负责）”</w:t>
            </w:r>
          </w:p>
          <w:p w14:paraId="7FC309C6">
            <w:pPr>
              <w:ind w:firstLine="480" w:firstLineChars="200"/>
              <w:rPr>
                <w:color w:val="auto"/>
                <w:highlight w:val="none"/>
              </w:rPr>
            </w:pPr>
            <w:r>
              <w:rPr>
                <w:b/>
                <w:bCs/>
                <w:color w:val="auto"/>
                <w:highlight w:val="none"/>
              </w:rPr>
              <w:t>相符性分析：</w:t>
            </w:r>
            <w:r>
              <w:rPr>
                <w:color w:val="auto"/>
                <w:highlight w:val="none"/>
              </w:rPr>
              <w:t>本项目生产运营过程不涉及重金属排放，生产废水经自建污水处理站处理后排入园区污水处理厂；生活污水经</w:t>
            </w:r>
            <w:r>
              <w:rPr>
                <w:rFonts w:hint="eastAsia"/>
                <w:color w:val="auto"/>
                <w:highlight w:val="none"/>
                <w:lang w:eastAsia="zh-CN"/>
              </w:rPr>
              <w:t>三级化粪池+隔油隔渣池</w:t>
            </w:r>
            <w:r>
              <w:rPr>
                <w:color w:val="auto"/>
                <w:highlight w:val="none"/>
              </w:rPr>
              <w:t>处理后排入园区污水处理厂。项目对危废仓进行防渗漏、防扬散、防流失等措施，防止危险废物暂存过程对土壤环境造成影响。因此，项目的建设符合《广东省2023年土壤与地下水污染防治工作方案》的相关要求。</w:t>
            </w:r>
          </w:p>
          <w:p w14:paraId="5DEC6677">
            <w:pPr>
              <w:ind w:firstLine="480" w:firstLineChars="200"/>
              <w:rPr>
                <w:rFonts w:hint="default" w:eastAsia="宋体"/>
                <w:color w:val="auto"/>
                <w:highlight w:val="none"/>
                <w:lang w:val="en-US" w:eastAsia="zh-CN"/>
              </w:rPr>
            </w:pPr>
            <w:r>
              <w:rPr>
                <w:rFonts w:hint="eastAsia"/>
                <w:b/>
                <w:bCs/>
                <w:color w:val="auto"/>
                <w:highlight w:val="none"/>
                <w:lang w:val="en-US" w:eastAsia="zh-CN"/>
              </w:rPr>
              <w:t>九、</w:t>
            </w:r>
            <w:r>
              <w:rPr>
                <w:rFonts w:hint="eastAsia" w:ascii="Times New Roman" w:hAnsi="Times New Roman" w:eastAsia="宋体" w:cs="宋体"/>
                <w:b/>
                <w:bCs/>
                <w:color w:val="auto"/>
                <w:sz w:val="24"/>
                <w:highlight w:val="none"/>
                <w:lang w:val="en-US" w:eastAsia="zh-CN"/>
              </w:rPr>
              <w:t>项目与《废塑料综合利用行业规范条件》的符合性分析</w:t>
            </w:r>
          </w:p>
          <w:p w14:paraId="71348AA2">
            <w:pPr>
              <w:pStyle w:val="107"/>
              <w:rPr>
                <w:color w:val="auto"/>
                <w:sz w:val="21"/>
                <w:szCs w:val="21"/>
                <w:highlight w:val="none"/>
              </w:rPr>
            </w:pPr>
            <w:r>
              <w:rPr>
                <w:rFonts w:hint="eastAsia"/>
                <w:color w:val="auto"/>
                <w:sz w:val="21"/>
                <w:szCs w:val="21"/>
                <w:highlight w:val="none"/>
              </w:rPr>
              <w:t>与</w:t>
            </w:r>
            <w:r>
              <w:rPr>
                <w:rFonts w:hint="eastAsia"/>
                <w:b/>
                <w:bCs/>
                <w:color w:val="auto"/>
                <w:sz w:val="21"/>
                <w:szCs w:val="21"/>
                <w:highlight w:val="none"/>
                <w:lang w:val="en-US" w:eastAsia="zh-CN"/>
              </w:rPr>
              <w:t>《废塑料综合利用行业规范条件》符合性</w:t>
            </w:r>
            <w:r>
              <w:rPr>
                <w:rFonts w:hint="eastAsia"/>
                <w:color w:val="auto"/>
                <w:sz w:val="21"/>
                <w:szCs w:val="21"/>
                <w:highlight w:val="none"/>
              </w:rPr>
              <w:t>分析</w:t>
            </w:r>
          </w:p>
          <w:tbl>
            <w:tblPr>
              <w:tblStyle w:val="5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4149"/>
              <w:gridCol w:w="3670"/>
              <w:gridCol w:w="870"/>
            </w:tblGrid>
            <w:tr w14:paraId="7281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04" w:type="pct"/>
                  <w:noWrap w:val="0"/>
                  <w:vAlign w:val="center"/>
                </w:tcPr>
                <w:p w14:paraId="6815C593">
                  <w:pPr>
                    <w:pStyle w:val="29"/>
                    <w:spacing w:line="240" w:lineRule="auto"/>
                    <w:ind w:left="0" w:leftChars="0" w:firstLine="0" w:firstLineChars="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项目</w:t>
                  </w:r>
                </w:p>
              </w:tc>
              <w:tc>
                <w:tcPr>
                  <w:tcW w:w="2241" w:type="pct"/>
                  <w:noWrap w:val="0"/>
                  <w:vAlign w:val="center"/>
                </w:tcPr>
                <w:p w14:paraId="5E22C58B">
                  <w:pPr>
                    <w:pStyle w:val="29"/>
                    <w:spacing w:line="240" w:lineRule="auto"/>
                    <w:ind w:firstLine="1030" w:firstLineChars="500"/>
                    <w:jc w:val="both"/>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具体要求</w:t>
                  </w:r>
                </w:p>
              </w:tc>
              <w:tc>
                <w:tcPr>
                  <w:tcW w:w="1982" w:type="pct"/>
                  <w:noWrap w:val="0"/>
                  <w:vAlign w:val="center"/>
                </w:tcPr>
                <w:p w14:paraId="7D22888B">
                  <w:pPr>
                    <w:pStyle w:val="29"/>
                    <w:spacing w:line="240" w:lineRule="auto"/>
                    <w:ind w:left="0" w:leftChars="0" w:firstLine="0" w:firstLineChars="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本项目情况</w:t>
                  </w:r>
                </w:p>
              </w:tc>
              <w:tc>
                <w:tcPr>
                  <w:tcW w:w="470" w:type="pct"/>
                  <w:noWrap w:val="0"/>
                  <w:vAlign w:val="center"/>
                </w:tcPr>
                <w:p w14:paraId="6A4D38BF">
                  <w:pPr>
                    <w:pStyle w:val="29"/>
                    <w:spacing w:line="240" w:lineRule="auto"/>
                    <w:ind w:left="0" w:leftChars="0" w:firstLine="0" w:firstLineChars="0"/>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符合性</w:t>
                  </w:r>
                </w:p>
              </w:tc>
            </w:tr>
            <w:tr w14:paraId="0D22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10DD41C4">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基本原则</w:t>
                  </w:r>
                </w:p>
              </w:tc>
              <w:tc>
                <w:tcPr>
                  <w:tcW w:w="2241" w:type="pct"/>
                  <w:noWrap w:val="0"/>
                  <w:vAlign w:val="center"/>
                </w:tcPr>
                <w:p w14:paraId="42CDEB15">
                  <w:pPr>
                    <w:pStyle w:val="29"/>
                    <w:numPr>
                      <w:ilvl w:val="0"/>
                      <w:numId w:val="9"/>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废塑料按种类、来源分开存放；</w:t>
                  </w:r>
                </w:p>
                <w:p w14:paraId="54CABE99">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2、贮存场所封闭或半封闭，有防雨、防晒、防尘、防扬散、防火措施；</w:t>
                  </w:r>
                </w:p>
                <w:p w14:paraId="3E7D044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3、废塑料贮存在通过环保审批的专门贮存场所内；</w:t>
                  </w:r>
                </w:p>
              </w:tc>
              <w:tc>
                <w:tcPr>
                  <w:tcW w:w="1982" w:type="pct"/>
                  <w:noWrap w:val="0"/>
                  <w:vAlign w:val="center"/>
                </w:tcPr>
                <w:p w14:paraId="4BBC0988">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1、本项目设有专门的原料</w:t>
                  </w:r>
                  <w:r>
                    <w:rPr>
                      <w:rFonts w:hint="eastAsia" w:ascii="Times New Roman" w:hAnsi="Times New Roman" w:eastAsia="宋体" w:cs="Times New Roman"/>
                      <w:color w:val="auto"/>
                      <w:sz w:val="21"/>
                      <w:szCs w:val="21"/>
                      <w:highlight w:val="none"/>
                      <w:vertAlign w:val="baseline"/>
                      <w:lang w:val="en-US" w:eastAsia="zh-CN"/>
                    </w:rPr>
                    <w:t>堆场</w:t>
                  </w:r>
                  <w:r>
                    <w:rPr>
                      <w:rFonts w:hint="default" w:ascii="Times New Roman" w:hAnsi="Times New Roman" w:eastAsia="宋体" w:cs="Times New Roman"/>
                      <w:color w:val="auto"/>
                      <w:sz w:val="21"/>
                      <w:szCs w:val="21"/>
                      <w:highlight w:val="none"/>
                      <w:vertAlign w:val="baseline"/>
                      <w:lang w:val="en-US" w:eastAsia="zh-CN"/>
                    </w:rPr>
                    <w:t>；</w:t>
                  </w:r>
                </w:p>
                <w:p w14:paraId="5F447F6D">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2、原料</w:t>
                  </w:r>
                  <w:r>
                    <w:rPr>
                      <w:rFonts w:hint="eastAsia" w:ascii="Times New Roman" w:hAnsi="Times New Roman" w:eastAsia="宋体" w:cs="Times New Roman"/>
                      <w:color w:val="auto"/>
                      <w:sz w:val="21"/>
                      <w:szCs w:val="21"/>
                      <w:highlight w:val="none"/>
                      <w:vertAlign w:val="baseline"/>
                      <w:lang w:val="en-US" w:eastAsia="zh-CN"/>
                    </w:rPr>
                    <w:t>堆场</w:t>
                  </w:r>
                  <w:r>
                    <w:rPr>
                      <w:rFonts w:hint="default" w:ascii="Times New Roman" w:hAnsi="Times New Roman" w:eastAsia="宋体" w:cs="Times New Roman"/>
                      <w:color w:val="auto"/>
                      <w:sz w:val="21"/>
                      <w:szCs w:val="21"/>
                      <w:highlight w:val="none"/>
                      <w:vertAlign w:val="baseline"/>
                      <w:lang w:val="en-US" w:eastAsia="zh-CN"/>
                    </w:rPr>
                    <w:t>具备防雨、防晒、防尘、防扬散晒、防火等措施；</w:t>
                  </w:r>
                </w:p>
                <w:p w14:paraId="2F636800">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3、原料进厂后按种类、来源分开存放；</w:t>
                  </w:r>
                </w:p>
              </w:tc>
              <w:tc>
                <w:tcPr>
                  <w:tcW w:w="470" w:type="pct"/>
                  <w:noWrap w:val="0"/>
                  <w:vAlign w:val="center"/>
                </w:tcPr>
                <w:p w14:paraId="3DDC76A9">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r w14:paraId="3DB4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46298A70">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企业的设立和布局</w:t>
                  </w:r>
                </w:p>
              </w:tc>
              <w:tc>
                <w:tcPr>
                  <w:tcW w:w="2241" w:type="pct"/>
                  <w:noWrap w:val="0"/>
                  <w:vAlign w:val="center"/>
                </w:tcPr>
                <w:p w14:paraId="38278EE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1、废塑料综合利用企业是指采用物理机械法对热塑性废塑料进行再生加工的企业，企业类型主要包括PET再生瓶片类企业、废塑料破碎清洗分选类企业以及塑料再生造粒类企业；</w:t>
                  </w:r>
                </w:p>
                <w:p w14:paraId="1FA8EEC3">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2、废塑料综合利用企业所涉及的热塑性废塑料原料，不包括受到危险化学品、农药等污染的废弃塑料包装物、废弃一次性医疗用塑料制品等塑料类危险废物，以及氟塑料等特种工程塑料；</w:t>
                  </w:r>
                </w:p>
                <w:p w14:paraId="5DE852C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3、新建及改造、扩建废塑料加工企业应符合国家产业政策及所在地区土地利用总体规划、城乡建设规划、环境保护、污染防治规划。企业建设应有规范化设计要求，采用节能环保技术及生产装备；</w:t>
                  </w:r>
                </w:p>
                <w:p w14:paraId="17316850">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在国家法律、法规、规章和规划确定或县级及以上人民政府规定的自然保护区、风景名胜区、饮用水源保护区、基本农田保护区和其他需要特别保护的区域内，不得新建废塑料综合利用企业；已在上述区域投产运营的废塑料综合利用企业，要根据该区域规划要求，依法通过搬迁、转产等方式逐步退出。</w:t>
                  </w:r>
                </w:p>
              </w:tc>
              <w:tc>
                <w:tcPr>
                  <w:tcW w:w="1982" w:type="pct"/>
                  <w:noWrap w:val="0"/>
                  <w:vAlign w:val="center"/>
                </w:tcPr>
                <w:p w14:paraId="4B9176CA">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1、本项目属于塑料再生造粒类企业；</w:t>
                  </w:r>
                </w:p>
                <w:p w14:paraId="4B6188E6">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2、本项目废塑料</w:t>
                  </w:r>
                  <w:r>
                    <w:rPr>
                      <w:rFonts w:hint="eastAsia" w:eastAsia="宋体" w:cs="Times New Roman"/>
                      <w:color w:val="auto"/>
                      <w:sz w:val="21"/>
                      <w:szCs w:val="21"/>
                      <w:highlight w:val="none"/>
                      <w:vertAlign w:val="baseline"/>
                      <w:lang w:val="en-US" w:eastAsia="zh-CN"/>
                    </w:rPr>
                    <w:t>原料</w:t>
                  </w:r>
                  <w:r>
                    <w:rPr>
                      <w:rFonts w:hint="default" w:ascii="Times New Roman" w:hAnsi="Times New Roman" w:eastAsia="宋体" w:cs="Times New Roman"/>
                      <w:color w:val="auto"/>
                      <w:sz w:val="21"/>
                      <w:szCs w:val="21"/>
                      <w:highlight w:val="none"/>
                      <w:vertAlign w:val="baseline"/>
                      <w:lang w:val="en-US" w:eastAsia="zh-CN"/>
                    </w:rPr>
                    <w:t>为</w:t>
                  </w:r>
                  <w:r>
                    <w:rPr>
                      <w:rFonts w:hint="eastAsia" w:cs="Times New Roman"/>
                      <w:color w:val="auto"/>
                      <w:sz w:val="21"/>
                      <w:szCs w:val="21"/>
                      <w:highlight w:val="none"/>
                      <w:vertAlign w:val="baseline"/>
                      <w:lang w:val="en-US" w:eastAsia="zh-CN"/>
                    </w:rPr>
                    <w:t>外购</w:t>
                  </w:r>
                  <w:r>
                    <w:rPr>
                      <w:rFonts w:hint="default" w:ascii="Times New Roman" w:hAnsi="Times New Roman" w:eastAsia="宋体" w:cs="Times New Roman"/>
                      <w:color w:val="auto"/>
                      <w:sz w:val="21"/>
                      <w:szCs w:val="21"/>
                      <w:highlight w:val="none"/>
                      <w:vertAlign w:val="baseline"/>
                      <w:lang w:val="en-US" w:eastAsia="zh-CN"/>
                    </w:rPr>
                    <w:t>PP/PE/ABS/H</w:t>
                  </w:r>
                  <w:r>
                    <w:rPr>
                      <w:rFonts w:hint="eastAsia" w:cs="Times New Roman"/>
                      <w:color w:val="auto"/>
                      <w:sz w:val="21"/>
                      <w:szCs w:val="21"/>
                      <w:highlight w:val="none"/>
                      <w:vertAlign w:val="baseline"/>
                      <w:lang w:val="en-US" w:eastAsia="zh-CN"/>
                    </w:rPr>
                    <w:t>IPS</w:t>
                  </w:r>
                  <w:r>
                    <w:rPr>
                      <w:rFonts w:hint="default" w:ascii="Times New Roman" w:hAnsi="Times New Roman" w:eastAsia="宋体" w:cs="Times New Roman"/>
                      <w:color w:val="auto"/>
                      <w:sz w:val="21"/>
                      <w:szCs w:val="21"/>
                      <w:highlight w:val="none"/>
                      <w:vertAlign w:val="baseline"/>
                      <w:lang w:val="en-US" w:eastAsia="zh-CN"/>
                    </w:rPr>
                    <w:t xml:space="preserve">/PA </w:t>
                  </w:r>
                  <w:r>
                    <w:rPr>
                      <w:rFonts w:hint="eastAsia" w:cs="Times New Roman"/>
                      <w:color w:val="auto"/>
                      <w:sz w:val="21"/>
                      <w:szCs w:val="21"/>
                      <w:highlight w:val="none"/>
                      <w:vertAlign w:val="baseline"/>
                      <w:lang w:val="en-US" w:eastAsia="zh-CN"/>
                    </w:rPr>
                    <w:t>废塑</w:t>
                  </w:r>
                  <w:r>
                    <w:rPr>
                      <w:rFonts w:hint="default" w:ascii="Times New Roman" w:hAnsi="Times New Roman" w:eastAsia="宋体" w:cs="Times New Roman"/>
                      <w:color w:val="auto"/>
                      <w:sz w:val="21"/>
                      <w:szCs w:val="21"/>
                      <w:highlight w:val="none"/>
                      <w:vertAlign w:val="baseline"/>
                      <w:lang w:val="en-US" w:eastAsia="zh-CN"/>
                    </w:rPr>
                    <w:t>料，不属于危险废物和限制物品；</w:t>
                  </w:r>
                </w:p>
                <w:p w14:paraId="48360740">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3、项目建设符合</w:t>
                  </w:r>
                  <w:r>
                    <w:rPr>
                      <w:rFonts w:hint="eastAsia" w:eastAsia="宋体" w:cs="Times New Roman"/>
                      <w:color w:val="auto"/>
                      <w:sz w:val="21"/>
                      <w:szCs w:val="21"/>
                      <w:highlight w:val="none"/>
                      <w:vertAlign w:val="baseline"/>
                      <w:lang w:val="en-US" w:eastAsia="zh-CN"/>
                    </w:rPr>
                    <w:t>乐昌市</w:t>
                  </w:r>
                  <w:r>
                    <w:rPr>
                      <w:rFonts w:hint="default" w:ascii="Times New Roman" w:hAnsi="Times New Roman" w:eastAsia="宋体" w:cs="Times New Roman"/>
                      <w:color w:val="auto"/>
                      <w:sz w:val="21"/>
                      <w:szCs w:val="21"/>
                      <w:highlight w:val="none"/>
                      <w:vertAlign w:val="baseline"/>
                      <w:lang w:val="en-US" w:eastAsia="zh-CN"/>
                    </w:rPr>
                    <w:t>的相关规划，同时设备使用电能清洁能源；</w:t>
                  </w:r>
                </w:p>
                <w:p w14:paraId="2D62289F">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4、项目所在地位于乐昌市乐昌产业转移工业园GL-02-04-02-03地块，不涉及自然保护区、风景名胜区、饮用水源保护区、基本农田保护区和其他需要特别保护的区域内。</w:t>
                  </w:r>
                </w:p>
              </w:tc>
              <w:tc>
                <w:tcPr>
                  <w:tcW w:w="470" w:type="pct"/>
                  <w:noWrap w:val="0"/>
                  <w:vAlign w:val="center"/>
                </w:tcPr>
                <w:p w14:paraId="1489797B">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符合</w:t>
                  </w:r>
                </w:p>
              </w:tc>
            </w:tr>
            <w:tr w14:paraId="3900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1271F540">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生产经营规模</w:t>
                  </w:r>
                </w:p>
              </w:tc>
              <w:tc>
                <w:tcPr>
                  <w:tcW w:w="2241" w:type="pct"/>
                  <w:noWrap w:val="0"/>
                  <w:vAlign w:val="center"/>
                </w:tcPr>
                <w:p w14:paraId="1F693E50">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1、废塑料破碎、清洗、分选类企业：新建企业年废塑料处理能力不低于30000吨；已建企业年废塑料处理能力不低于20000吨；</w:t>
                  </w:r>
                </w:p>
                <w:p w14:paraId="48A262EE">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2、塑料再生造粒类企业：新建企业年废塑料处理能力不低于5000吨；已建企业年废塑料处理能力不低于3000吨；</w:t>
                  </w:r>
                </w:p>
                <w:p w14:paraId="6BBF54FF">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3、企业应具有与生产能力相匹配的厂区作业场地面积</w:t>
                  </w:r>
                </w:p>
              </w:tc>
              <w:tc>
                <w:tcPr>
                  <w:tcW w:w="1982" w:type="pct"/>
                  <w:noWrap w:val="0"/>
                  <w:vAlign w:val="center"/>
                </w:tcPr>
                <w:p w14:paraId="5DF84D14">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w:t>
                  </w:r>
                  <w:r>
                    <w:rPr>
                      <w:rFonts w:hint="default" w:ascii="Times New Roman" w:hAnsi="Times New Roman" w:eastAsia="宋体" w:cs="Times New Roman"/>
                      <w:color w:val="auto"/>
                      <w:sz w:val="21"/>
                      <w:szCs w:val="21"/>
                      <w:highlight w:val="none"/>
                      <w:vertAlign w:val="baseline"/>
                      <w:lang w:val="en-US" w:eastAsia="zh-CN"/>
                    </w:rPr>
                    <w:t>本项目属于塑料</w:t>
                  </w:r>
                  <w:r>
                    <w:rPr>
                      <w:rFonts w:hint="eastAsia" w:cs="Times New Roman"/>
                      <w:color w:val="auto"/>
                      <w:sz w:val="21"/>
                      <w:szCs w:val="21"/>
                      <w:highlight w:val="none"/>
                      <w:vertAlign w:val="baseline"/>
                      <w:lang w:val="en-US" w:eastAsia="zh-CN"/>
                    </w:rPr>
                    <w:t>分选</w:t>
                  </w:r>
                  <w:r>
                    <w:rPr>
                      <w:rFonts w:hint="default" w:ascii="Times New Roman" w:hAnsi="Times New Roman" w:eastAsia="宋体" w:cs="Times New Roman"/>
                      <w:color w:val="auto"/>
                      <w:sz w:val="21"/>
                      <w:szCs w:val="21"/>
                      <w:highlight w:val="none"/>
                      <w:vertAlign w:val="baseline"/>
                      <w:lang w:val="en-US" w:eastAsia="zh-CN"/>
                    </w:rPr>
                    <w:t>再生造粒，新建企业，年处理废旧塑料</w:t>
                  </w:r>
                  <w:r>
                    <w:rPr>
                      <w:rFonts w:hint="eastAsia" w:cs="Times New Roman"/>
                      <w:color w:val="auto"/>
                      <w:sz w:val="21"/>
                      <w:szCs w:val="21"/>
                      <w:highlight w:val="none"/>
                      <w:vertAlign w:val="baseline"/>
                      <w:lang w:val="en-US" w:eastAsia="zh-CN"/>
                    </w:rPr>
                    <w:t>1000</w:t>
                  </w:r>
                  <w:r>
                    <w:rPr>
                      <w:rFonts w:hint="eastAsia" w:eastAsia="宋体" w:cs="Times New Roman"/>
                      <w:color w:val="auto"/>
                      <w:sz w:val="21"/>
                      <w:szCs w:val="21"/>
                      <w:highlight w:val="none"/>
                      <w:vertAlign w:val="baseline"/>
                      <w:lang w:val="en-US" w:eastAsia="zh-CN"/>
                    </w:rPr>
                    <w:t>00</w:t>
                  </w:r>
                  <w:r>
                    <w:rPr>
                      <w:rFonts w:hint="default" w:ascii="Times New Roman" w:hAnsi="Times New Roman" w:eastAsia="宋体" w:cs="Times New Roman"/>
                      <w:color w:val="auto"/>
                      <w:sz w:val="21"/>
                      <w:szCs w:val="21"/>
                      <w:highlight w:val="none"/>
                      <w:vertAlign w:val="baseline"/>
                      <w:lang w:val="en-US" w:eastAsia="zh-CN"/>
                    </w:rPr>
                    <w:t>吨</w:t>
                  </w:r>
                  <w:r>
                    <w:rPr>
                      <w:rFonts w:hint="eastAsia" w:ascii="Times New Roman" w:hAnsi="Times New Roman" w:eastAsia="宋体" w:cs="Times New Roman"/>
                      <w:color w:val="auto"/>
                      <w:sz w:val="21"/>
                      <w:szCs w:val="21"/>
                      <w:highlight w:val="none"/>
                      <w:vertAlign w:val="baseline"/>
                      <w:lang w:val="en-US" w:eastAsia="zh-CN"/>
                    </w:rPr>
                    <w:t>，不低于30000吨</w:t>
                  </w:r>
                  <w:r>
                    <w:rPr>
                      <w:rFonts w:hint="default" w:ascii="Times New Roman" w:hAnsi="Times New Roman" w:eastAsia="宋体" w:cs="Times New Roman"/>
                      <w:color w:val="auto"/>
                      <w:sz w:val="21"/>
                      <w:szCs w:val="21"/>
                      <w:highlight w:val="none"/>
                      <w:vertAlign w:val="baseline"/>
                      <w:lang w:val="en-US" w:eastAsia="zh-CN"/>
                    </w:rPr>
                    <w:t>；</w:t>
                  </w:r>
                </w:p>
                <w:p w14:paraId="04653F7F">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w:t>
                  </w:r>
                  <w:r>
                    <w:rPr>
                      <w:rFonts w:hint="default" w:ascii="Times New Roman" w:hAnsi="Times New Roman" w:eastAsia="宋体" w:cs="Times New Roman"/>
                      <w:color w:val="auto"/>
                      <w:sz w:val="21"/>
                      <w:szCs w:val="21"/>
                      <w:highlight w:val="none"/>
                      <w:vertAlign w:val="baseline"/>
                      <w:lang w:val="en-US" w:eastAsia="zh-CN"/>
                    </w:rPr>
                    <w:t>本</w:t>
                  </w:r>
                  <w:r>
                    <w:rPr>
                      <w:rFonts w:hint="eastAsia" w:ascii="Times New Roman" w:hAnsi="Times New Roman" w:eastAsia="宋体" w:cs="Times New Roman"/>
                      <w:color w:val="auto"/>
                      <w:sz w:val="21"/>
                      <w:szCs w:val="21"/>
                      <w:highlight w:val="none"/>
                      <w:vertAlign w:val="baseline"/>
                      <w:lang w:val="en-US" w:eastAsia="zh-CN"/>
                    </w:rPr>
                    <w:t>项目为</w:t>
                  </w:r>
                  <w:r>
                    <w:rPr>
                      <w:rFonts w:hint="eastAsia" w:cs="Times New Roman"/>
                      <w:color w:val="auto"/>
                      <w:sz w:val="21"/>
                      <w:szCs w:val="21"/>
                      <w:highlight w:val="none"/>
                      <w:vertAlign w:val="baseline"/>
                      <w:lang w:val="en-US" w:eastAsia="zh-CN"/>
                    </w:rPr>
                    <w:t>新</w:t>
                  </w:r>
                  <w:r>
                    <w:rPr>
                      <w:rFonts w:hint="eastAsia" w:ascii="Times New Roman" w:hAnsi="Times New Roman" w:eastAsia="宋体" w:cs="Times New Roman"/>
                      <w:color w:val="auto"/>
                      <w:sz w:val="21"/>
                      <w:szCs w:val="21"/>
                      <w:highlight w:val="none"/>
                      <w:vertAlign w:val="baseline"/>
                      <w:lang w:val="en-US" w:eastAsia="zh-CN"/>
                    </w:rPr>
                    <w:t>建企业，年废塑料处理能力不低于5000吨；</w:t>
                  </w:r>
                </w:p>
                <w:p w14:paraId="058562A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3、本项目总</w:t>
                  </w:r>
                  <w:r>
                    <w:rPr>
                      <w:rFonts w:hint="default" w:ascii="Times New Roman" w:hAnsi="Times New Roman" w:eastAsia="宋体" w:cs="Times New Roman"/>
                      <w:color w:val="auto"/>
                      <w:sz w:val="21"/>
                      <w:szCs w:val="21"/>
                      <w:highlight w:val="none"/>
                      <w:vertAlign w:val="baseline"/>
                      <w:lang w:val="en-US" w:eastAsia="zh-CN"/>
                    </w:rPr>
                    <w:t>占地面积37346.12m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val="en-US" w:eastAsia="zh-CN"/>
                    </w:rPr>
                    <w:t>可满足生产需要。</w:t>
                  </w:r>
                </w:p>
              </w:tc>
              <w:tc>
                <w:tcPr>
                  <w:tcW w:w="470" w:type="pct"/>
                  <w:noWrap w:val="0"/>
                  <w:vAlign w:val="center"/>
                </w:tcPr>
                <w:p w14:paraId="39E39049">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r w14:paraId="31AF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617DA9ED">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资源综合利用及能耗</w:t>
                  </w:r>
                </w:p>
              </w:tc>
              <w:tc>
                <w:tcPr>
                  <w:tcW w:w="2241" w:type="pct"/>
                  <w:noWrap w:val="0"/>
                  <w:vAlign w:val="center"/>
                </w:tcPr>
                <w:p w14:paraId="352F7670">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1、企业应对收集的废塑料进行充分利用，提高资源回收利用效率，不得倾倒、焚烧与填埋；</w:t>
                  </w:r>
                </w:p>
                <w:p w14:paraId="5DD57BC4">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2、PET再生瓶片类企业与废塑料破碎、清洗、分选类企业的综合新水消耗低于1.5吨/吨废塑料。塑料再生造粒类企业的综合新水消耗低于0.2吨/吨废塑</w:t>
                  </w:r>
                </w:p>
              </w:tc>
              <w:tc>
                <w:tcPr>
                  <w:tcW w:w="1982" w:type="pct"/>
                  <w:noWrap w:val="0"/>
                  <w:vAlign w:val="center"/>
                </w:tcPr>
                <w:p w14:paraId="3EB6D751">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1、本项目对收集的废塑料进行充分利用，提高资源回收利用效率，不倾倒、焚烧与填埋；</w:t>
                  </w:r>
                </w:p>
                <w:p w14:paraId="7A185498">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2、本项目</w:t>
                  </w:r>
                  <w:r>
                    <w:rPr>
                      <w:rFonts w:hint="eastAsia" w:cs="Times New Roman"/>
                      <w:color w:val="auto"/>
                      <w:sz w:val="21"/>
                      <w:szCs w:val="21"/>
                      <w:highlight w:val="none"/>
                      <w:vertAlign w:val="baseline"/>
                      <w:lang w:val="en-US" w:eastAsia="zh-CN"/>
                    </w:rPr>
                    <w:t>塑料破碎清洗综合新水消耗约0.16吨/吨废塑料 ，</w:t>
                  </w:r>
                  <w:r>
                    <w:rPr>
                      <w:rFonts w:hint="default" w:ascii="Times New Roman" w:hAnsi="Times New Roman" w:eastAsia="宋体" w:cs="Times New Roman"/>
                      <w:color w:val="auto"/>
                      <w:sz w:val="21"/>
                      <w:szCs w:val="21"/>
                      <w:highlight w:val="none"/>
                      <w:vertAlign w:val="baseline"/>
                      <w:lang w:val="en-US" w:eastAsia="zh-CN"/>
                    </w:rPr>
                    <w:t>低于1.5吨/吨废塑料；塑料再生造粒工序新鲜水消耗</w:t>
                  </w:r>
                  <w:r>
                    <w:rPr>
                      <w:rFonts w:hint="eastAsia" w:ascii="Times New Roman" w:hAnsi="Times New Roman" w:eastAsia="宋体" w:cs="Times New Roman"/>
                      <w:color w:val="auto"/>
                      <w:sz w:val="21"/>
                      <w:szCs w:val="21"/>
                      <w:highlight w:val="none"/>
                      <w:vertAlign w:val="baseline"/>
                      <w:lang w:val="en-US" w:eastAsia="zh-CN"/>
                    </w:rPr>
                    <w:t>约</w:t>
                  </w:r>
                  <w:r>
                    <w:rPr>
                      <w:rFonts w:hint="default" w:ascii="Times New Roman" w:hAnsi="Times New Roman" w:eastAsia="宋体" w:cs="Times New Roman"/>
                      <w:color w:val="auto"/>
                      <w:sz w:val="21"/>
                      <w:szCs w:val="21"/>
                      <w:highlight w:val="none"/>
                      <w:vertAlign w:val="baseline"/>
                      <w:lang w:val="en-US" w:eastAsia="zh-CN"/>
                    </w:rPr>
                    <w:t>0.</w:t>
                  </w:r>
                  <w:r>
                    <w:rPr>
                      <w:rFonts w:hint="eastAsia" w:cs="Times New Roman"/>
                      <w:color w:val="auto"/>
                      <w:sz w:val="21"/>
                      <w:szCs w:val="21"/>
                      <w:highlight w:val="none"/>
                      <w:vertAlign w:val="baseline"/>
                      <w:lang w:val="en-US" w:eastAsia="zh-CN"/>
                    </w:rPr>
                    <w:t>197</w:t>
                  </w:r>
                  <w:r>
                    <w:rPr>
                      <w:rFonts w:hint="default" w:ascii="Times New Roman" w:hAnsi="Times New Roman" w:eastAsia="宋体" w:cs="Times New Roman"/>
                      <w:color w:val="auto"/>
                      <w:sz w:val="21"/>
                      <w:szCs w:val="21"/>
                      <w:highlight w:val="none"/>
                      <w:vertAlign w:val="baseline"/>
                      <w:lang w:val="en-US" w:eastAsia="zh-CN"/>
                    </w:rPr>
                    <w:t>吨/废塑料</w:t>
                  </w:r>
                  <w:r>
                    <w:rPr>
                      <w:rFonts w:hint="eastAsia" w:ascii="Times New Roman" w:hAnsi="Times New Roman" w:eastAsia="宋体" w:cs="Times New Roman"/>
                      <w:color w:val="auto"/>
                      <w:sz w:val="21"/>
                      <w:szCs w:val="21"/>
                      <w:highlight w:val="none"/>
                      <w:vertAlign w:val="baseline"/>
                      <w:lang w:val="en-US" w:eastAsia="zh-CN"/>
                    </w:rPr>
                    <w:t>，低于0.2吨/废塑料</w:t>
                  </w:r>
                  <w:r>
                    <w:rPr>
                      <w:rFonts w:hint="default" w:ascii="Times New Roman" w:hAnsi="Times New Roman" w:eastAsia="宋体" w:cs="Times New Roman"/>
                      <w:color w:val="auto"/>
                      <w:sz w:val="21"/>
                      <w:szCs w:val="21"/>
                      <w:highlight w:val="none"/>
                      <w:vertAlign w:val="baseline"/>
                      <w:lang w:val="en-US" w:eastAsia="zh-CN"/>
                    </w:rPr>
                    <w:t>。</w:t>
                  </w:r>
                </w:p>
              </w:tc>
              <w:tc>
                <w:tcPr>
                  <w:tcW w:w="470" w:type="pct"/>
                  <w:noWrap w:val="0"/>
                  <w:vAlign w:val="center"/>
                </w:tcPr>
                <w:p w14:paraId="3328ABF5">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r w14:paraId="0CE3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304EB956">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工艺与装备</w:t>
                  </w:r>
                </w:p>
              </w:tc>
              <w:tc>
                <w:tcPr>
                  <w:tcW w:w="2241" w:type="pct"/>
                  <w:noWrap w:val="0"/>
                  <w:vAlign w:val="center"/>
                </w:tcPr>
                <w:p w14:paraId="7F285DDB">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废塑料破碎、清洗、分选类企业。应采用自动化处理设备和设施。其中，破碎工序应采用具有减振与降噪功能的密闭破碎设备；清洗工序应实现自动控制和清洗液活环利用，降低耗水量与耗药量；应使用低发泡、低残留、易处理的清洗药剂；分选工序鼓励采用自动化分选设备</w:t>
                  </w:r>
                </w:p>
                <w:p w14:paraId="4754166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塑料再生造粒类企业。应具有与加工利用能力相适应的预处理设备和造粒设备。其中，造粒设备应具有强制排气系统，通过集气装置实现废气的集中处理：过滤装置的废弃过滤网应按照环境保护有关规定处理，禁止露天焚烧</w:t>
                  </w:r>
                  <w:r>
                    <w:rPr>
                      <w:rFonts w:hint="eastAsia" w:ascii="Times New Roman" w:hAnsi="Times New Roman" w:eastAsia="宋体" w:cs="Times New Roman"/>
                      <w:color w:val="auto"/>
                      <w:sz w:val="21"/>
                      <w:szCs w:val="21"/>
                      <w:highlight w:val="none"/>
                      <w:vertAlign w:val="baseline"/>
                      <w:lang w:val="en-US" w:eastAsia="zh-CN"/>
                    </w:rPr>
                    <w:t>。</w:t>
                  </w:r>
                </w:p>
              </w:tc>
              <w:tc>
                <w:tcPr>
                  <w:tcW w:w="1982" w:type="pct"/>
                  <w:noWrap w:val="0"/>
                  <w:vAlign w:val="center"/>
                </w:tcPr>
                <w:p w14:paraId="3766D312">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r>
                    <w:rPr>
                      <w:rFonts w:hint="eastAsia" w:ascii="Times New Roman" w:hAnsi="Times New Roman" w:eastAsia="宋体" w:cs="Times New Roman"/>
                      <w:color w:val="auto"/>
                      <w:sz w:val="21"/>
                      <w:szCs w:val="21"/>
                      <w:highlight w:val="none"/>
                      <w:vertAlign w:val="baseline"/>
                      <w:lang w:val="en-US" w:eastAsia="zh-CN"/>
                    </w:rPr>
                    <w:t>本项目</w:t>
                  </w:r>
                  <w:r>
                    <w:rPr>
                      <w:rFonts w:hint="default" w:ascii="Times New Roman" w:hAnsi="Times New Roman" w:eastAsia="宋体" w:cs="Times New Roman"/>
                      <w:color w:val="auto"/>
                      <w:sz w:val="21"/>
                      <w:szCs w:val="21"/>
                      <w:highlight w:val="none"/>
                      <w:vertAlign w:val="baseline"/>
                      <w:lang w:val="en-US" w:eastAsia="zh-CN"/>
                    </w:rPr>
                    <w:t>采用自动化处理设备和设施。破碎工序采用具有减振与降噪功能的密闭破碎设备；</w:t>
                  </w:r>
                  <w:r>
                    <w:rPr>
                      <w:rFonts w:hint="default" w:ascii="Times New Roman" w:hAnsi="Times New Roman" w:eastAsia="宋体" w:cs="Times New Roman"/>
                      <w:color w:val="auto"/>
                      <w:sz w:val="21"/>
                      <w:szCs w:val="21"/>
                      <w:highlight w:val="none"/>
                      <w:lang w:val="en-US" w:eastAsia="zh-CN"/>
                    </w:rPr>
                    <w:t>产生的生产废水循环使用</w:t>
                  </w:r>
                  <w:r>
                    <w:rPr>
                      <w:rFonts w:hint="default" w:ascii="Times New Roman" w:hAnsi="Times New Roman" w:eastAsia="宋体" w:cs="Times New Roman"/>
                      <w:color w:val="auto"/>
                      <w:sz w:val="21"/>
                      <w:szCs w:val="21"/>
                      <w:highlight w:val="none"/>
                      <w:vertAlign w:val="baseline"/>
                      <w:lang w:val="en-US" w:eastAsia="zh-CN"/>
                    </w:rPr>
                    <w:t>，降低耗水量；</w:t>
                  </w:r>
                </w:p>
                <w:p w14:paraId="3AE5A663">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2、本项目</w:t>
                  </w:r>
                  <w:r>
                    <w:rPr>
                      <w:rFonts w:hint="eastAsia" w:cs="Times New Roman"/>
                      <w:color w:val="auto"/>
                      <w:sz w:val="21"/>
                      <w:szCs w:val="21"/>
                      <w:highlight w:val="none"/>
                      <w:vertAlign w:val="baseline"/>
                      <w:lang w:val="en-US" w:eastAsia="zh-CN"/>
                    </w:rPr>
                    <w:t>购置</w:t>
                  </w:r>
                  <w:r>
                    <w:rPr>
                      <w:rFonts w:hint="default" w:ascii="Times New Roman" w:hAnsi="Times New Roman" w:eastAsia="宋体" w:cs="Times New Roman"/>
                      <w:color w:val="auto"/>
                      <w:sz w:val="21"/>
                      <w:szCs w:val="21"/>
                      <w:highlight w:val="none"/>
                      <w:vertAlign w:val="baseline"/>
                      <w:lang w:val="en-US" w:eastAsia="zh-CN"/>
                    </w:rPr>
                    <w:t>锤破机、破碎机、输送洗料设备、材质机、光谱机、静电分选设备、精选分色机、拌料系统、抽粒挤出机等设备；</w:t>
                  </w:r>
                  <w:r>
                    <w:rPr>
                      <w:rFonts w:hint="eastAsia" w:cs="Times New Roman"/>
                      <w:color w:val="auto"/>
                      <w:sz w:val="21"/>
                      <w:szCs w:val="21"/>
                      <w:highlight w:val="none"/>
                      <w:vertAlign w:val="baseline"/>
                      <w:lang w:val="en-US" w:eastAsia="zh-CN"/>
                    </w:rPr>
                    <w:t>塑料破碎粉尘经布袋除尘器处理后由15m排气筒DA001高空排放；</w:t>
                  </w:r>
                  <w:r>
                    <w:rPr>
                      <w:rFonts w:hint="default" w:ascii="Times New Roman" w:hAnsi="Times New Roman" w:eastAsia="宋体" w:cs="Times New Roman"/>
                      <w:color w:val="auto"/>
                      <w:sz w:val="21"/>
                      <w:szCs w:val="21"/>
                      <w:highlight w:val="none"/>
                      <w:lang w:val="en-US" w:eastAsia="zh-CN"/>
                    </w:rPr>
                    <w:t>塑料颗粒生产线熔融造粒过程</w:t>
                  </w:r>
                  <w:r>
                    <w:rPr>
                      <w:rFonts w:ascii="Times New Roman" w:hAnsi="Times New Roman"/>
                      <w:color w:val="auto"/>
                      <w:sz w:val="21"/>
                      <w:szCs w:val="21"/>
                      <w:highlight w:val="none"/>
                    </w:rPr>
                    <w:t>产生的大气污染物</w:t>
                  </w:r>
                  <w:r>
                    <w:rPr>
                      <w:rFonts w:hint="default" w:ascii="Times New Roman" w:hAnsi="Times New Roman"/>
                      <w:color w:val="auto"/>
                      <w:sz w:val="21"/>
                      <w:szCs w:val="21"/>
                      <w:highlight w:val="none"/>
                      <w:lang w:val="en-US" w:eastAsia="zh-CN"/>
                    </w:rPr>
                    <w:t>经集气罩收集后通过引风机和集气管道引至</w:t>
                  </w:r>
                  <w:r>
                    <w:rPr>
                      <w:rFonts w:hint="eastAsia"/>
                      <w:color w:val="auto"/>
                      <w:sz w:val="21"/>
                      <w:szCs w:val="21"/>
                      <w:highlight w:val="none"/>
                      <w:lang w:val="en-US" w:eastAsia="zh-CN"/>
                    </w:rPr>
                    <w:t>电捕焦油+气旋混动喷淋+干式过滤+活性炭吸附脱附+催化燃烧+活性炭吸附</w:t>
                  </w:r>
                  <w:r>
                    <w:rPr>
                      <w:rFonts w:hint="default" w:ascii="Times New Roman" w:hAnsi="Times New Roman"/>
                      <w:color w:val="auto"/>
                      <w:sz w:val="21"/>
                      <w:szCs w:val="21"/>
                      <w:highlight w:val="none"/>
                      <w:lang w:val="en-US" w:eastAsia="zh-CN"/>
                    </w:rPr>
                    <w:t>处理后经</w:t>
                  </w:r>
                  <w:r>
                    <w:rPr>
                      <w:rFonts w:hint="eastAsia"/>
                      <w:color w:val="auto"/>
                      <w:sz w:val="21"/>
                      <w:szCs w:val="21"/>
                      <w:highlight w:val="none"/>
                      <w:lang w:val="en-US" w:eastAsia="zh-CN"/>
                    </w:rPr>
                    <w:t>15m</w:t>
                  </w:r>
                  <w:r>
                    <w:rPr>
                      <w:rFonts w:hint="default" w:ascii="Times New Roman" w:hAnsi="Times New Roman"/>
                      <w:color w:val="auto"/>
                      <w:sz w:val="21"/>
                      <w:szCs w:val="21"/>
                      <w:highlight w:val="none"/>
                      <w:lang w:val="en-US" w:eastAsia="zh-CN"/>
                    </w:rPr>
                    <w:t>高排气筒DA00</w:t>
                  </w:r>
                  <w:r>
                    <w:rPr>
                      <w:rFonts w:hint="eastAsia"/>
                      <w:color w:val="auto"/>
                      <w:sz w:val="21"/>
                      <w:szCs w:val="21"/>
                      <w:highlight w:val="none"/>
                      <w:lang w:val="en-US" w:eastAsia="zh-CN"/>
                    </w:rPr>
                    <w:t>2</w:t>
                  </w:r>
                  <w:r>
                    <w:rPr>
                      <w:rFonts w:hint="default" w:ascii="Times New Roman" w:hAnsi="Times New Roman"/>
                      <w:color w:val="auto"/>
                      <w:sz w:val="21"/>
                      <w:szCs w:val="21"/>
                      <w:highlight w:val="none"/>
                      <w:lang w:val="en-US" w:eastAsia="zh-CN"/>
                    </w:rPr>
                    <w:t>排放</w:t>
                  </w:r>
                  <w:r>
                    <w:rPr>
                      <w:rFonts w:hint="default" w:ascii="Times New Roman" w:hAnsi="Times New Roman" w:eastAsia="宋体" w:cs="Times New Roman"/>
                      <w:color w:val="auto"/>
                      <w:sz w:val="21"/>
                      <w:szCs w:val="21"/>
                      <w:highlight w:val="none"/>
                      <w:vertAlign w:val="baseline"/>
                      <w:lang w:val="en-US" w:eastAsia="zh-CN"/>
                    </w:rPr>
                    <w:t>；本项目使用的双螺旋挤出造粒机为无丝网过滤式，无废弃过滤网片产生。</w:t>
                  </w:r>
                </w:p>
              </w:tc>
              <w:tc>
                <w:tcPr>
                  <w:tcW w:w="470" w:type="pct"/>
                  <w:noWrap w:val="0"/>
                  <w:vAlign w:val="center"/>
                </w:tcPr>
                <w:p w14:paraId="502FB4DA">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r w14:paraId="6E3E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3C08775E">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环境保护</w:t>
                  </w:r>
                </w:p>
              </w:tc>
              <w:tc>
                <w:tcPr>
                  <w:tcW w:w="2241" w:type="pct"/>
                  <w:noWrap w:val="0"/>
                  <w:vAlign w:val="center"/>
                </w:tcPr>
                <w:p w14:paraId="623C66FA">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塑料综合利用企业应严格执行《中华人民共和国环境影响评价法》，按照环境保护主管部门的相关规定报批环境影响评价文件。按照环境保护“三同时”的要求建设配套的环境保护设施，编制环境风险应急预案，并依法申请项目竣工环境保护验收</w:t>
                  </w:r>
                  <w:r>
                    <w:rPr>
                      <w:rFonts w:hint="eastAsia" w:ascii="Times New Roman" w:hAnsi="Times New Roman" w:eastAsia="宋体" w:cs="Times New Roman"/>
                      <w:color w:val="auto"/>
                      <w:sz w:val="21"/>
                      <w:szCs w:val="21"/>
                      <w:highlight w:val="none"/>
                      <w:vertAlign w:val="baseline"/>
                      <w:lang w:val="en-US" w:eastAsia="zh-CN"/>
                    </w:rPr>
                    <w:t>；</w:t>
                  </w:r>
                </w:p>
                <w:p w14:paraId="2228F356">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企业加工存储场地应建有围墙，在园区内的企业可为单独厂房，地面全部硬化且无明显破损现象；</w:t>
                  </w:r>
                </w:p>
                <w:p w14:paraId="061A2D81">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必须配备废塑料分类存放场所。原料、产品本企业不能利用废塑料及不可利用废物贮存在具有防雨、防风、防渗等功能的厂房或加盖雨棚的专门贮存场地内，无露天堆放现象；企业厂区管网建设应达到“雨污分流”要求；</w:t>
                  </w:r>
                </w:p>
                <w:p w14:paraId="7A45E95B">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企业对收集的废塑料中的金属、橡胶、纤维、渣土、油脂、添加物等夹杂物，应采取相应的处理措施。如企业不具备处理条件，应委托其他具有处理能力的企业处理，不得擅自丢弃、倾倒、焚烧与填埋</w:t>
                  </w:r>
                  <w:r>
                    <w:rPr>
                      <w:rFonts w:hint="eastAsia" w:ascii="Times New Roman" w:hAnsi="Times New Roman" w:eastAsia="宋体" w:cs="Times New Roman"/>
                      <w:color w:val="auto"/>
                      <w:sz w:val="21"/>
                      <w:szCs w:val="21"/>
                      <w:highlight w:val="none"/>
                      <w:vertAlign w:val="baseline"/>
                      <w:lang w:val="en-US" w:eastAsia="zh-CN"/>
                    </w:rPr>
                    <w:t>；</w:t>
                  </w:r>
                </w:p>
                <w:p w14:paraId="02D1EC5B">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企业应具有与加工利用能力相适应的废水处理设施，水回用率必须符合环评文件的有关要求废水处理后需要外排的废水，必须经处理后达标排放；</w:t>
                  </w:r>
                </w:p>
                <w:p w14:paraId="23621B51">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企业应采用高效节能环保的污泥处理工艺或交由具有处理资格的废物处理机构，实现污泥无害化处理。除具有获批建设、验收合格的专业盐卤废水处理设施，禁止使用盐卤分选工艺；</w:t>
                  </w:r>
                </w:p>
                <w:p w14:paraId="49788C7E">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再生加工过程中产生废气，粉尘的加工车间应设置废气、粉尘收集处理设施，通过净化处理，达标后排放；</w:t>
                  </w:r>
                </w:p>
                <w:p w14:paraId="153C7D1C">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对于加工过程中噪音污染大的设备，必须采取降噪和隔音措施，企业嗓声应达到《工业企业厂界环境噪声排放标准》</w:t>
                  </w:r>
                </w:p>
                <w:p w14:paraId="1E8B0CE2">
                  <w:pPr>
                    <w:pStyle w:val="29"/>
                    <w:numPr>
                      <w:ilvl w:val="0"/>
                      <w:numId w:val="10"/>
                    </w:numPr>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废塑料预处理、再生过程产生的固废应按工业固废处理，并执行相关环保标准。</w:t>
                  </w:r>
                </w:p>
              </w:tc>
              <w:tc>
                <w:tcPr>
                  <w:tcW w:w="1982" w:type="pct"/>
                  <w:noWrap w:val="0"/>
                  <w:vAlign w:val="center"/>
                </w:tcPr>
                <w:p w14:paraId="116716AE">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r>
                    <w:rPr>
                      <w:rFonts w:hint="eastAsia" w:ascii="Times New Roman" w:hAnsi="Times New Roman" w:eastAsia="宋体" w:cs="Times New Roman"/>
                      <w:color w:val="auto"/>
                      <w:sz w:val="21"/>
                      <w:szCs w:val="21"/>
                      <w:highlight w:val="none"/>
                      <w:vertAlign w:val="baseline"/>
                      <w:lang w:val="en-US" w:eastAsia="zh-CN"/>
                    </w:rPr>
                    <w:t>本项目目前正在办理环境影响评价文件，项目将</w:t>
                  </w:r>
                  <w:r>
                    <w:rPr>
                      <w:rFonts w:hint="default" w:ascii="Times New Roman" w:hAnsi="Times New Roman" w:eastAsia="宋体" w:cs="Times New Roman"/>
                      <w:color w:val="auto"/>
                      <w:sz w:val="21"/>
                      <w:szCs w:val="21"/>
                      <w:highlight w:val="none"/>
                      <w:vertAlign w:val="baseline"/>
                      <w:lang w:val="en-US" w:eastAsia="zh-CN"/>
                    </w:rPr>
                    <w:t>严格执行《中华人民共和国环境影响评价法》，按照环境保护主管部门的相关规定报批环境影响评价文件。按照环境保护“三同时”的要求建设配套的环境保护设施，编制环境风险应急预案，并依法申请项目竣工环境保护验收</w:t>
                  </w:r>
                  <w:r>
                    <w:rPr>
                      <w:rFonts w:hint="eastAsia" w:ascii="Times New Roman" w:hAnsi="Times New Roman" w:eastAsia="宋体" w:cs="Times New Roman"/>
                      <w:color w:val="auto"/>
                      <w:sz w:val="21"/>
                      <w:szCs w:val="21"/>
                      <w:highlight w:val="none"/>
                      <w:vertAlign w:val="baseline"/>
                      <w:lang w:val="en-US" w:eastAsia="zh-CN"/>
                    </w:rPr>
                    <w:t>；</w:t>
                  </w:r>
                </w:p>
                <w:p w14:paraId="0ED52C21">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w:t>
                  </w:r>
                  <w:r>
                    <w:rPr>
                      <w:rFonts w:hint="default" w:ascii="Times New Roman" w:hAnsi="Times New Roman" w:eastAsia="宋体" w:cs="Times New Roman"/>
                      <w:color w:val="auto"/>
                      <w:sz w:val="21"/>
                      <w:szCs w:val="21"/>
                      <w:highlight w:val="none"/>
                      <w:vertAlign w:val="baseline"/>
                      <w:lang w:val="en-US" w:eastAsia="zh-CN"/>
                    </w:rPr>
                    <w:t>本项目拟建</w:t>
                  </w:r>
                  <w:r>
                    <w:rPr>
                      <w:rFonts w:hint="eastAsia" w:ascii="Times New Roman" w:hAnsi="Times New Roman" w:eastAsia="宋体" w:cs="Times New Roman"/>
                      <w:color w:val="auto"/>
                      <w:sz w:val="21"/>
                      <w:szCs w:val="21"/>
                      <w:highlight w:val="none"/>
                      <w:vertAlign w:val="baseline"/>
                      <w:lang w:val="en-US" w:eastAsia="zh-CN"/>
                    </w:rPr>
                    <w:t>生产</w:t>
                  </w:r>
                  <w:r>
                    <w:rPr>
                      <w:rFonts w:hint="default" w:ascii="Times New Roman" w:hAnsi="Times New Roman" w:eastAsia="宋体" w:cs="Times New Roman"/>
                      <w:color w:val="auto"/>
                      <w:sz w:val="21"/>
                      <w:szCs w:val="21"/>
                      <w:highlight w:val="none"/>
                      <w:vertAlign w:val="baseline"/>
                      <w:lang w:val="en-US" w:eastAsia="zh-CN"/>
                    </w:rPr>
                    <w:t>加工区，</w:t>
                  </w:r>
                  <w:r>
                    <w:rPr>
                      <w:rFonts w:hint="eastAsia" w:ascii="Times New Roman" w:hAnsi="Times New Roman" w:eastAsia="宋体" w:cs="Times New Roman"/>
                      <w:color w:val="auto"/>
                      <w:sz w:val="21"/>
                      <w:szCs w:val="21"/>
                      <w:highlight w:val="none"/>
                      <w:vertAlign w:val="baseline"/>
                      <w:lang w:val="en-US" w:eastAsia="zh-CN"/>
                    </w:rPr>
                    <w:t>为单独厂房，</w:t>
                  </w:r>
                  <w:r>
                    <w:rPr>
                      <w:rFonts w:hint="default" w:ascii="Times New Roman" w:hAnsi="Times New Roman" w:eastAsia="宋体" w:cs="Times New Roman"/>
                      <w:color w:val="auto"/>
                      <w:sz w:val="21"/>
                      <w:szCs w:val="21"/>
                      <w:highlight w:val="none"/>
                      <w:vertAlign w:val="baseline"/>
                      <w:lang w:val="en-US" w:eastAsia="zh-CN"/>
                    </w:rPr>
                    <w:t>地面全部硬化且无明显破损现象；</w:t>
                  </w:r>
                </w:p>
                <w:p w14:paraId="7D03E92F">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w:t>
                  </w:r>
                  <w:r>
                    <w:rPr>
                      <w:rFonts w:hint="default"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eastAsia="宋体" w:cs="Times New Roman"/>
                      <w:color w:val="auto"/>
                      <w:sz w:val="21"/>
                      <w:szCs w:val="21"/>
                      <w:highlight w:val="none"/>
                      <w:vertAlign w:val="baseline"/>
                      <w:lang w:val="en-US" w:eastAsia="zh-CN"/>
                    </w:rPr>
                    <w:t>本项目设置原料堆场和成品堆场，</w:t>
                  </w:r>
                  <w:r>
                    <w:rPr>
                      <w:rFonts w:hint="default" w:ascii="Times New Roman" w:hAnsi="Times New Roman" w:eastAsia="宋体" w:cs="Times New Roman"/>
                      <w:color w:val="auto"/>
                      <w:sz w:val="21"/>
                      <w:szCs w:val="21"/>
                      <w:highlight w:val="none"/>
                      <w:vertAlign w:val="baseline"/>
                      <w:lang w:val="en-US" w:eastAsia="zh-CN"/>
                    </w:rPr>
                    <w:t>原料、产品分开</w:t>
                  </w:r>
                  <w:r>
                    <w:rPr>
                      <w:rFonts w:hint="eastAsia" w:ascii="Times New Roman" w:hAnsi="Times New Roman" w:eastAsia="宋体" w:cs="Times New Roman"/>
                      <w:color w:val="auto"/>
                      <w:sz w:val="21"/>
                      <w:szCs w:val="21"/>
                      <w:highlight w:val="none"/>
                      <w:vertAlign w:val="baseline"/>
                      <w:lang w:val="en-US" w:eastAsia="zh-CN"/>
                    </w:rPr>
                    <w:t>堆场</w:t>
                  </w:r>
                  <w:r>
                    <w:rPr>
                      <w:rFonts w:hint="default" w:ascii="Times New Roman" w:hAnsi="Times New Roman" w:eastAsia="宋体" w:cs="Times New Roman"/>
                      <w:color w:val="auto"/>
                      <w:sz w:val="21"/>
                      <w:szCs w:val="21"/>
                      <w:highlight w:val="none"/>
                      <w:vertAlign w:val="baseline"/>
                      <w:lang w:val="en-US" w:eastAsia="zh-CN"/>
                    </w:rPr>
                    <w:t>，堆放场所均在厂房内，</w:t>
                  </w:r>
                  <w:r>
                    <w:rPr>
                      <w:rFonts w:hint="eastAsia" w:ascii="Times New Roman" w:hAnsi="Times New Roman" w:eastAsia="宋体" w:cs="Times New Roman"/>
                      <w:color w:val="auto"/>
                      <w:sz w:val="21"/>
                      <w:szCs w:val="21"/>
                      <w:highlight w:val="none"/>
                      <w:vertAlign w:val="baseline"/>
                      <w:lang w:val="en-US" w:eastAsia="zh-CN"/>
                    </w:rPr>
                    <w:t>原料堆场和成品堆场</w:t>
                  </w:r>
                  <w:r>
                    <w:rPr>
                      <w:rFonts w:hint="default" w:ascii="Times New Roman" w:hAnsi="Times New Roman" w:eastAsia="宋体" w:cs="Times New Roman"/>
                      <w:color w:val="auto"/>
                      <w:sz w:val="21"/>
                      <w:szCs w:val="21"/>
                      <w:highlight w:val="none"/>
                      <w:vertAlign w:val="baseline"/>
                      <w:lang w:val="en-US" w:eastAsia="zh-CN"/>
                    </w:rPr>
                    <w:t>具有防雨、防风、防渗等功能</w:t>
                  </w:r>
                  <w:r>
                    <w:rPr>
                      <w:rFonts w:hint="eastAsia" w:ascii="Times New Roman" w:hAnsi="Times New Roman" w:eastAsia="宋体" w:cs="Times New Roman"/>
                      <w:color w:val="auto"/>
                      <w:sz w:val="21"/>
                      <w:szCs w:val="21"/>
                      <w:highlight w:val="none"/>
                      <w:vertAlign w:val="baseline"/>
                      <w:lang w:val="en-US" w:eastAsia="zh-CN"/>
                    </w:rPr>
                    <w:t>，无露天堆放现象；本项目厂区实行雨污分流；</w:t>
                  </w:r>
                </w:p>
                <w:p w14:paraId="5CC9B292">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w:t>
                  </w:r>
                  <w:r>
                    <w:rPr>
                      <w:rFonts w:hint="default"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eastAsia="宋体" w:cs="Times New Roman"/>
                      <w:color w:val="auto"/>
                      <w:sz w:val="21"/>
                      <w:szCs w:val="21"/>
                      <w:highlight w:val="none"/>
                      <w:vertAlign w:val="baseline"/>
                      <w:lang w:val="en-US" w:eastAsia="zh-CN"/>
                    </w:rPr>
                    <w:t>本项目</w:t>
                  </w:r>
                  <w:r>
                    <w:rPr>
                      <w:rFonts w:hint="eastAsia" w:cs="Times New Roman"/>
                      <w:color w:val="auto"/>
                      <w:sz w:val="21"/>
                      <w:szCs w:val="21"/>
                      <w:highlight w:val="none"/>
                      <w:vertAlign w:val="baseline"/>
                      <w:lang w:val="en-US" w:eastAsia="zh-CN"/>
                    </w:rPr>
                    <w:t>外购已经预处理的废塑料毛料，</w:t>
                  </w:r>
                  <w:r>
                    <w:rPr>
                      <w:rFonts w:hint="eastAsia" w:ascii="Times New Roman" w:hAnsi="Times New Roman" w:eastAsia="宋体" w:cs="Times New Roman"/>
                      <w:color w:val="auto"/>
                      <w:sz w:val="21"/>
                      <w:szCs w:val="21"/>
                      <w:highlight w:val="none"/>
                      <w:vertAlign w:val="baseline"/>
                      <w:lang w:val="en-US" w:eastAsia="zh-CN"/>
                    </w:rPr>
                    <w:t>不含</w:t>
                  </w:r>
                  <w:r>
                    <w:rPr>
                      <w:rFonts w:hint="default" w:ascii="Times New Roman" w:hAnsi="Times New Roman" w:eastAsia="宋体" w:cs="Times New Roman"/>
                      <w:color w:val="auto"/>
                      <w:sz w:val="21"/>
                      <w:szCs w:val="21"/>
                      <w:highlight w:val="none"/>
                      <w:vertAlign w:val="baseline"/>
                      <w:lang w:val="en-US" w:eastAsia="zh-CN"/>
                    </w:rPr>
                    <w:t>金属、纤维、渣土、油脂、添加物等夹杂物</w:t>
                  </w:r>
                  <w:r>
                    <w:rPr>
                      <w:rFonts w:hint="eastAsia" w:ascii="Times New Roman" w:hAnsi="Times New Roman" w:eastAsia="宋体" w:cs="Times New Roman"/>
                      <w:color w:val="auto"/>
                      <w:sz w:val="21"/>
                      <w:szCs w:val="21"/>
                      <w:highlight w:val="none"/>
                      <w:vertAlign w:val="baseline"/>
                      <w:lang w:val="en-US" w:eastAsia="zh-CN"/>
                    </w:rPr>
                    <w:t>，</w:t>
                  </w:r>
                  <w:r>
                    <w:rPr>
                      <w:rFonts w:hint="eastAsia" w:cs="Times New Roman"/>
                      <w:color w:val="auto"/>
                      <w:sz w:val="21"/>
                      <w:szCs w:val="21"/>
                      <w:highlight w:val="none"/>
                      <w:vertAlign w:val="baseline"/>
                      <w:lang w:val="en-US" w:eastAsia="zh-CN"/>
                    </w:rPr>
                    <w:t>其中所含有的废木屑杂物和</w:t>
                  </w:r>
                  <w:r>
                    <w:rPr>
                      <w:rFonts w:hint="default" w:ascii="Times New Roman" w:hAnsi="Times New Roman" w:eastAsia="宋体" w:cs="Times New Roman"/>
                      <w:color w:val="auto"/>
                      <w:sz w:val="21"/>
                      <w:szCs w:val="21"/>
                      <w:highlight w:val="none"/>
                      <w:vertAlign w:val="baseline"/>
                      <w:lang w:val="en-US" w:eastAsia="zh-CN"/>
                    </w:rPr>
                    <w:t>橡胶</w:t>
                  </w:r>
                  <w:r>
                    <w:rPr>
                      <w:rFonts w:hint="eastAsia" w:ascii="Times New Roman" w:hAnsi="Times New Roman" w:cs="Times New Roman"/>
                      <w:color w:val="auto"/>
                      <w:sz w:val="21"/>
                      <w:szCs w:val="21"/>
                      <w:highlight w:val="none"/>
                      <w:vertAlign w:val="baseline"/>
                      <w:lang w:val="en-US" w:eastAsia="zh-CN"/>
                    </w:rPr>
                    <w:t>经收集后交由专业单位处置，</w:t>
                  </w:r>
                  <w:r>
                    <w:rPr>
                      <w:rFonts w:hint="eastAsia" w:ascii="Times New Roman" w:hAnsi="Times New Roman" w:eastAsia="宋体" w:cs="Times New Roman"/>
                      <w:color w:val="auto"/>
                      <w:sz w:val="21"/>
                      <w:szCs w:val="21"/>
                      <w:highlight w:val="none"/>
                      <w:vertAlign w:val="baseline"/>
                      <w:lang w:val="en-US" w:eastAsia="zh-CN"/>
                    </w:rPr>
                    <w:t>企业不擅自丢弃、倾倒、焚烧与填埋；</w:t>
                  </w:r>
                </w:p>
                <w:p w14:paraId="4DED80AC">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w:t>
                  </w:r>
                  <w:r>
                    <w:rPr>
                      <w:rFonts w:hint="default" w:ascii="Times New Roman" w:hAnsi="Times New Roman" w:eastAsia="宋体" w:cs="Times New Roman"/>
                      <w:color w:val="auto"/>
                      <w:sz w:val="21"/>
                      <w:szCs w:val="21"/>
                      <w:highlight w:val="none"/>
                      <w:vertAlign w:val="baseline"/>
                      <w:lang w:val="en-US" w:eastAsia="zh-CN"/>
                    </w:rPr>
                    <w:t>项目冷却水循环使用，定期补充新鲜水；</w:t>
                  </w:r>
                  <w:r>
                    <w:rPr>
                      <w:rFonts w:hint="eastAsia" w:cs="Times New Roman"/>
                      <w:color w:val="auto"/>
                      <w:sz w:val="21"/>
                      <w:szCs w:val="21"/>
                      <w:highlight w:val="none"/>
                      <w:vertAlign w:val="baseline"/>
                      <w:lang w:val="en-US" w:eastAsia="zh-CN"/>
                    </w:rPr>
                    <w:t>外排废水经处理达园区污水处理厂接管水质要求、广东省《水污染物排放限值》（DB44/26-2001）第二时段三级标准两者较严值要求后排入园区污水处理厂进一步处理，最后排放至武江。</w:t>
                  </w:r>
                </w:p>
                <w:p w14:paraId="6ABE2E6B">
                  <w:pPr>
                    <w:pStyle w:val="29"/>
                    <w:numPr>
                      <w:ilvl w:val="0"/>
                      <w:numId w:val="0"/>
                    </w:numPr>
                    <w:spacing w:line="240" w:lineRule="auto"/>
                    <w:ind w:leftChars="0"/>
                    <w:rPr>
                      <w:rFonts w:hint="eastAsia"/>
                      <w:color w:val="auto"/>
                      <w:sz w:val="21"/>
                      <w:szCs w:val="21"/>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6</w:t>
                  </w:r>
                  <w:r>
                    <w:rPr>
                      <w:rFonts w:hint="default" w:ascii="Times New Roman" w:hAnsi="Times New Roman" w:eastAsia="宋体" w:cs="Times New Roman"/>
                      <w:color w:val="auto"/>
                      <w:sz w:val="21"/>
                      <w:szCs w:val="21"/>
                      <w:highlight w:val="none"/>
                      <w:vertAlign w:val="baseline"/>
                      <w:lang w:val="en-US" w:eastAsia="zh-CN"/>
                    </w:rPr>
                    <w:t>、</w:t>
                  </w:r>
                  <w:r>
                    <w:rPr>
                      <w:rFonts w:hint="eastAsia" w:cs="Times New Roman"/>
                      <w:color w:val="auto"/>
                      <w:sz w:val="21"/>
                      <w:szCs w:val="21"/>
                      <w:highlight w:val="none"/>
                      <w:vertAlign w:val="baseline"/>
                      <w:lang w:val="en-US" w:eastAsia="zh-CN"/>
                    </w:rPr>
                    <w:t>塑料破碎粉尘经布袋除尘器处理后由15m排气筒DA001高空排放；</w:t>
                  </w:r>
                  <w:r>
                    <w:rPr>
                      <w:rFonts w:hint="default" w:ascii="Times New Roman" w:hAnsi="Times New Roman" w:eastAsia="宋体" w:cs="Times New Roman"/>
                      <w:color w:val="auto"/>
                      <w:sz w:val="21"/>
                      <w:szCs w:val="21"/>
                      <w:highlight w:val="none"/>
                      <w:lang w:val="en-US" w:eastAsia="zh-CN"/>
                    </w:rPr>
                    <w:t>塑料颗粒</w:t>
                  </w:r>
                  <w:r>
                    <w:rPr>
                      <w:rFonts w:hint="eastAsia" w:ascii="Times New Roman" w:hAnsi="Times New Roman" w:eastAsia="宋体" w:cs="Times New Roman"/>
                      <w:color w:val="auto"/>
                      <w:sz w:val="21"/>
                      <w:szCs w:val="21"/>
                      <w:highlight w:val="none"/>
                      <w:lang w:val="en-US" w:eastAsia="zh-CN"/>
                    </w:rPr>
                    <w:t>熔融挤出过程</w:t>
                  </w:r>
                  <w:r>
                    <w:rPr>
                      <w:rFonts w:ascii="Times New Roman" w:hAnsi="Times New Roman"/>
                      <w:color w:val="auto"/>
                      <w:sz w:val="21"/>
                      <w:szCs w:val="21"/>
                      <w:highlight w:val="none"/>
                    </w:rPr>
                    <w:t>产生的大气污染物</w:t>
                  </w:r>
                  <w:r>
                    <w:rPr>
                      <w:rFonts w:hint="default" w:ascii="Times New Roman" w:hAnsi="Times New Roman"/>
                      <w:color w:val="auto"/>
                      <w:sz w:val="21"/>
                      <w:szCs w:val="21"/>
                      <w:highlight w:val="none"/>
                      <w:lang w:val="en-US" w:eastAsia="zh-CN"/>
                    </w:rPr>
                    <w:t>经集气罩收集后通过引风机和集气管道引至</w:t>
                  </w:r>
                  <w:r>
                    <w:rPr>
                      <w:rFonts w:hint="eastAsia"/>
                      <w:color w:val="auto"/>
                      <w:sz w:val="21"/>
                      <w:szCs w:val="21"/>
                      <w:highlight w:val="none"/>
                      <w:lang w:val="en-US" w:eastAsia="zh-CN"/>
                    </w:rPr>
                    <w:t>电捕焦油+气旋混动喷淋+干式过滤+活性炭吸附脱附+催化燃烧+活性炭吸附</w:t>
                  </w:r>
                  <w:r>
                    <w:rPr>
                      <w:rFonts w:hint="default" w:ascii="Times New Roman" w:hAnsi="Times New Roman"/>
                      <w:color w:val="auto"/>
                      <w:sz w:val="21"/>
                      <w:szCs w:val="21"/>
                      <w:highlight w:val="none"/>
                      <w:lang w:val="en-US" w:eastAsia="zh-CN"/>
                    </w:rPr>
                    <w:t>处理后经</w:t>
                  </w:r>
                  <w:r>
                    <w:rPr>
                      <w:rFonts w:hint="eastAsia"/>
                      <w:color w:val="auto"/>
                      <w:sz w:val="21"/>
                      <w:szCs w:val="21"/>
                      <w:highlight w:val="none"/>
                      <w:lang w:val="en-US" w:eastAsia="zh-CN"/>
                    </w:rPr>
                    <w:t>15m</w:t>
                  </w:r>
                  <w:r>
                    <w:rPr>
                      <w:rFonts w:hint="default" w:ascii="Times New Roman" w:hAnsi="Times New Roman"/>
                      <w:color w:val="auto"/>
                      <w:sz w:val="21"/>
                      <w:szCs w:val="21"/>
                      <w:highlight w:val="none"/>
                      <w:lang w:val="en-US" w:eastAsia="zh-CN"/>
                    </w:rPr>
                    <w:t>高排气筒DA00</w:t>
                  </w:r>
                  <w:r>
                    <w:rPr>
                      <w:rFonts w:hint="eastAsia"/>
                      <w:color w:val="auto"/>
                      <w:sz w:val="21"/>
                      <w:szCs w:val="21"/>
                      <w:highlight w:val="none"/>
                      <w:lang w:val="en-US" w:eastAsia="zh-CN"/>
                    </w:rPr>
                    <w:t>2</w:t>
                  </w:r>
                  <w:r>
                    <w:rPr>
                      <w:rFonts w:hint="eastAsia" w:ascii="Times New Roman" w:hAnsi="Times New Roman"/>
                      <w:color w:val="auto"/>
                      <w:sz w:val="21"/>
                      <w:szCs w:val="21"/>
                      <w:highlight w:val="none"/>
                      <w:lang w:val="en-US" w:eastAsia="zh-CN"/>
                    </w:rPr>
                    <w:t>达标</w:t>
                  </w:r>
                  <w:r>
                    <w:rPr>
                      <w:rFonts w:hint="default" w:ascii="Times New Roman" w:hAnsi="Times New Roman"/>
                      <w:color w:val="auto"/>
                      <w:sz w:val="21"/>
                      <w:szCs w:val="21"/>
                      <w:highlight w:val="none"/>
                      <w:lang w:val="en-US" w:eastAsia="zh-CN"/>
                    </w:rPr>
                    <w:t>排放</w:t>
                  </w:r>
                  <w:r>
                    <w:rPr>
                      <w:rFonts w:hint="eastAsia"/>
                      <w:color w:val="auto"/>
                      <w:sz w:val="21"/>
                      <w:szCs w:val="21"/>
                      <w:highlight w:val="none"/>
                      <w:lang w:val="en-US" w:eastAsia="zh-CN"/>
                    </w:rPr>
                    <w:t>；</w:t>
                  </w:r>
                </w:p>
                <w:p w14:paraId="7237F783">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w:t>
                  </w:r>
                  <w:r>
                    <w:rPr>
                      <w:rFonts w:hint="default" w:ascii="Times New Roman" w:hAnsi="Times New Roman" w:eastAsia="宋体" w:cs="Times New Roman"/>
                      <w:color w:val="auto"/>
                      <w:sz w:val="21"/>
                      <w:szCs w:val="21"/>
                      <w:highlight w:val="none"/>
                      <w:vertAlign w:val="baseline"/>
                      <w:lang w:val="en-US" w:eastAsia="zh-CN"/>
                    </w:rPr>
                    <w:t>、项目产噪设备经隔声、减震等措施处理后企业噪声可达到《工业企业厂界环境噪声排放标准》（GB12348-2008）</w:t>
                  </w:r>
                  <w:r>
                    <w:rPr>
                      <w:rFonts w:hint="eastAsia" w:cs="Times New Roman"/>
                      <w:color w:val="auto"/>
                      <w:sz w:val="21"/>
                      <w:szCs w:val="21"/>
                      <w:highlight w:val="none"/>
                      <w:vertAlign w:val="baseline"/>
                      <w:lang w:val="en-US" w:eastAsia="zh-CN"/>
                    </w:rPr>
                    <w:t>3类和4a</w:t>
                  </w:r>
                  <w:r>
                    <w:rPr>
                      <w:rFonts w:hint="default" w:ascii="Times New Roman" w:hAnsi="Times New Roman" w:eastAsia="宋体" w:cs="Times New Roman"/>
                      <w:color w:val="auto"/>
                      <w:sz w:val="21"/>
                      <w:szCs w:val="21"/>
                      <w:highlight w:val="none"/>
                      <w:vertAlign w:val="baseline"/>
                      <w:lang w:val="en-US" w:eastAsia="zh-CN"/>
                    </w:rPr>
                    <w:t>类标准；</w:t>
                  </w:r>
                </w:p>
                <w:p w14:paraId="0C6C2FC6">
                  <w:pPr>
                    <w:pStyle w:val="29"/>
                    <w:numPr>
                      <w:ilvl w:val="0"/>
                      <w:numId w:val="0"/>
                    </w:numPr>
                    <w:spacing w:line="240" w:lineRule="auto"/>
                    <w:ind w:left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8</w:t>
                  </w:r>
                  <w:r>
                    <w:rPr>
                      <w:rFonts w:hint="default" w:ascii="Times New Roman" w:hAnsi="Times New Roman" w:eastAsia="宋体" w:cs="Times New Roman"/>
                      <w:color w:val="auto"/>
                      <w:sz w:val="21"/>
                      <w:szCs w:val="21"/>
                      <w:highlight w:val="none"/>
                      <w:vertAlign w:val="baseline"/>
                      <w:lang w:val="en-US" w:eastAsia="zh-CN"/>
                    </w:rPr>
                    <w:t>、生活垃圾收集后由当地环卫部门统一清运；满足</w:t>
                  </w:r>
                  <w:r>
                    <w:rPr>
                      <w:rFonts w:hint="eastAsia"/>
                      <w:b w:val="0"/>
                      <w:bCs w:val="0"/>
                      <w:color w:val="auto"/>
                      <w:sz w:val="21"/>
                      <w:szCs w:val="21"/>
                      <w:highlight w:val="none"/>
                      <w:lang w:val="en-US" w:eastAsia="zh-CN"/>
                    </w:rPr>
                    <w:t>相应防渗漏、防雨淋、防扬尘等环境保护要求</w:t>
                  </w:r>
                  <w:r>
                    <w:rPr>
                      <w:rFonts w:hint="default" w:ascii="Times New Roman" w:hAnsi="Times New Roman" w:eastAsia="宋体" w:cs="Times New Roman"/>
                      <w:color w:val="auto"/>
                      <w:sz w:val="21"/>
                      <w:szCs w:val="21"/>
                      <w:highlight w:val="none"/>
                      <w:vertAlign w:val="baseline"/>
                      <w:lang w:val="en-US" w:eastAsia="zh-CN"/>
                    </w:rPr>
                    <w:t>。</w:t>
                  </w:r>
                </w:p>
              </w:tc>
              <w:tc>
                <w:tcPr>
                  <w:tcW w:w="470" w:type="pct"/>
                  <w:noWrap w:val="0"/>
                  <w:vAlign w:val="center"/>
                </w:tcPr>
                <w:p w14:paraId="055BEB08">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r w14:paraId="583F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noWrap w:val="0"/>
                  <w:vAlign w:val="center"/>
                </w:tcPr>
                <w:p w14:paraId="55C59FC8">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管理</w:t>
                  </w:r>
                </w:p>
              </w:tc>
              <w:tc>
                <w:tcPr>
                  <w:tcW w:w="2241" w:type="pct"/>
                  <w:noWrap w:val="0"/>
                  <w:vAlign w:val="center"/>
                </w:tcPr>
                <w:p w14:paraId="28807592">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1、企业应建立、健全环保管理制度，设置环保部门或专职人员，负责监督塑料回收与再生利用过程中的环境保护和管理工作；</w:t>
                  </w:r>
                </w:p>
                <w:p w14:paraId="42760E61">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2、企业应对所有工作人员进行环保培训；</w:t>
                  </w:r>
                </w:p>
                <w:p w14:paraId="6D52662F">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3、企业应建立废塑料回收和再生利用情况记录制度；</w:t>
                  </w:r>
                </w:p>
                <w:p w14:paraId="58EF42AE">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4、企业应建立环保监测制度；</w:t>
                  </w:r>
                </w:p>
                <w:p w14:paraId="04B0617F">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5、企业应认真执行排污申报登记，按时缴纳排污费</w:t>
                  </w:r>
                  <w:r>
                    <w:rPr>
                      <w:rFonts w:hint="eastAsia" w:ascii="Times New Roman" w:hAnsi="Times New Roman" w:eastAsia="宋体" w:cs="Times New Roman"/>
                      <w:color w:val="auto"/>
                      <w:sz w:val="21"/>
                      <w:szCs w:val="21"/>
                      <w:highlight w:val="none"/>
                      <w:vertAlign w:val="baseline"/>
                      <w:lang w:val="en-US" w:eastAsia="zh-CN"/>
                    </w:rPr>
                    <w:t>。</w:t>
                  </w:r>
                </w:p>
              </w:tc>
              <w:tc>
                <w:tcPr>
                  <w:tcW w:w="1982" w:type="pct"/>
                  <w:noWrap w:val="0"/>
                  <w:vAlign w:val="center"/>
                </w:tcPr>
                <w:p w14:paraId="4185090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1、要求企业建立健全环保管理制度，厂区内设置环保专员负责厂区生产过程的环保工作；</w:t>
                  </w:r>
                </w:p>
                <w:p w14:paraId="27FFD49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r>
                    <w:rPr>
                      <w:rFonts w:hint="eastAsia" w:ascii="Times New Roman" w:hAnsi="Times New Roman" w:eastAsia="宋体" w:cs="Times New Roman"/>
                      <w:color w:val="auto"/>
                      <w:sz w:val="21"/>
                      <w:szCs w:val="21"/>
                      <w:highlight w:val="none"/>
                      <w:vertAlign w:val="baseline"/>
                      <w:lang w:val="en-US" w:eastAsia="zh-CN"/>
                    </w:rPr>
                    <w:t>要求企业</w:t>
                  </w:r>
                  <w:r>
                    <w:rPr>
                      <w:rFonts w:hint="default" w:ascii="Times New Roman" w:hAnsi="Times New Roman" w:eastAsia="宋体" w:cs="Times New Roman"/>
                      <w:color w:val="auto"/>
                      <w:sz w:val="21"/>
                      <w:szCs w:val="21"/>
                      <w:highlight w:val="none"/>
                      <w:vertAlign w:val="baseline"/>
                      <w:lang w:val="en-US" w:eastAsia="zh-CN"/>
                    </w:rPr>
                    <w:t>对</w:t>
                  </w:r>
                  <w:r>
                    <w:rPr>
                      <w:rFonts w:hint="eastAsia" w:ascii="Times New Roman" w:hAnsi="Times New Roman" w:eastAsia="宋体" w:cs="Times New Roman"/>
                      <w:color w:val="auto"/>
                      <w:sz w:val="21"/>
                      <w:szCs w:val="21"/>
                      <w:highlight w:val="none"/>
                      <w:vertAlign w:val="baseline"/>
                      <w:lang w:val="en-US" w:eastAsia="zh-CN"/>
                    </w:rPr>
                    <w:t>所有</w:t>
                  </w:r>
                  <w:r>
                    <w:rPr>
                      <w:rFonts w:hint="default" w:ascii="Times New Roman" w:hAnsi="Times New Roman" w:eastAsia="宋体" w:cs="Times New Roman"/>
                      <w:color w:val="auto"/>
                      <w:sz w:val="21"/>
                      <w:szCs w:val="21"/>
                      <w:highlight w:val="none"/>
                      <w:vertAlign w:val="baseline"/>
                      <w:lang w:val="en-US" w:eastAsia="zh-CN"/>
                    </w:rPr>
                    <w:t>员工进行环保培训；</w:t>
                  </w:r>
                </w:p>
                <w:p w14:paraId="18579304">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3、由环保专员建立废塑料回收和再利用情况记录；</w:t>
                  </w:r>
                </w:p>
                <w:p w14:paraId="1616D7C6">
                  <w:pPr>
                    <w:pStyle w:val="29"/>
                    <w:spacing w:line="240" w:lineRule="auto"/>
                    <w:ind w:left="0" w:leftChars="0" w:firstLine="0" w:firstLineChars="0"/>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4、定期委托第三方监测单位进行监测</w:t>
                  </w:r>
                  <w:r>
                    <w:rPr>
                      <w:rFonts w:hint="eastAsia" w:ascii="Times New Roman" w:hAnsi="Times New Roman" w:eastAsia="宋体" w:cs="Times New Roman"/>
                      <w:color w:val="auto"/>
                      <w:sz w:val="21"/>
                      <w:szCs w:val="21"/>
                      <w:highlight w:val="none"/>
                      <w:vertAlign w:val="baseline"/>
                      <w:lang w:val="en-US" w:eastAsia="zh-CN"/>
                    </w:rPr>
                    <w:t>；</w:t>
                  </w:r>
                </w:p>
                <w:p w14:paraId="519EAF65">
                  <w:pPr>
                    <w:pStyle w:val="29"/>
                    <w:spacing w:line="240" w:lineRule="auto"/>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w:t>
                  </w:r>
                  <w:r>
                    <w:rPr>
                      <w:rFonts w:hint="default" w:ascii="Times New Roman" w:hAnsi="Times New Roman" w:eastAsia="宋体" w:cs="Times New Roman"/>
                      <w:color w:val="auto"/>
                      <w:sz w:val="21"/>
                      <w:szCs w:val="21"/>
                      <w:highlight w:val="none"/>
                      <w:vertAlign w:val="baseline"/>
                      <w:lang w:val="en-US" w:eastAsia="zh-CN"/>
                    </w:rPr>
                    <w:t>企业认真执行排污申报登记，按时缴纳排污费</w:t>
                  </w:r>
                  <w:r>
                    <w:rPr>
                      <w:rFonts w:hint="eastAsia" w:ascii="Times New Roman" w:hAnsi="Times New Roman" w:eastAsia="宋体" w:cs="Times New Roman"/>
                      <w:color w:val="auto"/>
                      <w:sz w:val="21"/>
                      <w:szCs w:val="21"/>
                      <w:highlight w:val="none"/>
                      <w:vertAlign w:val="baseline"/>
                      <w:lang w:val="en-US" w:eastAsia="zh-CN"/>
                    </w:rPr>
                    <w:t>。</w:t>
                  </w:r>
                </w:p>
              </w:tc>
              <w:tc>
                <w:tcPr>
                  <w:tcW w:w="470" w:type="pct"/>
                  <w:noWrap w:val="0"/>
                  <w:vAlign w:val="center"/>
                </w:tcPr>
                <w:p w14:paraId="10C00424">
                  <w:pPr>
                    <w:pStyle w:val="29"/>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w:t>
                  </w:r>
                </w:p>
              </w:tc>
            </w:tr>
          </w:tbl>
          <w:p w14:paraId="378C9C5B">
            <w:pPr>
              <w:rPr>
                <w:color w:val="auto"/>
                <w:highlight w:val="none"/>
              </w:rPr>
            </w:pPr>
          </w:p>
          <w:p w14:paraId="457A5433">
            <w:pPr>
              <w:rPr>
                <w:color w:val="auto"/>
                <w:highlight w:val="none"/>
              </w:rPr>
            </w:pPr>
          </w:p>
          <w:p w14:paraId="45C1177D">
            <w:pPr>
              <w:rPr>
                <w:color w:val="auto"/>
                <w:highlight w:val="none"/>
              </w:rPr>
            </w:pPr>
          </w:p>
          <w:p w14:paraId="55051EF2">
            <w:pPr>
              <w:rPr>
                <w:color w:val="auto"/>
                <w:highlight w:val="none"/>
              </w:rPr>
            </w:pPr>
          </w:p>
          <w:p w14:paraId="05226B73">
            <w:pPr>
              <w:rPr>
                <w:color w:val="auto"/>
                <w:highlight w:val="none"/>
              </w:rPr>
            </w:pPr>
          </w:p>
          <w:p w14:paraId="156FE323">
            <w:pPr>
              <w:rPr>
                <w:color w:val="auto"/>
                <w:highlight w:val="none"/>
              </w:rPr>
            </w:pPr>
          </w:p>
        </w:tc>
      </w:tr>
    </w:tbl>
    <w:p w14:paraId="783092A7">
      <w:pPr>
        <w:pStyle w:val="18"/>
        <w:numPr>
          <w:ilvl w:val="0"/>
          <w:numId w:val="0"/>
        </w:numPr>
        <w:rPr>
          <w:rFonts w:cs="Times New Roman"/>
          <w:color w:val="auto"/>
          <w:highlight w:val="none"/>
        </w:rPr>
      </w:pPr>
      <w:r>
        <w:rPr>
          <w:rFonts w:cs="Times New Roman"/>
          <w:color w:val="auto"/>
          <w:highlight w:val="none"/>
        </w:rPr>
        <w:br w:type="page"/>
      </w:r>
      <w:bookmarkStart w:id="9" w:name="_Toc25936"/>
      <w:bookmarkStart w:id="10" w:name="_Toc12356"/>
      <w:bookmarkStart w:id="11" w:name="_Toc17804"/>
      <w:r>
        <w:rPr>
          <w:rFonts w:hint="eastAsia" w:cs="Times New Roman"/>
          <w:b/>
          <w:bCs/>
          <w:color w:val="auto"/>
          <w:highlight w:val="none"/>
        </w:rPr>
        <w:t>二、</w:t>
      </w:r>
      <w:r>
        <w:rPr>
          <w:rFonts w:cs="Times New Roman"/>
          <w:b/>
          <w:bCs/>
          <w:color w:val="auto"/>
          <w:highlight w:val="none"/>
        </w:rPr>
        <w:t>建设项目工程分析</w:t>
      </w:r>
      <w:bookmarkEnd w:id="9"/>
      <w:bookmarkEnd w:id="10"/>
      <w:bookmarkEnd w:id="11"/>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506"/>
      </w:tblGrid>
      <w:tr w14:paraId="7251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1" w:type="pct"/>
            <w:vAlign w:val="center"/>
          </w:tcPr>
          <w:p w14:paraId="3317E512">
            <w:pPr>
              <w:keepNext/>
              <w:widowControl/>
              <w:numPr>
                <w:ilvl w:val="1"/>
                <w:numId w:val="0"/>
              </w:numPr>
              <w:tabs>
                <w:tab w:val="left" w:pos="420"/>
              </w:tabs>
              <w:spacing w:line="276" w:lineRule="auto"/>
              <w:rPr>
                <w:color w:val="auto"/>
                <w:highlight w:val="none"/>
              </w:rPr>
            </w:pPr>
            <w:bookmarkStart w:id="12" w:name="_Toc28166"/>
            <w:bookmarkStart w:id="13" w:name="_Toc28930"/>
            <w:bookmarkStart w:id="14" w:name="_Toc1786"/>
            <w:bookmarkStart w:id="15" w:name="_Toc12660"/>
            <w:bookmarkStart w:id="16" w:name="_Toc23802"/>
            <w:r>
              <w:rPr>
                <w:b/>
                <w:bCs/>
                <w:color w:val="auto"/>
                <w:highlight w:val="none"/>
              </w:rPr>
              <w:t>建设内容</w:t>
            </w:r>
            <w:bookmarkEnd w:id="12"/>
            <w:bookmarkEnd w:id="13"/>
            <w:bookmarkEnd w:id="14"/>
            <w:bookmarkEnd w:id="15"/>
            <w:bookmarkEnd w:id="16"/>
          </w:p>
        </w:tc>
        <w:tc>
          <w:tcPr>
            <w:tcW w:w="4758" w:type="pct"/>
          </w:tcPr>
          <w:p w14:paraId="55C26313">
            <w:pPr>
              <w:keepNext/>
              <w:keepLines/>
              <w:tabs>
                <w:tab w:val="left" w:pos="0"/>
              </w:tabs>
              <w:ind w:left="-2" w:firstLine="480" w:firstLineChars="200"/>
              <w:jc w:val="left"/>
              <w:outlineLvl w:val="2"/>
              <w:rPr>
                <w:b/>
                <w:color w:val="auto"/>
                <w:highlight w:val="none"/>
              </w:rPr>
            </w:pPr>
            <w:r>
              <w:rPr>
                <w:b/>
                <w:color w:val="auto"/>
                <w:highlight w:val="none"/>
              </w:rPr>
              <w:t>一、项目由来</w:t>
            </w:r>
          </w:p>
          <w:p w14:paraId="17AE55C8">
            <w:pPr>
              <w:widowControl/>
              <w:ind w:firstLine="480" w:firstLineChars="200"/>
              <w:rPr>
                <w:rFonts w:hint="eastAsia"/>
                <w:color w:val="auto"/>
                <w:highlight w:val="none"/>
                <w:shd w:val="clear" w:color="auto" w:fill="FFFFFF"/>
              </w:rPr>
            </w:pPr>
            <w:r>
              <w:rPr>
                <w:rFonts w:hint="eastAsia"/>
                <w:color w:val="auto"/>
                <w:highlight w:val="none"/>
                <w:shd w:val="clear" w:color="auto" w:fill="FFFFFF"/>
              </w:rPr>
              <w:t>广东运南新材料有限公司</w:t>
            </w:r>
            <w:r>
              <w:rPr>
                <w:color w:val="auto"/>
                <w:highlight w:val="none"/>
                <w:shd w:val="clear" w:color="auto" w:fill="FFFFFF"/>
              </w:rPr>
              <w:t>（以下简称</w:t>
            </w:r>
            <w:r>
              <w:rPr>
                <w:rFonts w:hint="eastAsia"/>
                <w:color w:val="auto"/>
                <w:highlight w:val="none"/>
                <w:shd w:val="clear" w:color="auto" w:fill="FFFFFF"/>
              </w:rPr>
              <w:t>“</w:t>
            </w:r>
            <w:r>
              <w:rPr>
                <w:color w:val="auto"/>
                <w:highlight w:val="none"/>
                <w:shd w:val="clear" w:color="auto" w:fill="FFFFFF"/>
              </w:rPr>
              <w:t>建设单位</w:t>
            </w:r>
            <w:r>
              <w:rPr>
                <w:rFonts w:hint="eastAsia"/>
                <w:color w:val="auto"/>
                <w:highlight w:val="none"/>
                <w:shd w:val="clear" w:color="auto" w:fill="FFFFFF"/>
              </w:rPr>
              <w:t>”</w:t>
            </w:r>
            <w:r>
              <w:rPr>
                <w:color w:val="auto"/>
                <w:highlight w:val="none"/>
                <w:shd w:val="clear" w:color="auto" w:fill="FFFFFF"/>
              </w:rPr>
              <w:t>）拟在</w:t>
            </w:r>
            <w:r>
              <w:rPr>
                <w:rFonts w:hint="eastAsia"/>
                <w:color w:val="auto"/>
                <w:highlight w:val="none"/>
                <w:shd w:val="clear" w:color="auto" w:fill="FFFFFF"/>
              </w:rPr>
              <w:t>韶关市乐昌市乐昌产业转移工业园GL-02-04-02-03地块</w:t>
            </w:r>
            <w:r>
              <w:rPr>
                <w:color w:val="auto"/>
                <w:highlight w:val="none"/>
                <w:shd w:val="clear" w:color="auto" w:fill="FFFFFF"/>
              </w:rPr>
              <w:t>投资建设"</w:t>
            </w:r>
            <w:r>
              <w:rPr>
                <w:rFonts w:hint="eastAsia"/>
                <w:color w:val="auto"/>
                <w:highlight w:val="none"/>
                <w:shd w:val="clear" w:color="auto" w:fill="FFFFFF"/>
              </w:rPr>
              <w:t>乐昌市运南新材料项目</w:t>
            </w:r>
            <w:r>
              <w:rPr>
                <w:color w:val="auto"/>
                <w:highlight w:val="none"/>
                <w:shd w:val="clear" w:color="auto" w:fill="FFFFFF"/>
              </w:rPr>
              <w:t>"。根据备案信息（附件4），</w:t>
            </w:r>
            <w:r>
              <w:rPr>
                <w:rFonts w:hint="eastAsia"/>
                <w:color w:val="auto"/>
                <w:highlight w:val="none"/>
                <w:shd w:val="clear" w:color="auto" w:fill="FFFFFF"/>
              </w:rPr>
              <w:t>“</w:t>
            </w:r>
            <w:r>
              <w:rPr>
                <w:color w:val="auto"/>
                <w:highlight w:val="none"/>
                <w:shd w:val="clear" w:color="auto" w:fill="FFFFFF"/>
              </w:rPr>
              <w:t>该项目主要选用购置锤破机、破碎机、输送洗料设备、材质机、光谱机、静电分选设备、精选分色机、拌料系统、抽粒挤出机、注塑</w:t>
            </w:r>
            <w:r>
              <w:rPr>
                <w:rFonts w:hint="eastAsia"/>
                <w:color w:val="auto"/>
                <w:highlight w:val="none"/>
                <w:shd w:val="clear" w:color="auto" w:fill="FFFFFF"/>
              </w:rPr>
              <w:t>机等设备</w:t>
            </w:r>
            <w:r>
              <w:rPr>
                <w:color w:val="auto"/>
                <w:highlight w:val="none"/>
                <w:shd w:val="clear" w:color="auto" w:fill="FFFFFF"/>
              </w:rPr>
              <w:t>。</w:t>
            </w:r>
            <w:r>
              <w:rPr>
                <w:rFonts w:hint="eastAsia"/>
                <w:color w:val="auto"/>
                <w:highlight w:val="none"/>
                <w:shd w:val="clear" w:color="auto" w:fill="FFFFFF"/>
              </w:rPr>
              <w:t>”</w:t>
            </w:r>
            <w:r>
              <w:rPr>
                <w:color w:val="auto"/>
                <w:highlight w:val="none"/>
              </w:rPr>
              <w:t>项目总占地面积约</w:t>
            </w:r>
            <w:r>
              <w:rPr>
                <w:rFonts w:hint="eastAsia"/>
                <w:color w:val="auto"/>
                <w:kern w:val="24"/>
                <w:highlight w:val="none"/>
              </w:rPr>
              <w:t>37346.12</w:t>
            </w:r>
            <w:r>
              <w:rPr>
                <w:color w:val="auto"/>
                <w:kern w:val="24"/>
                <w:highlight w:val="none"/>
              </w:rPr>
              <w:t>m²</w:t>
            </w:r>
            <w:r>
              <w:rPr>
                <w:color w:val="auto"/>
                <w:highlight w:val="none"/>
              </w:rPr>
              <w:t>，总建筑面积</w:t>
            </w:r>
            <w:r>
              <w:rPr>
                <w:rFonts w:hint="eastAsia"/>
                <w:color w:val="auto"/>
                <w:highlight w:val="none"/>
              </w:rPr>
              <w:t>约24640.56</w:t>
            </w:r>
            <w:r>
              <w:rPr>
                <w:color w:val="auto"/>
                <w:kern w:val="24"/>
                <w:highlight w:val="none"/>
              </w:rPr>
              <w:t>m²</w:t>
            </w:r>
            <w:r>
              <w:rPr>
                <w:color w:val="auto"/>
                <w:highlight w:val="none"/>
              </w:rPr>
              <w:t>。项目总投资</w:t>
            </w:r>
            <w:r>
              <w:rPr>
                <w:rFonts w:hint="eastAsia"/>
                <w:color w:val="auto"/>
                <w:highlight w:val="none"/>
              </w:rPr>
              <w:t>15000</w:t>
            </w:r>
            <w:r>
              <w:rPr>
                <w:color w:val="auto"/>
                <w:highlight w:val="none"/>
              </w:rPr>
              <w:t>万元，其中环保投资</w:t>
            </w:r>
            <w:r>
              <w:rPr>
                <w:rFonts w:hint="eastAsia"/>
                <w:color w:val="auto"/>
                <w:highlight w:val="none"/>
                <w:lang w:val="en-US" w:eastAsia="zh-CN"/>
              </w:rPr>
              <w:t>2</w:t>
            </w:r>
            <w:r>
              <w:rPr>
                <w:color w:val="auto"/>
                <w:highlight w:val="none"/>
              </w:rPr>
              <w:t>00万元</w:t>
            </w:r>
            <w:r>
              <w:rPr>
                <w:rFonts w:hint="eastAsia"/>
                <w:color w:val="auto"/>
                <w:highlight w:val="none"/>
                <w:lang w:eastAsia="zh-CN"/>
              </w:rPr>
              <w:t>，</w:t>
            </w:r>
            <w:r>
              <w:rPr>
                <w:rFonts w:hint="eastAsia"/>
                <w:color w:val="auto"/>
                <w:highlight w:val="none"/>
                <w:lang w:val="en-US" w:eastAsia="zh-CN"/>
              </w:rPr>
              <w:t>即</w:t>
            </w:r>
            <w:r>
              <w:rPr>
                <w:color w:val="auto"/>
                <w:highlight w:val="none"/>
                <w:shd w:val="clear" w:color="auto" w:fill="FFFFFF"/>
              </w:rPr>
              <w:t>"</w:t>
            </w:r>
            <w:r>
              <w:rPr>
                <w:rFonts w:hint="eastAsia"/>
                <w:color w:val="auto"/>
                <w:highlight w:val="none"/>
                <w:shd w:val="clear" w:color="auto" w:fill="FFFFFF"/>
              </w:rPr>
              <w:t>乐昌市运南新材料项目</w:t>
            </w:r>
            <w:r>
              <w:rPr>
                <w:color w:val="auto"/>
                <w:highlight w:val="none"/>
                <w:shd w:val="clear" w:color="auto" w:fill="FFFFFF"/>
              </w:rPr>
              <w:t>"（以下简称</w:t>
            </w:r>
            <w:r>
              <w:rPr>
                <w:rFonts w:hint="eastAsia"/>
                <w:color w:val="auto"/>
                <w:highlight w:val="none"/>
                <w:shd w:val="clear" w:color="auto" w:fill="FFFFFF"/>
              </w:rPr>
              <w:t>“</w:t>
            </w:r>
            <w:r>
              <w:rPr>
                <w:color w:val="auto"/>
                <w:highlight w:val="none"/>
                <w:shd w:val="clear" w:color="auto" w:fill="FFFFFF"/>
              </w:rPr>
              <w:t>本项目</w:t>
            </w:r>
            <w:r>
              <w:rPr>
                <w:rFonts w:hint="eastAsia"/>
                <w:color w:val="auto"/>
                <w:highlight w:val="none"/>
                <w:shd w:val="clear" w:color="auto" w:fill="FFFFFF"/>
              </w:rPr>
              <w:t>”</w:t>
            </w:r>
            <w:r>
              <w:rPr>
                <w:color w:val="auto"/>
                <w:highlight w:val="none"/>
                <w:shd w:val="clear" w:color="auto" w:fill="FFFFFF"/>
              </w:rPr>
              <w:t>）</w:t>
            </w:r>
            <w:r>
              <w:rPr>
                <w:color w:val="auto"/>
                <w:highlight w:val="none"/>
              </w:rPr>
              <w:t>。</w:t>
            </w:r>
          </w:p>
          <w:p w14:paraId="640E1F9E">
            <w:pPr>
              <w:widowControl/>
              <w:ind w:firstLine="480" w:firstLineChars="200"/>
              <w:rPr>
                <w:rFonts w:hint="eastAsia"/>
                <w:color w:val="auto"/>
                <w:highlight w:val="none"/>
                <w:shd w:val="clear" w:color="auto" w:fill="FFFFFF"/>
                <w:lang w:val="en-US" w:eastAsia="zh-CN"/>
              </w:rPr>
            </w:pPr>
            <w:r>
              <w:rPr>
                <w:color w:val="auto"/>
                <w:highlight w:val="none"/>
                <w:shd w:val="clear" w:color="auto" w:fill="FFFFFF"/>
              </w:rPr>
              <w:t>项目</w:t>
            </w:r>
            <w:r>
              <w:rPr>
                <w:rFonts w:hint="eastAsia"/>
                <w:color w:val="auto"/>
                <w:highlight w:val="none"/>
                <w:shd w:val="clear" w:color="auto" w:fill="FFFFFF"/>
                <w:lang w:val="en-US" w:eastAsia="zh-CN"/>
              </w:rPr>
              <w:t>原计划</w:t>
            </w:r>
            <w:r>
              <w:rPr>
                <w:color w:val="auto"/>
                <w:highlight w:val="none"/>
                <w:shd w:val="clear" w:color="auto" w:fill="FFFFFF"/>
              </w:rPr>
              <w:t>采取分期建设模式，</w:t>
            </w:r>
            <w:r>
              <w:rPr>
                <w:rFonts w:hint="eastAsia"/>
                <w:color w:val="auto"/>
                <w:highlight w:val="none"/>
                <w:shd w:val="clear" w:color="auto" w:fill="FFFFFF"/>
                <w:lang w:val="en-US" w:eastAsia="zh-CN"/>
              </w:rPr>
              <w:t>首期工程</w:t>
            </w:r>
            <w:r>
              <w:rPr>
                <w:rFonts w:hint="default" w:ascii="Times New Roman" w:hAnsi="Times New Roman" w:eastAsia="宋体" w:cs="Times New Roman"/>
                <w:i w:val="0"/>
                <w:iCs w:val="0"/>
                <w:caps w:val="0"/>
                <w:color w:val="auto"/>
                <w:spacing w:val="0"/>
                <w:sz w:val="24"/>
                <w:szCs w:val="24"/>
                <w:highlight w:val="none"/>
                <w:shd w:val="clear" w:color="auto" w:fill="FFFFFF"/>
              </w:rPr>
              <w:t>主要包含</w:t>
            </w:r>
            <w:r>
              <w:rPr>
                <w:rFonts w:hint="eastAsia" w:cs="Times New Roman"/>
                <w:i w:val="0"/>
                <w:iCs w:val="0"/>
                <w:caps w:val="0"/>
                <w:color w:val="auto"/>
                <w:spacing w:val="0"/>
                <w:sz w:val="24"/>
                <w:szCs w:val="24"/>
                <w:highlight w:val="none"/>
                <w:shd w:val="clear" w:color="auto" w:fill="FFFFFF"/>
                <w:lang w:val="en-US" w:eastAsia="zh-CN"/>
              </w:rPr>
              <w:t>废塑料的破碎、分选</w:t>
            </w:r>
            <w:r>
              <w:rPr>
                <w:rFonts w:hint="default" w:ascii="Times New Roman" w:hAnsi="Times New Roman" w:eastAsia="宋体" w:cs="Times New Roman"/>
                <w:i w:val="0"/>
                <w:iCs w:val="0"/>
                <w:caps w:val="0"/>
                <w:color w:val="auto"/>
                <w:spacing w:val="0"/>
                <w:sz w:val="24"/>
                <w:szCs w:val="24"/>
                <w:highlight w:val="none"/>
                <w:shd w:val="clear" w:color="auto" w:fill="FFFFFF"/>
              </w:rPr>
              <w:t>等生产工序及配套厂房建设，</w:t>
            </w:r>
            <w:r>
              <w:rPr>
                <w:rFonts w:hint="default" w:ascii="Times New Roman" w:hAnsi="Times New Roman" w:cs="Times New Roman"/>
                <w:color w:val="auto"/>
                <w:highlight w:val="none"/>
                <w:lang w:val="en-US" w:eastAsia="zh-CN"/>
              </w:rPr>
              <w:t>建设</w:t>
            </w:r>
            <w:r>
              <w:rPr>
                <w:rFonts w:hint="eastAsia" w:cs="Times New Roman"/>
                <w:color w:val="auto"/>
                <w:highlight w:val="none"/>
                <w:lang w:val="en-US" w:eastAsia="zh-CN"/>
              </w:rPr>
              <w:t>1个破碎洗料</w:t>
            </w:r>
            <w:r>
              <w:rPr>
                <w:rFonts w:hint="default" w:ascii="Times New Roman" w:hAnsi="Times New Roman" w:cs="Times New Roman"/>
                <w:color w:val="auto"/>
                <w:highlight w:val="none"/>
                <w:lang w:val="en-US" w:eastAsia="zh-CN"/>
              </w:rPr>
              <w:t>车间</w:t>
            </w:r>
            <w:r>
              <w:rPr>
                <w:rFonts w:hint="eastAsia" w:cs="Times New Roman"/>
                <w:color w:val="auto"/>
                <w:highlight w:val="none"/>
                <w:lang w:val="en-US" w:eastAsia="zh-CN"/>
              </w:rPr>
              <w:t>（位于4号厂房），</w:t>
            </w:r>
            <w:r>
              <w:rPr>
                <w:rFonts w:hint="default" w:ascii="Times New Roman" w:hAnsi="Times New Roman" w:cs="Times New Roman"/>
                <w:color w:val="auto"/>
                <w:highlight w:val="none"/>
                <w:lang w:val="en-US" w:eastAsia="zh-CN"/>
              </w:rPr>
              <w:t>设置</w:t>
            </w:r>
            <w:r>
              <w:rPr>
                <w:rFonts w:hint="eastAsia" w:cs="Times New Roman"/>
                <w:color w:val="auto"/>
                <w:highlight w:val="none"/>
                <w:lang w:val="en-US" w:eastAsia="zh-CN"/>
              </w:rPr>
              <w:t>1条</w:t>
            </w:r>
            <w:r>
              <w:rPr>
                <w:rFonts w:hint="default" w:ascii="Times New Roman" w:hAnsi="Times New Roman" w:cs="Times New Roman"/>
                <w:color w:val="auto"/>
                <w:highlight w:val="none"/>
              </w:rPr>
              <w:t>生产线，主要工艺为</w:t>
            </w:r>
            <w:r>
              <w:rPr>
                <w:rFonts w:hint="eastAsia" w:cs="Times New Roman"/>
                <w:color w:val="auto"/>
                <w:highlight w:val="none"/>
                <w:lang w:val="en-US" w:eastAsia="zh-CN"/>
              </w:rPr>
              <w:t>对废塑料进行破碎、清洗；建设1个分选车间（位于2号厂房），设置1条生产线，主要工艺为对废塑料（主要为</w:t>
            </w:r>
            <w:r>
              <w:rPr>
                <w:rFonts w:hint="eastAsia" w:hAnsi="宋体"/>
                <w:color w:val="auto"/>
                <w:sz w:val="24"/>
                <w:szCs w:val="24"/>
                <w:highlight w:val="none"/>
                <w:lang w:val="en-US" w:eastAsia="zh-CN"/>
              </w:rPr>
              <w:t>PP/PE/ABS</w:t>
            </w:r>
            <w:r>
              <w:rPr>
                <w:rFonts w:hint="eastAsia" w:cs="Times New Roman"/>
                <w:color w:val="auto"/>
                <w:highlight w:val="none"/>
                <w:lang w:val="en-US" w:eastAsia="zh-CN"/>
              </w:rPr>
              <w:t>）进行静电分选。首期工程建成后，年破碎清洗分选废塑料</w:t>
            </w:r>
            <w:r>
              <w:rPr>
                <w:rFonts w:hint="eastAsia"/>
                <w:color w:val="auto"/>
                <w:highlight w:val="none"/>
                <w:shd w:val="clear" w:color="auto" w:fill="FFFFFF"/>
                <w:lang w:val="en-US" w:eastAsia="zh-CN"/>
              </w:rPr>
              <w:t>7.1万吨。</w:t>
            </w:r>
          </w:p>
          <w:p w14:paraId="23F61935">
            <w:pPr>
              <w:widowControl/>
              <w:ind w:firstLine="480" w:firstLineChars="200"/>
              <w:rPr>
                <w:color w:val="auto"/>
                <w:highlight w:val="none"/>
              </w:rPr>
            </w:pPr>
            <w:r>
              <w:rPr>
                <w:rFonts w:hint="eastAsia" w:ascii="Times New Roman" w:hAnsi="Times New Roman" w:cs="Times New Roman"/>
                <w:i w:val="0"/>
                <w:iCs w:val="0"/>
                <w:caps w:val="0"/>
                <w:color w:val="auto"/>
                <w:spacing w:val="0"/>
                <w:sz w:val="24"/>
                <w:szCs w:val="24"/>
                <w:highlight w:val="none"/>
                <w:shd w:val="clear" w:color="auto" w:fill="FFFFFF"/>
                <w:lang w:val="en-US" w:eastAsia="zh-CN"/>
              </w:rPr>
              <w:t>建设单位已</w:t>
            </w:r>
            <w:r>
              <w:rPr>
                <w:rFonts w:hint="eastAsia"/>
                <w:color w:val="auto"/>
                <w:highlight w:val="none"/>
                <w:shd w:val="clear" w:color="auto" w:fill="FFFFFF"/>
                <w:lang w:val="en-US" w:eastAsia="zh-CN"/>
              </w:rPr>
              <w:t>于2026年2月7日取得环评批复（韶环乐审〔2026〕05号，详见附件6）</w:t>
            </w:r>
            <w:r>
              <w:rPr>
                <w:rFonts w:hint="default" w:ascii="Times New Roman" w:hAnsi="Times New Roman" w:cs="Times New Roman"/>
                <w:color w:val="auto"/>
                <w:szCs w:val="24"/>
                <w:highlight w:val="none"/>
              </w:rPr>
              <w:t>后开工建设，</w:t>
            </w:r>
            <w:r>
              <w:rPr>
                <w:rFonts w:hint="eastAsia" w:cs="Times New Roman"/>
                <w:color w:val="auto"/>
                <w:szCs w:val="24"/>
                <w:highlight w:val="none"/>
                <w:lang w:val="en-US" w:eastAsia="zh-CN"/>
              </w:rPr>
              <w:t>尚未进行投产</w:t>
            </w:r>
            <w:r>
              <w:rPr>
                <w:rFonts w:hint="eastAsia"/>
                <w:color w:val="auto"/>
                <w:highlight w:val="none"/>
                <w:shd w:val="clear" w:color="auto" w:fill="FFFFFF"/>
                <w:lang w:val="en-US" w:eastAsia="zh-CN"/>
              </w:rPr>
              <w:t>。在项目建设过程中，建设单位调整了原料种类和生产工艺，发生的变动</w:t>
            </w:r>
            <w:r>
              <w:rPr>
                <w:color w:val="auto"/>
                <w:highlight w:val="none"/>
                <w:shd w:val="clear" w:color="auto" w:fill="FFFFFF"/>
              </w:rPr>
              <w:t>主要</w:t>
            </w:r>
            <w:r>
              <w:rPr>
                <w:rFonts w:hint="eastAsia"/>
                <w:color w:val="auto"/>
                <w:highlight w:val="none"/>
                <w:shd w:val="clear" w:color="auto" w:fill="FFFFFF"/>
                <w:lang w:val="en-US" w:eastAsia="zh-CN"/>
              </w:rPr>
              <w:t>为原辅材料取消 PS 原料，新增 PE、HIPS、PA 原料，新增造粒生产线1条。调整后</w:t>
            </w:r>
            <w:r>
              <w:rPr>
                <w:rFonts w:hint="eastAsia"/>
                <w:color w:val="auto"/>
                <w:highlight w:val="none"/>
                <w:lang w:val="en-US" w:eastAsia="zh-CN"/>
              </w:rPr>
              <w:t>主要产品为</w:t>
            </w:r>
            <w:r>
              <w:rPr>
                <w:rFonts w:hint="eastAsia" w:hAnsi="宋体"/>
                <w:color w:val="auto"/>
                <w:sz w:val="24"/>
                <w:szCs w:val="24"/>
                <w:highlight w:val="none"/>
                <w:lang w:val="en-US" w:eastAsia="zh-CN"/>
              </w:rPr>
              <w:t>PP/PE/ABS/</w:t>
            </w:r>
            <w:r>
              <w:rPr>
                <w:rFonts w:hint="eastAsia"/>
                <w:color w:val="auto"/>
                <w:highlight w:val="none"/>
                <w:shd w:val="clear" w:color="auto" w:fill="FFFFFF"/>
                <w:lang w:val="en-US" w:eastAsia="zh-CN"/>
              </w:rPr>
              <w:t>HIPS/PA颗粒，在4号厂房建设破碎洗料车间，2#厂房设置分选车间，</w:t>
            </w:r>
            <w:r>
              <w:rPr>
                <w:rFonts w:hint="eastAsia"/>
                <w:color w:val="auto"/>
                <w:highlight w:val="none"/>
                <w:lang w:val="en-US" w:eastAsia="zh-CN"/>
              </w:rPr>
              <w:t>在3#厂房</w:t>
            </w:r>
            <w:r>
              <w:rPr>
                <w:rFonts w:hint="eastAsia"/>
                <w:color w:val="auto"/>
                <w:highlight w:val="none"/>
              </w:rPr>
              <w:t>建设</w:t>
            </w:r>
            <w:r>
              <w:rPr>
                <w:rFonts w:hint="eastAsia"/>
                <w:color w:val="auto"/>
                <w:highlight w:val="none"/>
                <w:lang w:val="en-US" w:eastAsia="zh-CN"/>
              </w:rPr>
              <w:t>造粒生产线</w:t>
            </w:r>
            <w:r>
              <w:rPr>
                <w:rFonts w:hint="eastAsia"/>
                <w:color w:val="auto"/>
                <w:highlight w:val="none"/>
                <w:lang w:eastAsia="zh-CN"/>
              </w:rPr>
              <w:t>，</w:t>
            </w:r>
            <w:r>
              <w:rPr>
                <w:color w:val="auto"/>
                <w:highlight w:val="none"/>
              </w:rPr>
              <w:t>设计</w:t>
            </w:r>
            <w:r>
              <w:rPr>
                <w:rFonts w:hint="eastAsia"/>
                <w:color w:val="auto"/>
                <w:highlight w:val="none"/>
                <w:lang w:val="en-US" w:eastAsia="zh-CN"/>
              </w:rPr>
              <w:t>年产破碎塑料</w:t>
            </w:r>
            <w:r>
              <w:rPr>
                <w:rFonts w:hint="eastAsia"/>
                <w:color w:val="auto"/>
                <w:highlight w:val="none"/>
              </w:rPr>
              <w:t>（主要为</w:t>
            </w:r>
            <w:r>
              <w:rPr>
                <w:rFonts w:hint="eastAsia" w:hAnsi="宋体"/>
                <w:color w:val="auto"/>
                <w:highlight w:val="none"/>
              </w:rPr>
              <w:t>PP/PE/ABS</w:t>
            </w:r>
            <w:r>
              <w:rPr>
                <w:rFonts w:hint="eastAsia" w:hAnsi="宋体"/>
                <w:color w:val="auto"/>
                <w:highlight w:val="none"/>
                <w:lang w:val="en-US" w:eastAsia="zh-CN"/>
              </w:rPr>
              <w:t>/HIPS/PA</w:t>
            </w:r>
            <w:r>
              <w:rPr>
                <w:rFonts w:hint="eastAsia"/>
                <w:color w:val="auto"/>
                <w:highlight w:val="none"/>
              </w:rPr>
              <w:t>）</w:t>
            </w:r>
            <w:r>
              <w:rPr>
                <w:rFonts w:hint="eastAsia"/>
                <w:color w:val="auto"/>
                <w:highlight w:val="none"/>
                <w:lang w:val="en-US" w:eastAsia="zh-CN"/>
              </w:rPr>
              <w:t>10万吨，其中约7万吨破碎塑料直接外售，约3万</w:t>
            </w:r>
            <w:r>
              <w:rPr>
                <w:rFonts w:hint="eastAsia"/>
                <w:color w:val="auto"/>
                <w:highlight w:val="none"/>
              </w:rPr>
              <w:t>吨</w:t>
            </w:r>
            <w:r>
              <w:rPr>
                <w:rFonts w:hint="eastAsia"/>
                <w:color w:val="auto"/>
                <w:highlight w:val="none"/>
                <w:lang w:val="en-US" w:eastAsia="zh-CN"/>
              </w:rPr>
              <w:t>进一步加工为塑料颗粒后外售</w:t>
            </w:r>
            <w:r>
              <w:rPr>
                <w:color w:val="auto"/>
                <w:highlight w:val="none"/>
              </w:rPr>
              <w:t>。</w:t>
            </w:r>
            <w:r>
              <w:rPr>
                <w:rFonts w:hint="default" w:ascii="Times New Roman" w:hAnsi="Times New Roman" w:cs="Times New Roman"/>
                <w:color w:val="auto"/>
                <w:szCs w:val="24"/>
                <w:highlight w:val="none"/>
              </w:rPr>
              <w:t>对照《关于印发《污染影响类建设项目重大变动清单</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试行</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》的通知》（环办环评函〔2020〕688号），项目</w:t>
            </w:r>
            <w:r>
              <w:rPr>
                <w:rFonts w:hint="eastAsia" w:cs="Times New Roman"/>
                <w:color w:val="auto"/>
                <w:szCs w:val="24"/>
                <w:highlight w:val="none"/>
                <w:lang w:val="en-US" w:eastAsia="zh-CN"/>
              </w:rPr>
              <w:t>生产工艺、规模</w:t>
            </w:r>
            <w:r>
              <w:rPr>
                <w:rFonts w:hint="default" w:ascii="Times New Roman" w:hAnsi="Times New Roman" w:cs="Times New Roman"/>
                <w:color w:val="auto"/>
                <w:szCs w:val="24"/>
                <w:highlight w:val="none"/>
              </w:rPr>
              <w:t>发生了重大变动</w:t>
            </w:r>
            <w:r>
              <w:rPr>
                <w:rFonts w:hint="eastAsia" w:cs="Times New Roman"/>
                <w:color w:val="auto"/>
                <w:szCs w:val="24"/>
                <w:highlight w:val="none"/>
                <w:lang w:eastAsia="zh-CN"/>
              </w:rPr>
              <w:t>。</w:t>
            </w:r>
          </w:p>
          <w:p w14:paraId="4078A9A9">
            <w:pPr>
              <w:pStyle w:val="25"/>
              <w:ind w:firstLine="480" w:firstLineChars="200"/>
              <w:jc w:val="both"/>
              <w:rPr>
                <w:color w:val="auto"/>
                <w:szCs w:val="24"/>
                <w:highlight w:val="none"/>
              </w:rPr>
            </w:pPr>
            <w:r>
              <w:rPr>
                <w:color w:val="auto"/>
                <w:szCs w:val="24"/>
                <w:highlight w:val="none"/>
              </w:rPr>
              <w:t>根据《中华人民共和国环境保护法》、《中华人民共和国环境影响评价法》、《建设项目环境保护管理条例》、</w:t>
            </w:r>
            <w:r>
              <w:rPr>
                <w:color w:val="auto"/>
                <w:highlight w:val="none"/>
              </w:rPr>
              <w:t>《广东省环境保护条例》（2022年11月30日修正）</w:t>
            </w:r>
            <w:r>
              <w:rPr>
                <w:color w:val="auto"/>
                <w:szCs w:val="24"/>
                <w:highlight w:val="none"/>
              </w:rPr>
              <w:t>等有关规定，建设过程中或者建成投产后可能对环境产生影响的新建、扩建、改建、迁建、技术改造项目及区域开发建设项目，必须执行环境影响评价制度。对照</w:t>
            </w:r>
            <w:r>
              <w:rPr>
                <w:color w:val="auto"/>
                <w:highlight w:val="none"/>
              </w:rPr>
              <w:t>《国民经济行业分类》（GB/T 4754-2017，按第1号修改单修订）</w:t>
            </w:r>
            <w:r>
              <w:rPr>
                <w:color w:val="auto"/>
                <w:szCs w:val="24"/>
                <w:highlight w:val="none"/>
              </w:rPr>
              <w:t>，本项目属于</w:t>
            </w:r>
            <w:r>
              <w:rPr>
                <w:rFonts w:hint="eastAsia"/>
                <w:color w:val="auto"/>
                <w:szCs w:val="24"/>
                <w:highlight w:val="none"/>
              </w:rPr>
              <w:t>C4220 非金属废料和碎屑加工处理，主要对废塑料进行破碎</w:t>
            </w:r>
            <w:r>
              <w:rPr>
                <w:rFonts w:hint="eastAsia"/>
                <w:color w:val="auto"/>
                <w:szCs w:val="24"/>
                <w:highlight w:val="none"/>
                <w:lang w:val="en-US" w:eastAsia="zh-CN"/>
              </w:rPr>
              <w:t>清洗</w:t>
            </w:r>
            <w:r>
              <w:rPr>
                <w:rFonts w:hint="eastAsia"/>
                <w:color w:val="auto"/>
                <w:szCs w:val="24"/>
                <w:highlight w:val="none"/>
              </w:rPr>
              <w:t>分选</w:t>
            </w:r>
            <w:r>
              <w:rPr>
                <w:rFonts w:hint="eastAsia"/>
                <w:color w:val="auto"/>
                <w:szCs w:val="24"/>
                <w:highlight w:val="none"/>
                <w:lang w:val="en-US" w:eastAsia="zh-CN"/>
              </w:rPr>
              <w:t>造粒</w:t>
            </w:r>
            <w:r>
              <w:rPr>
                <w:rFonts w:hint="eastAsia"/>
                <w:color w:val="auto"/>
                <w:szCs w:val="24"/>
                <w:highlight w:val="none"/>
              </w:rPr>
              <w:t>，</w:t>
            </w:r>
            <w:r>
              <w:rPr>
                <w:color w:val="auto"/>
                <w:szCs w:val="24"/>
                <w:highlight w:val="none"/>
              </w:rPr>
              <w:t>对照国家环保部《建设项目环境影响评价分类管理名录》（2021年版），该项目属于“</w:t>
            </w:r>
            <w:r>
              <w:rPr>
                <w:rFonts w:hint="eastAsia"/>
                <w:color w:val="auto"/>
                <w:kern w:val="2"/>
                <w:szCs w:val="24"/>
                <w:highlight w:val="none"/>
              </w:rPr>
              <w:t>三十九、废弃资源综合利用业42—85非金属废料和碎屑加工处理422非金属废料和碎</w:t>
            </w:r>
            <w:r>
              <w:rPr>
                <w:rFonts w:hint="eastAsia"/>
                <w:color w:val="auto"/>
                <w:kern w:val="2"/>
                <w:szCs w:val="24"/>
                <w:highlight w:val="none"/>
                <w:lang w:val="en-US" w:eastAsia="zh-CN"/>
              </w:rPr>
              <w:t>屑</w:t>
            </w:r>
            <w:r>
              <w:rPr>
                <w:rFonts w:hint="eastAsia"/>
                <w:color w:val="auto"/>
                <w:kern w:val="2"/>
                <w:szCs w:val="24"/>
                <w:highlight w:val="none"/>
              </w:rPr>
              <w:t>加工处理422(421和422均不含原料为危险废物的，均不含仅分拣、破碎的)</w:t>
            </w:r>
            <w:r>
              <w:rPr>
                <w:color w:val="auto"/>
                <w:szCs w:val="24"/>
                <w:highlight w:val="none"/>
              </w:rPr>
              <w:t>”，按要求需要编制环境影响报告表。</w:t>
            </w:r>
          </w:p>
          <w:p w14:paraId="501C7522">
            <w:pPr>
              <w:pStyle w:val="25"/>
              <w:pageBreakBefore w:val="0"/>
              <w:wordWrap w:val="0"/>
              <w:overflowPunct/>
              <w:bidi w:val="0"/>
              <w:ind w:firstLine="480" w:firstLineChars="200"/>
              <w:jc w:val="both"/>
              <w:rPr>
                <w:rFonts w:hint="eastAsia" w:cs="Times New Roman"/>
                <w:bCs/>
                <w:color w:val="auto"/>
                <w:sz w:val="24"/>
                <w:highlight w:val="none"/>
                <w:lang w:val="en-US" w:eastAsia="zh-CN"/>
              </w:rPr>
            </w:pPr>
            <w:r>
              <w:rPr>
                <w:rFonts w:hint="eastAsia" w:cs="Times New Roman"/>
                <w:bCs/>
                <w:color w:val="auto"/>
                <w:sz w:val="24"/>
                <w:highlight w:val="none"/>
                <w:lang w:val="en-US" w:eastAsia="zh-CN"/>
              </w:rPr>
              <w:t>截至2026年4月，建设单位已完成基础厂房建设</w:t>
            </w:r>
            <w:r>
              <w:rPr>
                <w:rFonts w:hint="eastAsia"/>
                <w:color w:val="auto"/>
                <w:sz w:val="24"/>
                <w:szCs w:val="24"/>
                <w:highlight w:val="none"/>
                <w:lang w:val="en-US" w:eastAsia="zh-CN"/>
              </w:rPr>
              <w:t>，</w:t>
            </w:r>
            <w:r>
              <w:rPr>
                <w:rFonts w:hint="eastAsia" w:cs="Times New Roman"/>
                <w:bCs/>
                <w:color w:val="auto"/>
                <w:sz w:val="24"/>
                <w:highlight w:val="none"/>
                <w:lang w:val="en-US" w:eastAsia="zh-CN"/>
              </w:rPr>
              <w:t>在建设过程中发生的变动如下：</w:t>
            </w:r>
          </w:p>
          <w:p w14:paraId="54C0D675">
            <w:pPr>
              <w:pStyle w:val="112"/>
              <w:jc w:val="center"/>
              <w:rPr>
                <w:rFonts w:hint="eastAsia" w:ascii="Times New Roman" w:hAnsi="Times New Roman" w:cs="Times New Roman"/>
                <w:b/>
                <w:bCs/>
                <w:color w:val="auto"/>
                <w:highlight w:val="none"/>
                <w:lang w:val="en-US" w:eastAsia="zh-CN"/>
              </w:rPr>
            </w:pPr>
            <w:r>
              <w:rPr>
                <w:rFonts w:hint="eastAsia"/>
                <w:b/>
                <w:bCs/>
                <w:color w:val="auto"/>
                <w:sz w:val="21"/>
                <w:szCs w:val="21"/>
                <w:highlight w:val="none"/>
              </w:rPr>
              <w:t>项目建设内容变动情况一览表</w:t>
            </w:r>
          </w:p>
          <w:tbl>
            <w:tblPr>
              <w:tblStyle w:val="4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329"/>
              <w:gridCol w:w="2116"/>
              <w:gridCol w:w="2671"/>
              <w:gridCol w:w="865"/>
              <w:gridCol w:w="866"/>
            </w:tblGrid>
            <w:tr w14:paraId="1831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0DC86ED0">
                  <w:pPr>
                    <w:spacing w:line="240" w:lineRule="auto"/>
                    <w:jc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序号</w:t>
                  </w:r>
                </w:p>
              </w:tc>
              <w:tc>
                <w:tcPr>
                  <w:tcW w:w="1342" w:type="pct"/>
                  <w:vAlign w:val="center"/>
                </w:tcPr>
                <w:p w14:paraId="30F1A53E">
                  <w:pPr>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文件内容</w:t>
                  </w:r>
                </w:p>
              </w:tc>
              <w:tc>
                <w:tcPr>
                  <w:tcW w:w="1204" w:type="pct"/>
                  <w:vAlign w:val="center"/>
                </w:tcPr>
                <w:p w14:paraId="78B33DF1">
                  <w:pPr>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原环评项目建设内容</w:t>
                  </w:r>
                </w:p>
              </w:tc>
              <w:tc>
                <w:tcPr>
                  <w:tcW w:w="1123" w:type="pct"/>
                  <w:vAlign w:val="center"/>
                </w:tcPr>
                <w:p w14:paraId="05E2B895">
                  <w:pPr>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实际建设情况</w:t>
                  </w:r>
                </w:p>
              </w:tc>
              <w:tc>
                <w:tcPr>
                  <w:tcW w:w="529" w:type="pct"/>
                  <w:vAlign w:val="center"/>
                </w:tcPr>
                <w:p w14:paraId="3D231D79">
                  <w:pPr>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变动情况</w:t>
                  </w:r>
                </w:p>
              </w:tc>
              <w:tc>
                <w:tcPr>
                  <w:tcW w:w="530" w:type="pct"/>
                  <w:vAlign w:val="center"/>
                </w:tcPr>
                <w:p w14:paraId="649C2F71">
                  <w:pPr>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是否属于重大变动</w:t>
                  </w:r>
                </w:p>
              </w:tc>
            </w:tr>
            <w:tr w14:paraId="1BDC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35296E54">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w:t>
                  </w:r>
                </w:p>
              </w:tc>
              <w:tc>
                <w:tcPr>
                  <w:tcW w:w="1342" w:type="pct"/>
                  <w:vAlign w:val="center"/>
                </w:tcPr>
                <w:p w14:paraId="746D77BA">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建设项目开发、使用功能发生变化的</w:t>
                  </w:r>
                </w:p>
              </w:tc>
              <w:tc>
                <w:tcPr>
                  <w:tcW w:w="1204" w:type="pct"/>
                  <w:vAlign w:val="center"/>
                </w:tcPr>
                <w:p w14:paraId="5F1A7087">
                  <w:pPr>
                    <w:spacing w:line="240" w:lineRule="auto"/>
                    <w:jc w:val="center"/>
                    <w:rPr>
                      <w:rFonts w:hint="eastAsia"/>
                      <w:b w:val="0"/>
                      <w:bCs w:val="0"/>
                      <w:color w:val="auto"/>
                      <w:sz w:val="21"/>
                      <w:szCs w:val="21"/>
                      <w:highlight w:val="none"/>
                      <w:lang w:val="en-US" w:eastAsia="zh-CN"/>
                    </w:rPr>
                  </w:pPr>
                  <w:r>
                    <w:rPr>
                      <w:rFonts w:hint="default"/>
                      <w:b w:val="0"/>
                      <w:bCs w:val="0"/>
                      <w:color w:val="auto"/>
                      <w:sz w:val="21"/>
                      <w:szCs w:val="21"/>
                      <w:highlight w:val="none"/>
                    </w:rPr>
                    <w:t>项目属于“三十九、废弃资源综合利用业42—85非金属废料和碎屑加工处理422”</w:t>
                  </w:r>
                </w:p>
              </w:tc>
              <w:tc>
                <w:tcPr>
                  <w:tcW w:w="1123" w:type="pct"/>
                  <w:vAlign w:val="center"/>
                </w:tcPr>
                <w:p w14:paraId="3F8A2778">
                  <w:pPr>
                    <w:spacing w:line="240" w:lineRule="auto"/>
                    <w:jc w:val="center"/>
                    <w:rPr>
                      <w:rFonts w:hint="eastAsia"/>
                      <w:b w:val="0"/>
                      <w:bCs w:val="0"/>
                      <w:color w:val="auto"/>
                      <w:sz w:val="21"/>
                      <w:szCs w:val="21"/>
                      <w:highlight w:val="none"/>
                      <w:lang w:val="en-US" w:eastAsia="zh-CN"/>
                    </w:rPr>
                  </w:pPr>
                  <w:r>
                    <w:rPr>
                      <w:rFonts w:hint="default"/>
                      <w:b w:val="0"/>
                      <w:bCs w:val="0"/>
                      <w:color w:val="auto"/>
                      <w:sz w:val="21"/>
                      <w:szCs w:val="21"/>
                      <w:highlight w:val="none"/>
                    </w:rPr>
                    <w:t>项目属于“三十九、废弃资源综合利用业42—85非金属废料和碎屑加工处理422”</w:t>
                  </w:r>
                </w:p>
              </w:tc>
              <w:tc>
                <w:tcPr>
                  <w:tcW w:w="529" w:type="pct"/>
                  <w:vAlign w:val="center"/>
                </w:tcPr>
                <w:p w14:paraId="731BF09B">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无变动</w:t>
                  </w:r>
                </w:p>
              </w:tc>
              <w:tc>
                <w:tcPr>
                  <w:tcW w:w="530" w:type="pct"/>
                  <w:vAlign w:val="center"/>
                </w:tcPr>
                <w:p w14:paraId="6096FF0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2C8B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7691BAF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2</w:t>
                  </w:r>
                </w:p>
              </w:tc>
              <w:tc>
                <w:tcPr>
                  <w:tcW w:w="1342" w:type="pct"/>
                  <w:vAlign w:val="center"/>
                </w:tcPr>
                <w:p w14:paraId="57594943">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生产、处置或储存能力增大30%及以上的</w:t>
                  </w:r>
                </w:p>
              </w:tc>
              <w:tc>
                <w:tcPr>
                  <w:tcW w:w="1204" w:type="pct"/>
                  <w:vAlign w:val="center"/>
                </w:tcPr>
                <w:p w14:paraId="34376BD7">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产品方案为年产破碎塑料71000吨，生产车间位于2#、4#厂房</w:t>
                  </w:r>
                </w:p>
              </w:tc>
              <w:tc>
                <w:tcPr>
                  <w:tcW w:w="1123" w:type="pct"/>
                  <w:vAlign w:val="center"/>
                </w:tcPr>
                <w:p w14:paraId="106F74A4">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产品方案变更为年产破碎塑料（主要为PP/PE/ABS/HIPS/PA）100000吨（其中约7万吨破碎塑料直接外售，约3万吨进一步加工为塑料颗粒外售），生产车间位于2#~4#厂房</w:t>
                  </w:r>
                </w:p>
              </w:tc>
              <w:tc>
                <w:tcPr>
                  <w:tcW w:w="529" w:type="pct"/>
                  <w:vAlign w:val="center"/>
                </w:tcPr>
                <w:p w14:paraId="68A256E6">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变动</w:t>
                  </w:r>
                </w:p>
              </w:tc>
              <w:tc>
                <w:tcPr>
                  <w:tcW w:w="530" w:type="pct"/>
                  <w:vAlign w:val="center"/>
                </w:tcPr>
                <w:p w14:paraId="52313271">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是</w:t>
                  </w:r>
                </w:p>
              </w:tc>
            </w:tr>
            <w:tr w14:paraId="331B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100ACCB7">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3</w:t>
                  </w:r>
                </w:p>
              </w:tc>
              <w:tc>
                <w:tcPr>
                  <w:tcW w:w="1342" w:type="pct"/>
                  <w:vAlign w:val="center"/>
                </w:tcPr>
                <w:p w14:paraId="79FA9296">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生产、处置或储存能力增大，导致废水第一类污染物排放量增加的</w:t>
                  </w:r>
                </w:p>
              </w:tc>
              <w:tc>
                <w:tcPr>
                  <w:tcW w:w="1204" w:type="pct"/>
                  <w:vAlign w:val="center"/>
                </w:tcPr>
                <w:p w14:paraId="17C0EE60">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废水不涉及第一类污染物排放</w:t>
                  </w:r>
                </w:p>
              </w:tc>
              <w:tc>
                <w:tcPr>
                  <w:tcW w:w="1123" w:type="pct"/>
                  <w:vAlign w:val="center"/>
                </w:tcPr>
                <w:p w14:paraId="7F4DFA62">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废水不涉及第一类污染物排放</w:t>
                  </w:r>
                </w:p>
              </w:tc>
              <w:tc>
                <w:tcPr>
                  <w:tcW w:w="529" w:type="pct"/>
                  <w:vAlign w:val="center"/>
                </w:tcPr>
                <w:p w14:paraId="1E9D391E">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无变动</w:t>
                  </w:r>
                </w:p>
              </w:tc>
              <w:tc>
                <w:tcPr>
                  <w:tcW w:w="530" w:type="pct"/>
                  <w:vAlign w:val="center"/>
                </w:tcPr>
                <w:p w14:paraId="3D062626">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58CC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3604B1ED">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4</w:t>
                  </w:r>
                </w:p>
              </w:tc>
              <w:tc>
                <w:tcPr>
                  <w:tcW w:w="1342" w:type="pct"/>
                  <w:vAlign w:val="center"/>
                </w:tcPr>
                <w:p w14:paraId="47C229E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204" w:type="pct"/>
                  <w:vAlign w:val="center"/>
                </w:tcPr>
                <w:p w14:paraId="0FB65AE3">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本项目所在区域属于达标区，</w:t>
                  </w:r>
                  <w:r>
                    <w:rPr>
                      <w:rFonts w:hint="default"/>
                      <w:b w:val="0"/>
                      <w:bCs w:val="0"/>
                      <w:color w:val="auto"/>
                      <w:sz w:val="21"/>
                      <w:szCs w:val="21"/>
                      <w:highlight w:val="none"/>
                    </w:rPr>
                    <w:t>项目生产废水排放量</w:t>
                  </w:r>
                  <w:r>
                    <w:rPr>
                      <w:rFonts w:hint="eastAsia"/>
                      <w:b w:val="0"/>
                      <w:bCs w:val="0"/>
                      <w:color w:val="auto"/>
                      <w:sz w:val="21"/>
                      <w:szCs w:val="21"/>
                      <w:highlight w:val="none"/>
                      <w:lang w:val="en-US" w:eastAsia="zh-CN"/>
                    </w:rPr>
                    <w:t>2970t/a，经中和调节+絮凝沉淀+A/O+二沉池+消毒工艺处理；</w:t>
                  </w:r>
                  <w:r>
                    <w:rPr>
                      <w:rFonts w:hint="default"/>
                      <w:b w:val="0"/>
                      <w:bCs w:val="0"/>
                      <w:color w:val="auto"/>
                      <w:sz w:val="21"/>
                      <w:szCs w:val="21"/>
                      <w:highlight w:val="none"/>
                    </w:rPr>
                    <w:t>生活污水排放量为</w:t>
                  </w:r>
                  <w:r>
                    <w:rPr>
                      <w:rFonts w:hint="eastAsia"/>
                      <w:b w:val="0"/>
                      <w:bCs w:val="0"/>
                      <w:color w:val="auto"/>
                      <w:sz w:val="21"/>
                      <w:szCs w:val="21"/>
                      <w:highlight w:val="none"/>
                      <w:lang w:val="en-US" w:eastAsia="zh-CN"/>
                    </w:rPr>
                    <w:t>3420</w:t>
                  </w:r>
                  <w:r>
                    <w:rPr>
                      <w:rFonts w:hint="default"/>
                      <w:b w:val="0"/>
                      <w:bCs w:val="0"/>
                      <w:color w:val="auto"/>
                      <w:sz w:val="21"/>
                      <w:szCs w:val="21"/>
                      <w:highlight w:val="none"/>
                    </w:rPr>
                    <w:t>t/a，</w:t>
                  </w:r>
                  <w:r>
                    <w:rPr>
                      <w:rFonts w:hint="eastAsia"/>
                      <w:b w:val="0"/>
                      <w:bCs w:val="0"/>
                      <w:color w:val="auto"/>
                      <w:sz w:val="21"/>
                      <w:szCs w:val="21"/>
                      <w:highlight w:val="none"/>
                      <w:lang w:val="en-US" w:eastAsia="zh-CN"/>
                    </w:rPr>
                    <w:t>经三级化粪池、隔油隔渣池</w:t>
                  </w:r>
                  <w:r>
                    <w:rPr>
                      <w:rFonts w:hint="default"/>
                      <w:b w:val="0"/>
                      <w:bCs w:val="0"/>
                      <w:color w:val="auto"/>
                      <w:sz w:val="21"/>
                      <w:szCs w:val="21"/>
                      <w:highlight w:val="none"/>
                    </w:rPr>
                    <w:t>预处理</w:t>
                  </w:r>
                  <w:r>
                    <w:rPr>
                      <w:rFonts w:hint="eastAsia"/>
                      <w:b w:val="0"/>
                      <w:bCs w:val="0"/>
                      <w:color w:val="auto"/>
                      <w:sz w:val="21"/>
                      <w:szCs w:val="21"/>
                      <w:highlight w:val="none"/>
                      <w:lang w:eastAsia="zh-CN"/>
                    </w:rPr>
                    <w:t>，</w:t>
                  </w:r>
                  <w:r>
                    <w:rPr>
                      <w:rFonts w:hint="eastAsia"/>
                      <w:b w:val="0"/>
                      <w:bCs w:val="0"/>
                      <w:color w:val="auto"/>
                      <w:sz w:val="21"/>
                      <w:szCs w:val="21"/>
                      <w:highlight w:val="none"/>
                      <w:lang w:val="en-US" w:eastAsia="zh-CN"/>
                    </w:rPr>
                    <w:t>两股废水一并</w:t>
                  </w:r>
                  <w:r>
                    <w:rPr>
                      <w:rFonts w:hint="default"/>
                      <w:b w:val="0"/>
                      <w:bCs w:val="0"/>
                      <w:color w:val="auto"/>
                      <w:sz w:val="21"/>
                      <w:szCs w:val="21"/>
                      <w:highlight w:val="none"/>
                    </w:rPr>
                    <w:t>排入园区污水处理厂进行</w:t>
                  </w:r>
                  <w:r>
                    <w:rPr>
                      <w:rFonts w:hint="eastAsia"/>
                      <w:b w:val="0"/>
                      <w:bCs w:val="0"/>
                      <w:color w:val="auto"/>
                      <w:sz w:val="21"/>
                      <w:szCs w:val="21"/>
                      <w:highlight w:val="none"/>
                      <w:lang w:val="en-US" w:eastAsia="zh-CN"/>
                    </w:rPr>
                    <w:t>深度</w:t>
                  </w:r>
                  <w:r>
                    <w:rPr>
                      <w:rFonts w:hint="default"/>
                      <w:b w:val="0"/>
                      <w:bCs w:val="0"/>
                      <w:color w:val="auto"/>
                      <w:sz w:val="21"/>
                      <w:szCs w:val="21"/>
                      <w:highlight w:val="none"/>
                    </w:rPr>
                    <w:t>处理，</w:t>
                  </w:r>
                  <w:r>
                    <w:rPr>
                      <w:rFonts w:hint="eastAsia"/>
                      <w:b w:val="0"/>
                      <w:bCs w:val="0"/>
                      <w:color w:val="auto"/>
                      <w:sz w:val="21"/>
                      <w:szCs w:val="21"/>
                      <w:highlight w:val="none"/>
                      <w:lang w:val="en-US" w:eastAsia="zh-CN"/>
                    </w:rPr>
                    <w:t>对应</w:t>
                  </w:r>
                  <w:r>
                    <w:rPr>
                      <w:rFonts w:hint="default"/>
                      <w:b w:val="0"/>
                      <w:bCs w:val="0"/>
                      <w:color w:val="auto"/>
                      <w:sz w:val="21"/>
                      <w:szCs w:val="21"/>
                      <w:highlight w:val="none"/>
                    </w:rPr>
                    <w:t>CODcr</w:t>
                  </w:r>
                  <w:r>
                    <w:rPr>
                      <w:rFonts w:hint="default"/>
                      <w:b w:val="0"/>
                      <w:bCs w:val="0"/>
                      <w:color w:val="auto"/>
                      <w:sz w:val="21"/>
                      <w:szCs w:val="21"/>
                      <w:highlight w:val="none"/>
                      <w:lang w:eastAsia="zh-CN"/>
                    </w:rPr>
                    <w:t>（</w:t>
                  </w:r>
                  <w:r>
                    <w:rPr>
                      <w:rFonts w:hint="eastAsia"/>
                      <w:b w:val="0"/>
                      <w:bCs w:val="0"/>
                      <w:color w:val="auto"/>
                      <w:sz w:val="21"/>
                      <w:szCs w:val="21"/>
                      <w:highlight w:val="none"/>
                      <w:lang w:val="en-US" w:eastAsia="zh-CN"/>
                    </w:rPr>
                    <w:t>0.778</w:t>
                  </w:r>
                  <w:r>
                    <w:rPr>
                      <w:rFonts w:hint="default"/>
                      <w:b w:val="0"/>
                      <w:bCs w:val="0"/>
                      <w:color w:val="auto"/>
                      <w:sz w:val="21"/>
                      <w:szCs w:val="21"/>
                      <w:highlight w:val="none"/>
                      <w:lang w:val="en-US" w:eastAsia="zh-CN"/>
                    </w:rPr>
                    <w:t>t/a）</w:t>
                  </w:r>
                  <w:r>
                    <w:rPr>
                      <w:rFonts w:hint="default"/>
                      <w:b w:val="0"/>
                      <w:bCs w:val="0"/>
                      <w:color w:val="auto"/>
                      <w:sz w:val="21"/>
                      <w:szCs w:val="21"/>
                      <w:highlight w:val="none"/>
                    </w:rPr>
                    <w:t>、NH</w:t>
                  </w:r>
                  <w:r>
                    <w:rPr>
                      <w:rFonts w:hint="default"/>
                      <w:b w:val="0"/>
                      <w:bCs w:val="0"/>
                      <w:color w:val="auto"/>
                      <w:sz w:val="21"/>
                      <w:szCs w:val="21"/>
                      <w:highlight w:val="none"/>
                      <w:vertAlign w:val="subscript"/>
                      <w:lang w:val="en-US" w:eastAsia="zh-CN"/>
                    </w:rPr>
                    <w:t>3</w:t>
                  </w:r>
                  <w:r>
                    <w:rPr>
                      <w:rFonts w:hint="default"/>
                      <w:b w:val="0"/>
                      <w:bCs w:val="0"/>
                      <w:color w:val="auto"/>
                      <w:sz w:val="21"/>
                      <w:szCs w:val="21"/>
                      <w:highlight w:val="none"/>
                      <w:lang w:val="en-US" w:eastAsia="zh-CN"/>
                    </w:rPr>
                    <w:t>-</w:t>
                  </w:r>
                  <w:r>
                    <w:rPr>
                      <w:rFonts w:hint="default"/>
                      <w:b w:val="0"/>
                      <w:bCs w:val="0"/>
                      <w:color w:val="auto"/>
                      <w:sz w:val="21"/>
                      <w:szCs w:val="21"/>
                      <w:highlight w:val="none"/>
                    </w:rPr>
                    <w:t>N</w:t>
                  </w:r>
                  <w:r>
                    <w:rPr>
                      <w:rFonts w:hint="default"/>
                      <w:b w:val="0"/>
                      <w:bCs w:val="0"/>
                      <w:color w:val="auto"/>
                      <w:sz w:val="21"/>
                      <w:szCs w:val="21"/>
                      <w:highlight w:val="none"/>
                      <w:lang w:eastAsia="zh-CN"/>
                    </w:rPr>
                    <w:t>（</w:t>
                  </w:r>
                  <w:r>
                    <w:rPr>
                      <w:rFonts w:hint="eastAsia"/>
                      <w:b w:val="0"/>
                      <w:bCs w:val="0"/>
                      <w:color w:val="auto"/>
                      <w:sz w:val="21"/>
                      <w:szCs w:val="21"/>
                      <w:highlight w:val="none"/>
                      <w:lang w:val="en-US" w:eastAsia="zh-CN"/>
                    </w:rPr>
                    <w:t>0.051</w:t>
                  </w:r>
                  <w:r>
                    <w:rPr>
                      <w:rFonts w:hint="default"/>
                      <w:b w:val="0"/>
                      <w:bCs w:val="0"/>
                      <w:color w:val="auto"/>
                      <w:sz w:val="21"/>
                      <w:szCs w:val="21"/>
                      <w:highlight w:val="none"/>
                      <w:lang w:val="en-US" w:eastAsia="zh-CN"/>
                    </w:rPr>
                    <w:t>t/a）</w:t>
                  </w:r>
                  <w:r>
                    <w:rPr>
                      <w:rFonts w:hint="default"/>
                      <w:b w:val="0"/>
                      <w:bCs w:val="0"/>
                      <w:color w:val="auto"/>
                      <w:sz w:val="21"/>
                      <w:szCs w:val="21"/>
                      <w:highlight w:val="none"/>
                    </w:rPr>
                    <w:t>纳入园区污水处理厂的总量控制指标，不需再增加新的总量分配指标</w:t>
                  </w:r>
                </w:p>
              </w:tc>
              <w:tc>
                <w:tcPr>
                  <w:tcW w:w="1123" w:type="pct"/>
                  <w:vAlign w:val="center"/>
                </w:tcPr>
                <w:p w14:paraId="5AD89849">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本项目所在区域属于达标区，</w:t>
                  </w:r>
                  <w:r>
                    <w:rPr>
                      <w:rFonts w:hint="default"/>
                      <w:b w:val="0"/>
                      <w:bCs w:val="0"/>
                      <w:color w:val="auto"/>
                      <w:sz w:val="21"/>
                      <w:szCs w:val="21"/>
                      <w:highlight w:val="none"/>
                    </w:rPr>
                    <w:t>项目生产废水排放量</w:t>
                  </w:r>
                  <w:r>
                    <w:rPr>
                      <w:rFonts w:hint="eastAsia"/>
                      <w:b w:val="0"/>
                      <w:bCs w:val="0"/>
                      <w:color w:val="auto"/>
                      <w:sz w:val="21"/>
                      <w:szCs w:val="21"/>
                      <w:highlight w:val="none"/>
                      <w:lang w:val="en-US" w:eastAsia="zh-CN"/>
                    </w:rPr>
                    <w:t>2970t/a，经中和调节+絮凝沉淀+A/O+二沉池+消毒工艺处理；</w:t>
                  </w:r>
                  <w:r>
                    <w:rPr>
                      <w:rFonts w:hint="default"/>
                      <w:b w:val="0"/>
                      <w:bCs w:val="0"/>
                      <w:color w:val="auto"/>
                      <w:sz w:val="21"/>
                      <w:szCs w:val="21"/>
                      <w:highlight w:val="none"/>
                    </w:rPr>
                    <w:t>生活污水排放量为</w:t>
                  </w:r>
                  <w:r>
                    <w:rPr>
                      <w:rFonts w:hint="eastAsia"/>
                      <w:b w:val="0"/>
                      <w:bCs w:val="0"/>
                      <w:color w:val="auto"/>
                      <w:sz w:val="21"/>
                      <w:szCs w:val="21"/>
                      <w:highlight w:val="none"/>
                      <w:lang w:val="en-US" w:eastAsia="zh-CN"/>
                    </w:rPr>
                    <w:t>3420</w:t>
                  </w:r>
                  <w:r>
                    <w:rPr>
                      <w:rFonts w:hint="default"/>
                      <w:b w:val="0"/>
                      <w:bCs w:val="0"/>
                      <w:color w:val="auto"/>
                      <w:sz w:val="21"/>
                      <w:szCs w:val="21"/>
                      <w:highlight w:val="none"/>
                    </w:rPr>
                    <w:t>t/a，</w:t>
                  </w:r>
                  <w:r>
                    <w:rPr>
                      <w:rFonts w:hint="eastAsia"/>
                      <w:b w:val="0"/>
                      <w:bCs w:val="0"/>
                      <w:color w:val="auto"/>
                      <w:sz w:val="21"/>
                      <w:szCs w:val="21"/>
                      <w:highlight w:val="none"/>
                      <w:lang w:val="en-US" w:eastAsia="zh-CN"/>
                    </w:rPr>
                    <w:t>经三级化粪池、隔油隔渣池</w:t>
                  </w:r>
                  <w:r>
                    <w:rPr>
                      <w:rFonts w:hint="default"/>
                      <w:b w:val="0"/>
                      <w:bCs w:val="0"/>
                      <w:color w:val="auto"/>
                      <w:sz w:val="21"/>
                      <w:szCs w:val="21"/>
                      <w:highlight w:val="none"/>
                    </w:rPr>
                    <w:t>预处理</w:t>
                  </w:r>
                  <w:r>
                    <w:rPr>
                      <w:rFonts w:hint="eastAsia"/>
                      <w:b w:val="0"/>
                      <w:bCs w:val="0"/>
                      <w:color w:val="auto"/>
                      <w:sz w:val="21"/>
                      <w:szCs w:val="21"/>
                      <w:highlight w:val="none"/>
                      <w:lang w:eastAsia="zh-CN"/>
                    </w:rPr>
                    <w:t>，</w:t>
                  </w:r>
                  <w:r>
                    <w:rPr>
                      <w:rFonts w:hint="eastAsia"/>
                      <w:b w:val="0"/>
                      <w:bCs w:val="0"/>
                      <w:color w:val="auto"/>
                      <w:sz w:val="21"/>
                      <w:szCs w:val="21"/>
                      <w:highlight w:val="none"/>
                      <w:lang w:val="en-US" w:eastAsia="zh-CN"/>
                    </w:rPr>
                    <w:t>两股废水一并</w:t>
                  </w:r>
                  <w:r>
                    <w:rPr>
                      <w:rFonts w:hint="default"/>
                      <w:b w:val="0"/>
                      <w:bCs w:val="0"/>
                      <w:color w:val="auto"/>
                      <w:sz w:val="21"/>
                      <w:szCs w:val="21"/>
                      <w:highlight w:val="none"/>
                    </w:rPr>
                    <w:t>排入园区污水处理厂进行</w:t>
                  </w:r>
                  <w:r>
                    <w:rPr>
                      <w:rFonts w:hint="eastAsia"/>
                      <w:b w:val="0"/>
                      <w:bCs w:val="0"/>
                      <w:color w:val="auto"/>
                      <w:sz w:val="21"/>
                      <w:szCs w:val="21"/>
                      <w:highlight w:val="none"/>
                      <w:lang w:val="en-US" w:eastAsia="zh-CN"/>
                    </w:rPr>
                    <w:t>深度</w:t>
                  </w:r>
                  <w:r>
                    <w:rPr>
                      <w:rFonts w:hint="default"/>
                      <w:b w:val="0"/>
                      <w:bCs w:val="0"/>
                      <w:color w:val="auto"/>
                      <w:sz w:val="21"/>
                      <w:szCs w:val="21"/>
                      <w:highlight w:val="none"/>
                    </w:rPr>
                    <w:t>处理，</w:t>
                  </w:r>
                  <w:r>
                    <w:rPr>
                      <w:rFonts w:hint="eastAsia"/>
                      <w:b w:val="0"/>
                      <w:bCs w:val="0"/>
                      <w:color w:val="auto"/>
                      <w:sz w:val="21"/>
                      <w:szCs w:val="21"/>
                      <w:highlight w:val="none"/>
                      <w:lang w:val="en-US" w:eastAsia="zh-CN"/>
                    </w:rPr>
                    <w:t>对应</w:t>
                  </w:r>
                  <w:r>
                    <w:rPr>
                      <w:rFonts w:hint="default"/>
                      <w:b w:val="0"/>
                      <w:bCs w:val="0"/>
                      <w:color w:val="auto"/>
                      <w:sz w:val="21"/>
                      <w:szCs w:val="21"/>
                      <w:highlight w:val="none"/>
                    </w:rPr>
                    <w:t>CODcr</w:t>
                  </w:r>
                  <w:r>
                    <w:rPr>
                      <w:rFonts w:hint="default"/>
                      <w:b w:val="0"/>
                      <w:bCs w:val="0"/>
                      <w:color w:val="auto"/>
                      <w:sz w:val="21"/>
                      <w:szCs w:val="21"/>
                      <w:highlight w:val="none"/>
                      <w:lang w:eastAsia="zh-CN"/>
                    </w:rPr>
                    <w:t>（</w:t>
                  </w:r>
                  <w:r>
                    <w:rPr>
                      <w:rFonts w:hint="eastAsia"/>
                      <w:b w:val="0"/>
                      <w:bCs w:val="0"/>
                      <w:color w:val="auto"/>
                      <w:sz w:val="21"/>
                      <w:szCs w:val="21"/>
                      <w:highlight w:val="none"/>
                      <w:lang w:val="en-US" w:eastAsia="zh-CN"/>
                    </w:rPr>
                    <w:t>0.778</w:t>
                  </w:r>
                  <w:r>
                    <w:rPr>
                      <w:rFonts w:hint="default"/>
                      <w:b w:val="0"/>
                      <w:bCs w:val="0"/>
                      <w:color w:val="auto"/>
                      <w:sz w:val="21"/>
                      <w:szCs w:val="21"/>
                      <w:highlight w:val="none"/>
                      <w:lang w:val="en-US" w:eastAsia="zh-CN"/>
                    </w:rPr>
                    <w:t>t/a）</w:t>
                  </w:r>
                  <w:r>
                    <w:rPr>
                      <w:rFonts w:hint="default"/>
                      <w:b w:val="0"/>
                      <w:bCs w:val="0"/>
                      <w:color w:val="auto"/>
                      <w:sz w:val="21"/>
                      <w:szCs w:val="21"/>
                      <w:highlight w:val="none"/>
                    </w:rPr>
                    <w:t>、NH</w:t>
                  </w:r>
                  <w:r>
                    <w:rPr>
                      <w:rFonts w:hint="default"/>
                      <w:b w:val="0"/>
                      <w:bCs w:val="0"/>
                      <w:color w:val="auto"/>
                      <w:sz w:val="21"/>
                      <w:szCs w:val="21"/>
                      <w:highlight w:val="none"/>
                      <w:vertAlign w:val="subscript"/>
                      <w:lang w:val="en-US" w:eastAsia="zh-CN"/>
                    </w:rPr>
                    <w:t>3</w:t>
                  </w:r>
                  <w:r>
                    <w:rPr>
                      <w:rFonts w:hint="default"/>
                      <w:b w:val="0"/>
                      <w:bCs w:val="0"/>
                      <w:color w:val="auto"/>
                      <w:sz w:val="21"/>
                      <w:szCs w:val="21"/>
                      <w:highlight w:val="none"/>
                      <w:lang w:val="en-US" w:eastAsia="zh-CN"/>
                    </w:rPr>
                    <w:t>-</w:t>
                  </w:r>
                  <w:r>
                    <w:rPr>
                      <w:rFonts w:hint="default"/>
                      <w:b w:val="0"/>
                      <w:bCs w:val="0"/>
                      <w:color w:val="auto"/>
                      <w:sz w:val="21"/>
                      <w:szCs w:val="21"/>
                      <w:highlight w:val="none"/>
                    </w:rPr>
                    <w:t>N</w:t>
                  </w:r>
                  <w:r>
                    <w:rPr>
                      <w:rFonts w:hint="default"/>
                      <w:b w:val="0"/>
                      <w:bCs w:val="0"/>
                      <w:color w:val="auto"/>
                      <w:sz w:val="21"/>
                      <w:szCs w:val="21"/>
                      <w:highlight w:val="none"/>
                      <w:lang w:eastAsia="zh-CN"/>
                    </w:rPr>
                    <w:t>（</w:t>
                  </w:r>
                  <w:r>
                    <w:rPr>
                      <w:rFonts w:hint="eastAsia"/>
                      <w:b w:val="0"/>
                      <w:bCs w:val="0"/>
                      <w:color w:val="auto"/>
                      <w:sz w:val="21"/>
                      <w:szCs w:val="21"/>
                      <w:highlight w:val="none"/>
                      <w:lang w:val="en-US" w:eastAsia="zh-CN"/>
                    </w:rPr>
                    <w:t>0.113</w:t>
                  </w:r>
                  <w:r>
                    <w:rPr>
                      <w:rFonts w:hint="default"/>
                      <w:b w:val="0"/>
                      <w:bCs w:val="0"/>
                      <w:color w:val="auto"/>
                      <w:sz w:val="21"/>
                      <w:szCs w:val="21"/>
                      <w:highlight w:val="none"/>
                      <w:lang w:val="en-US" w:eastAsia="zh-CN"/>
                    </w:rPr>
                    <w:t>t/a）</w:t>
                  </w:r>
                  <w:r>
                    <w:rPr>
                      <w:rFonts w:hint="default"/>
                      <w:b w:val="0"/>
                      <w:bCs w:val="0"/>
                      <w:color w:val="auto"/>
                      <w:sz w:val="21"/>
                      <w:szCs w:val="21"/>
                      <w:highlight w:val="none"/>
                    </w:rPr>
                    <w:t>纳入园区污水处理厂的总量控制指标，不需再增加新的总量分配指标</w:t>
                  </w:r>
                  <w:r>
                    <w:rPr>
                      <w:rFonts w:hint="eastAsia"/>
                      <w:b w:val="0"/>
                      <w:bCs w:val="0"/>
                      <w:color w:val="auto"/>
                      <w:sz w:val="21"/>
                      <w:szCs w:val="21"/>
                      <w:highlight w:val="none"/>
                      <w:lang w:eastAsia="zh-CN"/>
                    </w:rPr>
                    <w:t>；</w:t>
                  </w:r>
                  <w:r>
                    <w:rPr>
                      <w:rFonts w:hint="eastAsia"/>
                      <w:b w:val="0"/>
                      <w:bCs w:val="0"/>
                      <w:color w:val="auto"/>
                      <w:sz w:val="21"/>
                      <w:szCs w:val="21"/>
                      <w:highlight w:val="none"/>
                    </w:rPr>
                    <w:t>建成后有机废气总排放量为</w:t>
                  </w:r>
                  <w:r>
                    <w:rPr>
                      <w:rFonts w:hint="eastAsia"/>
                      <w:b w:val="0"/>
                      <w:bCs w:val="0"/>
                      <w:color w:val="auto"/>
                      <w:sz w:val="21"/>
                      <w:szCs w:val="21"/>
                      <w:highlight w:val="none"/>
                      <w:lang w:val="en-US" w:eastAsia="zh-CN"/>
                    </w:rPr>
                    <w:t>3.518</w:t>
                  </w:r>
                  <w:r>
                    <w:rPr>
                      <w:rFonts w:hint="eastAsia"/>
                      <w:b w:val="0"/>
                      <w:bCs w:val="0"/>
                      <w:color w:val="auto"/>
                      <w:sz w:val="21"/>
                      <w:szCs w:val="21"/>
                      <w:highlight w:val="none"/>
                    </w:rPr>
                    <w:t>t/a（其中有组织排放：</w:t>
                  </w:r>
                  <w:r>
                    <w:rPr>
                      <w:rFonts w:hint="eastAsia"/>
                      <w:b w:val="0"/>
                      <w:bCs w:val="0"/>
                      <w:color w:val="auto"/>
                      <w:sz w:val="21"/>
                      <w:szCs w:val="21"/>
                      <w:highlight w:val="none"/>
                      <w:lang w:val="en-US" w:eastAsia="zh-CN"/>
                    </w:rPr>
                    <w:t>2.262</w:t>
                  </w:r>
                  <w:r>
                    <w:rPr>
                      <w:rFonts w:hint="eastAsia"/>
                      <w:b w:val="0"/>
                      <w:bCs w:val="0"/>
                      <w:color w:val="auto"/>
                      <w:sz w:val="21"/>
                      <w:szCs w:val="21"/>
                      <w:highlight w:val="none"/>
                    </w:rPr>
                    <w:t>t/a，无组织排放：</w:t>
                  </w:r>
                  <w:r>
                    <w:rPr>
                      <w:rFonts w:hint="eastAsia"/>
                      <w:b w:val="0"/>
                      <w:bCs w:val="0"/>
                      <w:color w:val="auto"/>
                      <w:sz w:val="21"/>
                      <w:szCs w:val="21"/>
                      <w:highlight w:val="none"/>
                      <w:lang w:val="en-US" w:eastAsia="zh-CN"/>
                    </w:rPr>
                    <w:t>1.256</w:t>
                  </w:r>
                  <w:r>
                    <w:rPr>
                      <w:rFonts w:hint="eastAsia"/>
                      <w:b w:val="0"/>
                      <w:bCs w:val="0"/>
                      <w:color w:val="auto"/>
                      <w:sz w:val="21"/>
                      <w:szCs w:val="21"/>
                      <w:highlight w:val="none"/>
                    </w:rPr>
                    <w:t>t/a）。</w:t>
                  </w:r>
                  <w:r>
                    <w:rPr>
                      <w:rFonts w:hint="eastAsia"/>
                      <w:b w:val="0"/>
                      <w:bCs w:val="0"/>
                      <w:color w:val="auto"/>
                      <w:sz w:val="21"/>
                      <w:szCs w:val="21"/>
                      <w:highlight w:val="none"/>
                      <w:lang w:val="en-US" w:eastAsia="zh-CN"/>
                    </w:rPr>
                    <w:t>新增VOCs总量排放，需增加新的总量分配指标</w:t>
                  </w:r>
                </w:p>
              </w:tc>
              <w:tc>
                <w:tcPr>
                  <w:tcW w:w="529" w:type="pct"/>
                  <w:vAlign w:val="center"/>
                </w:tcPr>
                <w:p w14:paraId="26BA7179">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变动</w:t>
                  </w:r>
                </w:p>
              </w:tc>
              <w:tc>
                <w:tcPr>
                  <w:tcW w:w="530" w:type="pct"/>
                  <w:vAlign w:val="center"/>
                </w:tcPr>
                <w:p w14:paraId="1AA9A68A">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是</w:t>
                  </w:r>
                </w:p>
              </w:tc>
            </w:tr>
            <w:tr w14:paraId="343B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25CBFE33">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5</w:t>
                  </w:r>
                </w:p>
              </w:tc>
              <w:tc>
                <w:tcPr>
                  <w:tcW w:w="1342" w:type="pct"/>
                  <w:vAlign w:val="center"/>
                </w:tcPr>
                <w:p w14:paraId="6C90E2AE">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重新选址；在原厂址附近调整（包括总平面布置变化）导致环境防护距离范围变化且新增敏感点的</w:t>
                  </w:r>
                </w:p>
              </w:tc>
              <w:tc>
                <w:tcPr>
                  <w:tcW w:w="1204" w:type="pct"/>
                  <w:vAlign w:val="center"/>
                </w:tcPr>
                <w:p w14:paraId="3655D1E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原项目建设地点为广东省韶关市乐昌产业转移工业园GL-02-04-02-03地块</w:t>
                  </w:r>
                </w:p>
              </w:tc>
              <w:tc>
                <w:tcPr>
                  <w:tcW w:w="1123" w:type="pct"/>
                  <w:vAlign w:val="center"/>
                </w:tcPr>
                <w:p w14:paraId="2146D83B">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项目建设地点为广东省韶关市乐昌产业转移工业园GL-02-04-02-03地块</w:t>
                  </w:r>
                </w:p>
              </w:tc>
              <w:tc>
                <w:tcPr>
                  <w:tcW w:w="529" w:type="pct"/>
                  <w:vAlign w:val="center"/>
                </w:tcPr>
                <w:p w14:paraId="076FD9E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69451FD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5EF0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180D4BE8">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6</w:t>
                  </w:r>
                </w:p>
              </w:tc>
              <w:tc>
                <w:tcPr>
                  <w:tcW w:w="1342" w:type="pct"/>
                  <w:vAlign w:val="center"/>
                </w:tcPr>
                <w:p w14:paraId="55DA4495">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新增产品品种或生产工艺（含主要生产装置、设备及配套设施）、主要原辅材料、燃料变化，导致以下情形之一：</w:t>
                  </w:r>
                </w:p>
                <w:p w14:paraId="4E74F03A">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（1）新增排放污染物种类的（毒性、挥发性降低的除外）；</w:t>
                  </w:r>
                </w:p>
                <w:p w14:paraId="051F2139">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（2）位于环境质量不达标区的建设项目相应污染物排放量增加的；</w:t>
                  </w:r>
                </w:p>
                <w:p w14:paraId="1DA4D884">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（3）废水第一类污染物排放量增加的；</w:t>
                  </w:r>
                </w:p>
                <w:p w14:paraId="35473AD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（4）其他污染物排放量增加10%及以上的</w:t>
                  </w:r>
                </w:p>
              </w:tc>
              <w:tc>
                <w:tcPr>
                  <w:tcW w:w="1204" w:type="pct"/>
                  <w:vAlign w:val="center"/>
                </w:tcPr>
                <w:p w14:paraId="7B8BBBC8">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原项目年产破碎塑料（主要为PP/PE/ABS）71000吨；主要生产工序为破碎、分选等工序；主要原辅材料为废塑料（PP/PS/ABS)</w:t>
                  </w:r>
                </w:p>
              </w:tc>
              <w:tc>
                <w:tcPr>
                  <w:tcW w:w="1123" w:type="pct"/>
                  <w:vAlign w:val="center"/>
                </w:tcPr>
                <w:p w14:paraId="7C1AD096">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年产破碎塑料（主要为PP/PE/ABS/HIPS/PA）100000吨（其中其中约7万吨破碎塑料直接外售，约3万吨进一步加工为塑料颗粒外售）；主要生产工序为破碎、分选、造粒等工序；主要原辅材料为废塑料（PP/PE/ABS/HIPS/PA），新增VOCs排放</w:t>
                  </w:r>
                </w:p>
              </w:tc>
              <w:tc>
                <w:tcPr>
                  <w:tcW w:w="529" w:type="pct"/>
                  <w:vAlign w:val="center"/>
                </w:tcPr>
                <w:p w14:paraId="5ADF3359">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有变动</w:t>
                  </w:r>
                </w:p>
              </w:tc>
              <w:tc>
                <w:tcPr>
                  <w:tcW w:w="530" w:type="pct"/>
                  <w:vAlign w:val="center"/>
                </w:tcPr>
                <w:p w14:paraId="5BBFAE1A">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是</w:t>
                  </w:r>
                </w:p>
              </w:tc>
            </w:tr>
            <w:tr w14:paraId="215B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2EB8E3A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7</w:t>
                  </w:r>
                </w:p>
              </w:tc>
              <w:tc>
                <w:tcPr>
                  <w:tcW w:w="1342" w:type="pct"/>
                  <w:vAlign w:val="center"/>
                </w:tcPr>
                <w:p w14:paraId="533CEF93">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物料运输、装卸、贮存方式变化，导致大气污染物无组织排放量增加10%及以上的</w:t>
                  </w:r>
                </w:p>
              </w:tc>
              <w:tc>
                <w:tcPr>
                  <w:tcW w:w="1204" w:type="pct"/>
                  <w:vAlign w:val="center"/>
                </w:tcPr>
                <w:p w14:paraId="57D4448B">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1123" w:type="pct"/>
                  <w:vAlign w:val="center"/>
                </w:tcPr>
                <w:p w14:paraId="6DD771F1">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vAlign w:val="center"/>
                </w:tcPr>
                <w:p w14:paraId="480A9BF4">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79CC4FD2">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2658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74D42DE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8</w:t>
                  </w:r>
                </w:p>
              </w:tc>
              <w:tc>
                <w:tcPr>
                  <w:tcW w:w="1342" w:type="pct"/>
                  <w:vAlign w:val="center"/>
                </w:tcPr>
                <w:p w14:paraId="0231E565">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废气、废水污染防治措施变化，导致第6条中所列情形之一（废气无组织排放改为有组织排放、污染防治措施强化或改进的除外）或大气污染物无组织排放量增加10%及以上的</w:t>
                  </w:r>
                </w:p>
              </w:tc>
              <w:tc>
                <w:tcPr>
                  <w:tcW w:w="1204" w:type="pct"/>
                  <w:vAlign w:val="center"/>
                </w:tcPr>
                <w:p w14:paraId="73144015">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1、原项目破碎粉尘</w:t>
                  </w:r>
                  <w:r>
                    <w:rPr>
                      <w:rFonts w:hint="default"/>
                      <w:b w:val="0"/>
                      <w:bCs w:val="0"/>
                      <w:color w:val="auto"/>
                      <w:sz w:val="21"/>
                      <w:szCs w:val="21"/>
                      <w:highlight w:val="none"/>
                      <w:lang w:val="en-US" w:eastAsia="zh-CN"/>
                    </w:rPr>
                    <w:t>经集气罩收集后送至“</w:t>
                  </w:r>
                  <w:r>
                    <w:rPr>
                      <w:rFonts w:hint="eastAsia"/>
                      <w:b w:val="0"/>
                      <w:bCs w:val="0"/>
                      <w:color w:val="auto"/>
                      <w:sz w:val="21"/>
                      <w:szCs w:val="21"/>
                      <w:highlight w:val="none"/>
                      <w:lang w:val="en-US" w:eastAsia="zh-CN"/>
                    </w:rPr>
                    <w:t>布袋除尘器</w:t>
                  </w:r>
                  <w:r>
                    <w:rPr>
                      <w:rFonts w:hint="default"/>
                      <w:b w:val="0"/>
                      <w:bCs w:val="0"/>
                      <w:color w:val="auto"/>
                      <w:sz w:val="21"/>
                      <w:szCs w:val="21"/>
                      <w:highlight w:val="none"/>
                      <w:lang w:val="en-US" w:eastAsia="zh-CN"/>
                    </w:rPr>
                    <w:t>”处理后由1条</w:t>
                  </w:r>
                  <w:r>
                    <w:rPr>
                      <w:rFonts w:hint="eastAsia"/>
                      <w:b w:val="0"/>
                      <w:bCs w:val="0"/>
                      <w:color w:val="auto"/>
                      <w:sz w:val="21"/>
                      <w:szCs w:val="21"/>
                      <w:highlight w:val="none"/>
                      <w:lang w:val="en-US" w:eastAsia="zh-CN"/>
                    </w:rPr>
                    <w:t>15m</w:t>
                  </w:r>
                  <w:r>
                    <w:rPr>
                      <w:rFonts w:hint="default"/>
                      <w:b w:val="0"/>
                      <w:bCs w:val="0"/>
                      <w:color w:val="auto"/>
                      <w:sz w:val="21"/>
                      <w:szCs w:val="21"/>
                      <w:highlight w:val="none"/>
                      <w:lang w:val="en-US" w:eastAsia="zh-CN"/>
                    </w:rPr>
                    <w:t>高排气筒</w:t>
                  </w:r>
                  <w:r>
                    <w:rPr>
                      <w:rFonts w:hint="eastAsia"/>
                      <w:b w:val="0"/>
                      <w:bCs w:val="0"/>
                      <w:color w:val="auto"/>
                      <w:sz w:val="21"/>
                      <w:szCs w:val="21"/>
                      <w:highlight w:val="none"/>
                      <w:lang w:val="en-US" w:eastAsia="zh-CN"/>
                    </w:rPr>
                    <w:t>DA001</w:t>
                  </w:r>
                  <w:r>
                    <w:rPr>
                      <w:rFonts w:hint="default"/>
                      <w:b w:val="0"/>
                      <w:bCs w:val="0"/>
                      <w:color w:val="auto"/>
                      <w:sz w:val="21"/>
                      <w:szCs w:val="21"/>
                      <w:highlight w:val="none"/>
                      <w:lang w:val="en-US" w:eastAsia="zh-CN"/>
                    </w:rPr>
                    <w:t>排放</w:t>
                  </w:r>
                  <w:r>
                    <w:rPr>
                      <w:rFonts w:hint="eastAsia"/>
                      <w:b w:val="0"/>
                      <w:bCs w:val="0"/>
                      <w:color w:val="auto"/>
                      <w:sz w:val="21"/>
                      <w:szCs w:val="21"/>
                      <w:highlight w:val="none"/>
                      <w:lang w:val="en-US" w:eastAsia="zh-CN"/>
                    </w:rPr>
                    <w:t>；</w:t>
                  </w:r>
                </w:p>
                <w:p w14:paraId="395C13CA">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2、原项目无组织废气通过</w:t>
                  </w:r>
                  <w:r>
                    <w:rPr>
                      <w:rFonts w:hint="default"/>
                      <w:b w:val="0"/>
                      <w:bCs w:val="0"/>
                      <w:color w:val="auto"/>
                      <w:sz w:val="21"/>
                      <w:szCs w:val="21"/>
                      <w:highlight w:val="none"/>
                      <w:lang w:val="en-US" w:eastAsia="zh-CN"/>
                    </w:rPr>
                    <w:t>设置在密闭车间内，并加强车间管理，减少无组织排放</w:t>
                  </w:r>
                </w:p>
              </w:tc>
              <w:tc>
                <w:tcPr>
                  <w:tcW w:w="1123" w:type="pct"/>
                  <w:vAlign w:val="center"/>
                </w:tcPr>
                <w:p w14:paraId="29A9914A">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1、原项目破碎粉尘经废气经过收集处理达标后通过15m高排气筒DA001排放；</w:t>
                  </w:r>
                </w:p>
                <w:p w14:paraId="511DDDBC">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2、造粒废气经1套有机废气治理措施“电捕焦油+气旋混动喷淋+干式过滤+活性炭吸附脱附+催化燃烧+活性炭吸附”处理达标后通过15m高排气筒DA002高空排放；</w:t>
                  </w:r>
                </w:p>
                <w:p w14:paraId="3E4F3895">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3、新增颗粒物、VOCs、臭气浓度无组织排放</w:t>
                  </w:r>
                </w:p>
              </w:tc>
              <w:tc>
                <w:tcPr>
                  <w:tcW w:w="529" w:type="pct"/>
                  <w:vAlign w:val="center"/>
                </w:tcPr>
                <w:p w14:paraId="0D4F148C">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有变化</w:t>
                  </w:r>
                </w:p>
              </w:tc>
              <w:tc>
                <w:tcPr>
                  <w:tcW w:w="530" w:type="pct"/>
                  <w:vAlign w:val="center"/>
                </w:tcPr>
                <w:p w14:paraId="2D5FE3CD">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是</w:t>
                  </w:r>
                </w:p>
              </w:tc>
            </w:tr>
            <w:tr w14:paraId="0677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38F5428F">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9</w:t>
                  </w:r>
                </w:p>
              </w:tc>
              <w:tc>
                <w:tcPr>
                  <w:tcW w:w="1342" w:type="pct"/>
                  <w:vAlign w:val="center"/>
                </w:tcPr>
                <w:p w14:paraId="39163A00">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新增废水直接排放口；废水由间接排放改为直接排放；废水直接排放口位置变化，导致不利环境影响加重的</w:t>
                  </w:r>
                </w:p>
              </w:tc>
              <w:tc>
                <w:tcPr>
                  <w:tcW w:w="1204" w:type="pct"/>
                  <w:vAlign w:val="center"/>
                </w:tcPr>
                <w:p w14:paraId="3E9899E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不涉及</w:t>
                  </w:r>
                </w:p>
              </w:tc>
              <w:tc>
                <w:tcPr>
                  <w:tcW w:w="1123" w:type="pct"/>
                  <w:vAlign w:val="center"/>
                </w:tcPr>
                <w:p w14:paraId="48196BD8">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不涉及</w:t>
                  </w:r>
                </w:p>
              </w:tc>
              <w:tc>
                <w:tcPr>
                  <w:tcW w:w="529" w:type="pct"/>
                  <w:vAlign w:val="center"/>
                </w:tcPr>
                <w:p w14:paraId="0C90C843">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7C27BDB6">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2A95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413A2CBB">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10</w:t>
                  </w:r>
                </w:p>
              </w:tc>
              <w:tc>
                <w:tcPr>
                  <w:tcW w:w="1342" w:type="pct"/>
                  <w:vAlign w:val="center"/>
                </w:tcPr>
                <w:p w14:paraId="31AA4605">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新增废气主要排放口（废气无组织排放改为有组织排放的除外）；主要排放口排气筒高度降低10%及以上的</w:t>
                  </w:r>
                </w:p>
              </w:tc>
              <w:tc>
                <w:tcPr>
                  <w:tcW w:w="1204" w:type="pct"/>
                  <w:vAlign w:val="center"/>
                </w:tcPr>
                <w:p w14:paraId="45BC4C00">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原项目不涉及废气主要排放口</w:t>
                  </w:r>
                </w:p>
              </w:tc>
              <w:tc>
                <w:tcPr>
                  <w:tcW w:w="1123" w:type="pct"/>
                  <w:vAlign w:val="center"/>
                </w:tcPr>
                <w:p w14:paraId="662AA450">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本项目不涉及废气主要排放口</w:t>
                  </w:r>
                </w:p>
              </w:tc>
              <w:tc>
                <w:tcPr>
                  <w:tcW w:w="529" w:type="pct"/>
                  <w:vAlign w:val="center"/>
                </w:tcPr>
                <w:p w14:paraId="660CA1B0">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04067EF4">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3285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45F327AB">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11</w:t>
                  </w:r>
                </w:p>
              </w:tc>
              <w:tc>
                <w:tcPr>
                  <w:tcW w:w="1342" w:type="pct"/>
                  <w:vAlign w:val="center"/>
                </w:tcPr>
                <w:p w14:paraId="126C8388">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噪声、土壤或地下水污染防治措施变化，导致不利环境影响加重的</w:t>
                  </w:r>
                </w:p>
              </w:tc>
              <w:tc>
                <w:tcPr>
                  <w:tcW w:w="1204" w:type="pct"/>
                  <w:vAlign w:val="center"/>
                </w:tcPr>
                <w:p w14:paraId="1236303F">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原项目对生产设备采取减振、隔声、吸声、消声等治理措施；厂区地面已全部硬化，危废间、物料仓库地面硬化，并刷环氧树脂漆防渗层、设置围堰，正常情况下可有效阻止地下水污染途径</w:t>
                  </w:r>
                </w:p>
              </w:tc>
              <w:tc>
                <w:tcPr>
                  <w:tcW w:w="1123" w:type="pct"/>
                  <w:vAlign w:val="center"/>
                </w:tcPr>
                <w:p w14:paraId="22BC3E0A">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项目对生产设备采取减振、隔声、吸声、消声等治理措施；厂区地面已全部硬化，危废间、物料仓库地面硬化，并刷环氧树脂漆防渗层、设置围堰，正常情况下可有效阻止地下水污染途径</w:t>
                  </w:r>
                </w:p>
              </w:tc>
              <w:tc>
                <w:tcPr>
                  <w:tcW w:w="529" w:type="pct"/>
                  <w:vAlign w:val="center"/>
                </w:tcPr>
                <w:p w14:paraId="4968FEA6">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4AE12BBF">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291B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0B7E88E0">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12</w:t>
                  </w:r>
                </w:p>
              </w:tc>
              <w:tc>
                <w:tcPr>
                  <w:tcW w:w="1342" w:type="pct"/>
                  <w:vAlign w:val="center"/>
                </w:tcPr>
                <w:p w14:paraId="0BD0CCD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固体废物利用处置方式由委托外单位利用处置改为自行利用处置的（自行利用处置设施单独开展环境影响评价的除外）；固体废物自行处置方式变化，导致不利环境影响加重的</w:t>
                  </w:r>
                </w:p>
              </w:tc>
              <w:tc>
                <w:tcPr>
                  <w:tcW w:w="1204" w:type="pct"/>
                  <w:vAlign w:val="center"/>
                </w:tcPr>
                <w:p w14:paraId="4C38AAE7">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1123" w:type="pct"/>
                  <w:vAlign w:val="center"/>
                </w:tcPr>
                <w:p w14:paraId="334E465C">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vAlign w:val="center"/>
                </w:tcPr>
                <w:p w14:paraId="4134432F">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54F515A8">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r w14:paraId="3178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Align w:val="center"/>
                </w:tcPr>
                <w:p w14:paraId="3BB2B686">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13</w:t>
                  </w:r>
                </w:p>
              </w:tc>
              <w:tc>
                <w:tcPr>
                  <w:tcW w:w="1342" w:type="pct"/>
                  <w:vAlign w:val="center"/>
                </w:tcPr>
                <w:p w14:paraId="776356B2">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事故废水暂存能力或拦截设施变化，导致环境风险防范能力弱化或降低的</w:t>
                  </w:r>
                </w:p>
              </w:tc>
              <w:tc>
                <w:tcPr>
                  <w:tcW w:w="1204" w:type="pct"/>
                  <w:vAlign w:val="center"/>
                </w:tcPr>
                <w:p w14:paraId="2488F821">
                  <w:pPr>
                    <w:spacing w:line="240" w:lineRule="auto"/>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原项目设350m</w:t>
                  </w:r>
                  <w:r>
                    <w:rPr>
                      <w:rFonts w:hint="eastAsia"/>
                      <w:b w:val="0"/>
                      <w:bCs w:val="0"/>
                      <w:color w:val="auto"/>
                      <w:sz w:val="21"/>
                      <w:szCs w:val="21"/>
                      <w:highlight w:val="none"/>
                      <w:vertAlign w:val="superscript"/>
                      <w:lang w:val="en-US" w:eastAsia="zh-CN"/>
                    </w:rPr>
                    <w:t>3</w:t>
                  </w:r>
                  <w:r>
                    <w:rPr>
                      <w:rFonts w:hint="eastAsia"/>
                      <w:b w:val="0"/>
                      <w:bCs w:val="0"/>
                      <w:color w:val="auto"/>
                      <w:sz w:val="21"/>
                      <w:szCs w:val="21"/>
                      <w:highlight w:val="none"/>
                      <w:vertAlign w:val="baseline"/>
                      <w:lang w:val="en-US" w:eastAsia="zh-CN"/>
                    </w:rPr>
                    <w:t>的应急水池1座</w:t>
                  </w:r>
                </w:p>
              </w:tc>
              <w:tc>
                <w:tcPr>
                  <w:tcW w:w="1123" w:type="pct"/>
                  <w:vAlign w:val="center"/>
                </w:tcPr>
                <w:p w14:paraId="31DFF724">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项目设350m</w:t>
                  </w:r>
                  <w:r>
                    <w:rPr>
                      <w:rFonts w:hint="eastAsia"/>
                      <w:b w:val="0"/>
                      <w:bCs w:val="0"/>
                      <w:color w:val="auto"/>
                      <w:sz w:val="21"/>
                      <w:szCs w:val="21"/>
                      <w:highlight w:val="none"/>
                      <w:vertAlign w:val="superscript"/>
                      <w:lang w:val="en-US" w:eastAsia="zh-CN"/>
                    </w:rPr>
                    <w:t>3</w:t>
                  </w:r>
                  <w:r>
                    <w:rPr>
                      <w:rFonts w:hint="eastAsia"/>
                      <w:b w:val="0"/>
                      <w:bCs w:val="0"/>
                      <w:color w:val="auto"/>
                      <w:sz w:val="21"/>
                      <w:szCs w:val="21"/>
                      <w:highlight w:val="none"/>
                      <w:vertAlign w:val="baseline"/>
                      <w:lang w:val="en-US" w:eastAsia="zh-CN"/>
                    </w:rPr>
                    <w:t>的应急水池1座</w:t>
                  </w:r>
                </w:p>
              </w:tc>
              <w:tc>
                <w:tcPr>
                  <w:tcW w:w="529" w:type="pct"/>
                  <w:vAlign w:val="center"/>
                </w:tcPr>
                <w:p w14:paraId="5F663C86">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无变化</w:t>
                  </w:r>
                </w:p>
              </w:tc>
              <w:tc>
                <w:tcPr>
                  <w:tcW w:w="530" w:type="pct"/>
                  <w:vAlign w:val="center"/>
                </w:tcPr>
                <w:p w14:paraId="6572509F">
                  <w:pPr>
                    <w:spacing w:line="240" w:lineRule="auto"/>
                    <w:jc w:val="cente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否</w:t>
                  </w:r>
                </w:p>
              </w:tc>
            </w:tr>
          </w:tbl>
          <w:p w14:paraId="62DE0E95">
            <w:pPr>
              <w:pStyle w:val="25"/>
              <w:ind w:firstLine="480" w:firstLineChars="200"/>
              <w:jc w:val="both"/>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根据《中华人民共和国环境影响评价法》第二十四条：“建设项目的环境影响评价文件经批准后，建设项目的性质、规模、地点、采用的生产工艺或者防治污染、防止生态破坏的措施发生重大变动的，建设单位应当重新报批建设项目的环境影响评价文件。”，为此，</w:t>
            </w:r>
            <w:r>
              <w:rPr>
                <w:rFonts w:hint="eastAsia" w:cs="Times New Roman"/>
                <w:color w:val="auto"/>
                <w:szCs w:val="24"/>
                <w:highlight w:val="none"/>
                <w:lang w:val="en-US" w:eastAsia="zh-CN"/>
              </w:rPr>
              <w:t>建设单位根</w:t>
            </w:r>
            <w:r>
              <w:rPr>
                <w:rFonts w:hint="default" w:ascii="Times New Roman" w:hAnsi="Times New Roman" w:cs="Times New Roman"/>
                <w:color w:val="auto"/>
                <w:szCs w:val="24"/>
                <w:highlight w:val="none"/>
              </w:rPr>
              <w:t>据相关管理部门的建议，重新报批环境影响评价文件。</w:t>
            </w:r>
          </w:p>
          <w:p w14:paraId="6F046710">
            <w:pPr>
              <w:pStyle w:val="25"/>
              <w:ind w:firstLine="480" w:firstLineChars="200"/>
              <w:jc w:val="both"/>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本次重新报批环评主要</w:t>
            </w:r>
            <w:r>
              <w:rPr>
                <w:rFonts w:hint="eastAsia" w:cs="Times New Roman"/>
                <w:color w:val="auto"/>
                <w:szCs w:val="24"/>
                <w:highlight w:val="none"/>
                <w:lang w:val="en-US" w:eastAsia="zh-CN"/>
              </w:rPr>
              <w:t>产品方案</w:t>
            </w:r>
            <w:r>
              <w:rPr>
                <w:rFonts w:hint="default" w:ascii="Times New Roman" w:hAnsi="Times New Roman" w:cs="Times New Roman"/>
                <w:color w:val="auto"/>
                <w:szCs w:val="24"/>
                <w:highlight w:val="none"/>
              </w:rPr>
              <w:t>为</w:t>
            </w:r>
            <w:r>
              <w:rPr>
                <w:rFonts w:hint="eastAsia"/>
                <w:color w:val="auto"/>
                <w:highlight w:val="none"/>
                <w:lang w:val="en-US" w:eastAsia="zh-CN"/>
              </w:rPr>
              <w:t>年产破碎塑料</w:t>
            </w:r>
            <w:r>
              <w:rPr>
                <w:rFonts w:hint="eastAsia"/>
                <w:color w:val="auto"/>
                <w:highlight w:val="none"/>
              </w:rPr>
              <w:t>（主要为</w:t>
            </w:r>
            <w:r>
              <w:rPr>
                <w:rFonts w:hint="eastAsia" w:hAnsi="宋体"/>
                <w:color w:val="auto"/>
                <w:highlight w:val="none"/>
              </w:rPr>
              <w:t>PP/PE/ABS</w:t>
            </w:r>
            <w:r>
              <w:rPr>
                <w:rFonts w:hint="eastAsia" w:hAnsi="宋体"/>
                <w:color w:val="auto"/>
                <w:highlight w:val="none"/>
                <w:lang w:val="en-US" w:eastAsia="zh-CN"/>
              </w:rPr>
              <w:t>/HIPS/PA</w:t>
            </w:r>
            <w:r>
              <w:rPr>
                <w:rFonts w:hint="eastAsia"/>
                <w:color w:val="auto"/>
                <w:highlight w:val="none"/>
              </w:rPr>
              <w:t>）</w:t>
            </w:r>
            <w:r>
              <w:rPr>
                <w:rFonts w:hint="eastAsia"/>
                <w:color w:val="auto"/>
                <w:highlight w:val="none"/>
                <w:lang w:val="en-US" w:eastAsia="zh-CN"/>
              </w:rPr>
              <w:t>100000吨，其中7万吨破碎塑料直接外售，3万</w:t>
            </w:r>
            <w:r>
              <w:rPr>
                <w:rFonts w:hint="eastAsia"/>
                <w:color w:val="auto"/>
                <w:highlight w:val="none"/>
              </w:rPr>
              <w:t>吨</w:t>
            </w:r>
            <w:r>
              <w:rPr>
                <w:rFonts w:hint="eastAsia"/>
                <w:color w:val="auto"/>
                <w:highlight w:val="none"/>
                <w:lang w:val="en-US" w:eastAsia="zh-CN"/>
              </w:rPr>
              <w:t>进一步加工为塑料颗粒后外售</w:t>
            </w:r>
            <w:r>
              <w:rPr>
                <w:color w:val="auto"/>
                <w:highlight w:val="none"/>
              </w:rPr>
              <w:t>。</w:t>
            </w:r>
          </w:p>
          <w:p w14:paraId="50C14013">
            <w:pPr>
              <w:pStyle w:val="25"/>
              <w:ind w:firstLine="480" w:firstLineChars="200"/>
              <w:jc w:val="both"/>
              <w:rPr>
                <w:color w:val="auto"/>
                <w:highlight w:val="none"/>
              </w:rPr>
            </w:pPr>
            <w:r>
              <w:rPr>
                <w:color w:val="auto"/>
                <w:szCs w:val="24"/>
                <w:highlight w:val="none"/>
              </w:rPr>
              <w:t>因此，受</w:t>
            </w:r>
            <w:r>
              <w:rPr>
                <w:rFonts w:hint="eastAsia"/>
                <w:color w:val="auto"/>
                <w:szCs w:val="24"/>
                <w:highlight w:val="none"/>
              </w:rPr>
              <w:t>广东运南新材料有限公司</w:t>
            </w:r>
            <w:r>
              <w:rPr>
                <w:color w:val="auto"/>
                <w:szCs w:val="24"/>
                <w:highlight w:val="none"/>
              </w:rPr>
              <w:t>委托</w:t>
            </w:r>
            <w:r>
              <w:rPr>
                <w:color w:val="auto"/>
                <w:highlight w:val="none"/>
              </w:rPr>
              <w:t>，</w:t>
            </w:r>
            <w:r>
              <w:rPr>
                <w:rFonts w:hint="eastAsia"/>
                <w:color w:val="auto"/>
                <w:highlight w:val="none"/>
              </w:rPr>
              <w:t>我</w:t>
            </w:r>
            <w:r>
              <w:rPr>
                <w:color w:val="auto"/>
                <w:highlight w:val="none"/>
              </w:rPr>
              <w:t>公司承担了该项目的环境影响评价工作。接受委托后，在现场踏勘和资料收集等的基础上，根据环境影响评价技术导则及其它有关文件，编制了《</w:t>
            </w:r>
            <w:r>
              <w:rPr>
                <w:rFonts w:hint="eastAsia"/>
                <w:color w:val="auto"/>
                <w:highlight w:val="none"/>
              </w:rPr>
              <w:t>乐昌市运南新材料项目</w:t>
            </w:r>
            <w:r>
              <w:rPr>
                <w:rFonts w:hint="eastAsia"/>
                <w:color w:val="auto"/>
                <w:highlight w:val="none"/>
                <w:lang w:eastAsia="zh-CN"/>
              </w:rPr>
              <w:t>（</w:t>
            </w:r>
            <w:r>
              <w:rPr>
                <w:rFonts w:hint="eastAsia"/>
                <w:color w:val="auto"/>
                <w:highlight w:val="none"/>
                <w:lang w:val="en-US" w:eastAsia="zh-CN"/>
              </w:rPr>
              <w:t>重新报批</w:t>
            </w:r>
            <w:r>
              <w:rPr>
                <w:rFonts w:hint="eastAsia"/>
                <w:color w:val="auto"/>
                <w:highlight w:val="none"/>
                <w:lang w:eastAsia="zh-CN"/>
              </w:rPr>
              <w:t>）</w:t>
            </w:r>
            <w:r>
              <w:rPr>
                <w:color w:val="auto"/>
                <w:highlight w:val="none"/>
              </w:rPr>
              <w:t>环境影响报告表》</w:t>
            </w:r>
            <w:r>
              <w:rPr>
                <w:color w:val="auto"/>
                <w:szCs w:val="24"/>
                <w:highlight w:val="none"/>
              </w:rPr>
              <w:t>。</w:t>
            </w:r>
          </w:p>
          <w:p w14:paraId="7A7D4437">
            <w:pPr>
              <w:pStyle w:val="10"/>
              <w:numPr>
                <w:ilvl w:val="0"/>
                <w:numId w:val="0"/>
              </w:numPr>
              <w:ind w:firstLine="480" w:firstLineChars="200"/>
              <w:rPr>
                <w:color w:val="auto"/>
                <w:highlight w:val="none"/>
              </w:rPr>
            </w:pPr>
            <w:r>
              <w:rPr>
                <w:color w:val="auto"/>
                <w:highlight w:val="none"/>
              </w:rPr>
              <w:t>二、项目内容及规模</w:t>
            </w:r>
          </w:p>
          <w:p w14:paraId="0DE7110C">
            <w:pPr>
              <w:pStyle w:val="20"/>
              <w:numPr>
                <w:ilvl w:val="3"/>
                <w:numId w:val="0"/>
              </w:numPr>
              <w:ind w:left="-960" w:firstLine="1440"/>
              <w:rPr>
                <w:color w:val="auto"/>
                <w:highlight w:val="none"/>
              </w:rPr>
            </w:pPr>
            <w:r>
              <w:rPr>
                <w:color w:val="auto"/>
                <w:szCs w:val="24"/>
                <w:highlight w:val="none"/>
              </w:rPr>
              <w:t>1、</w:t>
            </w:r>
            <w:r>
              <w:rPr>
                <w:color w:val="auto"/>
                <w:highlight w:val="none"/>
              </w:rPr>
              <w:t>工程规模</w:t>
            </w:r>
          </w:p>
          <w:p w14:paraId="7A30F9D3">
            <w:pPr>
              <w:ind w:firstLine="480" w:firstLineChars="200"/>
              <w:rPr>
                <w:color w:val="auto"/>
                <w:highlight w:val="none"/>
                <w:lang w:val="zh-CN"/>
              </w:rPr>
            </w:pPr>
            <w:r>
              <w:rPr>
                <w:color w:val="auto"/>
                <w:highlight w:val="none"/>
              </w:rPr>
              <w:t>建设单位拟于</w:t>
            </w:r>
            <w:r>
              <w:rPr>
                <w:rFonts w:hint="eastAsia"/>
                <w:color w:val="auto"/>
                <w:highlight w:val="none"/>
              </w:rPr>
              <w:t>韶关市乐昌市乐昌产业转移工业园GL-02-04-02-03地块</w:t>
            </w:r>
            <w:r>
              <w:rPr>
                <w:color w:val="auto"/>
                <w:highlight w:val="none"/>
              </w:rPr>
              <w:t>，项目总占地面积</w:t>
            </w:r>
            <w:r>
              <w:rPr>
                <w:rFonts w:hint="eastAsia"/>
                <w:color w:val="auto"/>
                <w:kern w:val="24"/>
                <w:highlight w:val="none"/>
              </w:rPr>
              <w:t>37346.12</w:t>
            </w:r>
            <w:r>
              <w:rPr>
                <w:color w:val="auto"/>
                <w:kern w:val="24"/>
                <w:highlight w:val="none"/>
              </w:rPr>
              <w:t>m²</w:t>
            </w:r>
            <w:r>
              <w:rPr>
                <w:color w:val="auto"/>
                <w:highlight w:val="none"/>
              </w:rPr>
              <w:t>，总建筑面积</w:t>
            </w:r>
            <w:r>
              <w:rPr>
                <w:rFonts w:hint="eastAsia"/>
                <w:color w:val="auto"/>
                <w:highlight w:val="none"/>
              </w:rPr>
              <w:t>24640.56</w:t>
            </w:r>
            <w:r>
              <w:rPr>
                <w:color w:val="auto"/>
                <w:kern w:val="24"/>
                <w:highlight w:val="none"/>
              </w:rPr>
              <w:t>m²</w:t>
            </w:r>
            <w:r>
              <w:rPr>
                <w:color w:val="auto"/>
                <w:highlight w:val="none"/>
              </w:rPr>
              <w:t>，</w:t>
            </w:r>
            <w:r>
              <w:rPr>
                <w:color w:val="auto"/>
                <w:kern w:val="24"/>
                <w:highlight w:val="none"/>
              </w:rPr>
              <w:t>本项目</w:t>
            </w:r>
            <w:r>
              <w:rPr>
                <w:rFonts w:hint="eastAsia"/>
                <w:color w:val="auto"/>
                <w:highlight w:val="none"/>
                <w:lang w:val="en-US" w:eastAsia="zh-CN"/>
              </w:rPr>
              <w:t>位于3#厂房，</w:t>
            </w:r>
            <w:r>
              <w:rPr>
                <w:color w:val="auto"/>
                <w:highlight w:val="none"/>
              </w:rPr>
              <w:t>建设</w:t>
            </w:r>
            <w:r>
              <w:rPr>
                <w:rFonts w:hint="eastAsia"/>
                <w:color w:val="auto"/>
                <w:highlight w:val="none"/>
                <w:lang w:val="en-US" w:eastAsia="zh-CN"/>
              </w:rPr>
              <w:t>内容设置造粒机和配套成品仓库</w:t>
            </w:r>
            <w:r>
              <w:rPr>
                <w:color w:val="auto"/>
                <w:highlight w:val="none"/>
              </w:rPr>
              <w:t>等。</w:t>
            </w:r>
            <w:r>
              <w:rPr>
                <w:bCs/>
                <w:color w:val="auto"/>
                <w:kern w:val="0"/>
                <w:szCs w:val="28"/>
                <w:highlight w:val="none"/>
              </w:rPr>
              <w:t>建筑物情况和</w:t>
            </w:r>
            <w:r>
              <w:rPr>
                <w:color w:val="auto"/>
                <w:highlight w:val="none"/>
              </w:rPr>
              <w:t>工程组成内容见表2-1，平面布置图见附图3</w:t>
            </w:r>
            <w:r>
              <w:rPr>
                <w:rFonts w:hint="eastAsia"/>
                <w:color w:val="auto"/>
                <w:highlight w:val="none"/>
                <w:lang w:val="en-US" w:eastAsia="zh-CN"/>
              </w:rPr>
              <w:t>-1</w:t>
            </w:r>
            <w:r>
              <w:rPr>
                <w:color w:val="auto"/>
                <w:highlight w:val="none"/>
              </w:rPr>
              <w:t>，</w:t>
            </w:r>
            <w:r>
              <w:rPr>
                <w:color w:val="auto"/>
                <w:highlight w:val="none"/>
                <w:lang w:val="zh-CN"/>
              </w:rPr>
              <w:t>工程组成见表</w:t>
            </w:r>
            <w:r>
              <w:rPr>
                <w:color w:val="auto"/>
                <w:highlight w:val="none"/>
              </w:rPr>
              <w:t>2-2</w:t>
            </w:r>
            <w:r>
              <w:rPr>
                <w:color w:val="auto"/>
                <w:highlight w:val="none"/>
                <w:lang w:val="zh-CN"/>
              </w:rPr>
              <w:t>。</w:t>
            </w:r>
          </w:p>
          <w:p w14:paraId="547263F7">
            <w:pPr>
              <w:pStyle w:val="112"/>
              <w:jc w:val="center"/>
              <w:rPr>
                <w:b/>
                <w:bCs/>
                <w:color w:val="auto"/>
                <w:sz w:val="21"/>
                <w:szCs w:val="21"/>
                <w:highlight w:val="none"/>
              </w:rPr>
            </w:pPr>
            <w:r>
              <w:rPr>
                <w:b/>
                <w:bCs/>
                <w:color w:val="auto"/>
                <w:sz w:val="21"/>
                <w:szCs w:val="21"/>
                <w:highlight w:val="none"/>
              </w:rPr>
              <w:t>主要建筑物面积一览表</w:t>
            </w:r>
          </w:p>
          <w:tbl>
            <w:tblPr>
              <w:tblStyle w:val="49"/>
              <w:tblW w:w="8599" w:type="dxa"/>
              <w:jc w:val="center"/>
              <w:tblLayout w:type="autofit"/>
              <w:tblCellMar>
                <w:top w:w="0" w:type="dxa"/>
                <w:left w:w="108" w:type="dxa"/>
                <w:bottom w:w="0" w:type="dxa"/>
                <w:right w:w="108" w:type="dxa"/>
              </w:tblCellMar>
            </w:tblPr>
            <w:tblGrid>
              <w:gridCol w:w="1899"/>
              <w:gridCol w:w="1094"/>
              <w:gridCol w:w="1085"/>
              <w:gridCol w:w="2118"/>
              <w:gridCol w:w="2403"/>
            </w:tblGrid>
            <w:tr w14:paraId="32E85FDA">
              <w:tblPrEx>
                <w:tblCellMar>
                  <w:top w:w="0" w:type="dxa"/>
                  <w:left w:w="108" w:type="dxa"/>
                  <w:bottom w:w="0" w:type="dxa"/>
                  <w:right w:w="108" w:type="dxa"/>
                </w:tblCellMar>
              </w:tblPrEx>
              <w:trPr>
                <w:trHeight w:val="370" w:hRule="atLeast"/>
                <w:jc w:val="center"/>
              </w:trPr>
              <w:tc>
                <w:tcPr>
                  <w:tcW w:w="23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E1664">
                  <w:pPr>
                    <w:widowControl/>
                    <w:spacing w:line="276" w:lineRule="auto"/>
                    <w:jc w:val="center"/>
                    <w:textAlignment w:val="center"/>
                    <w:rPr>
                      <w:b/>
                      <w:bCs/>
                      <w:color w:val="auto"/>
                      <w:sz w:val="21"/>
                      <w:szCs w:val="21"/>
                      <w:highlight w:val="none"/>
                    </w:rPr>
                  </w:pPr>
                  <w:r>
                    <w:rPr>
                      <w:b/>
                      <w:bCs/>
                      <w:color w:val="auto"/>
                      <w:kern w:val="0"/>
                      <w:sz w:val="21"/>
                      <w:szCs w:val="21"/>
                      <w:highlight w:val="none"/>
                    </w:rPr>
                    <w:t>项目</w:t>
                  </w:r>
                </w:p>
              </w:tc>
              <w:tc>
                <w:tcPr>
                  <w:tcW w:w="1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5F92">
                  <w:pPr>
                    <w:widowControl/>
                    <w:spacing w:line="276" w:lineRule="auto"/>
                    <w:jc w:val="center"/>
                    <w:textAlignment w:val="center"/>
                    <w:rPr>
                      <w:b/>
                      <w:bCs/>
                      <w:color w:val="auto"/>
                      <w:sz w:val="21"/>
                      <w:szCs w:val="21"/>
                      <w:highlight w:val="none"/>
                    </w:rPr>
                  </w:pPr>
                  <w:r>
                    <w:rPr>
                      <w:b/>
                      <w:bCs/>
                      <w:color w:val="auto"/>
                      <w:kern w:val="0"/>
                      <w:sz w:val="21"/>
                      <w:szCs w:val="21"/>
                      <w:highlight w:val="none"/>
                    </w:rPr>
                    <w:t>计算单位</w:t>
                  </w:r>
                </w:p>
              </w:tc>
              <w:tc>
                <w:tcPr>
                  <w:tcW w:w="1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17F74">
                  <w:pPr>
                    <w:widowControl/>
                    <w:spacing w:line="276" w:lineRule="auto"/>
                    <w:jc w:val="center"/>
                    <w:textAlignment w:val="center"/>
                    <w:rPr>
                      <w:b/>
                      <w:bCs/>
                      <w:color w:val="auto"/>
                      <w:sz w:val="21"/>
                      <w:szCs w:val="21"/>
                      <w:highlight w:val="none"/>
                    </w:rPr>
                  </w:pPr>
                  <w:r>
                    <w:rPr>
                      <w:b/>
                      <w:bCs/>
                      <w:color w:val="auto"/>
                      <w:kern w:val="0"/>
                      <w:sz w:val="21"/>
                      <w:szCs w:val="21"/>
                      <w:highlight w:val="none"/>
                    </w:rPr>
                    <w:t>数值</w:t>
                  </w:r>
                </w:p>
              </w:tc>
            </w:tr>
            <w:tr w14:paraId="5E6E9752">
              <w:tblPrEx>
                <w:tblCellMar>
                  <w:top w:w="0" w:type="dxa"/>
                  <w:left w:w="108" w:type="dxa"/>
                  <w:bottom w:w="0" w:type="dxa"/>
                  <w:right w:w="108" w:type="dxa"/>
                </w:tblCellMar>
              </w:tblPrEx>
              <w:trPr>
                <w:trHeight w:val="370" w:hRule="atLeast"/>
                <w:jc w:val="center"/>
              </w:trPr>
              <w:tc>
                <w:tcPr>
                  <w:tcW w:w="2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1A90">
                  <w:pPr>
                    <w:widowControl/>
                    <w:spacing w:line="276" w:lineRule="auto"/>
                    <w:jc w:val="center"/>
                    <w:textAlignment w:val="center"/>
                    <w:rPr>
                      <w:color w:val="auto"/>
                      <w:sz w:val="21"/>
                      <w:szCs w:val="21"/>
                      <w:highlight w:val="none"/>
                    </w:rPr>
                  </w:pPr>
                  <w:r>
                    <w:rPr>
                      <w:color w:val="auto"/>
                      <w:kern w:val="0"/>
                      <w:sz w:val="21"/>
                      <w:szCs w:val="21"/>
                      <w:highlight w:val="none"/>
                    </w:rPr>
                    <w:t>规划建设用地面积</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37C2">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7943E">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37346.12</w:t>
                  </w:r>
                </w:p>
              </w:tc>
            </w:tr>
            <w:tr w14:paraId="6C9CDDB4">
              <w:tblPrEx>
                <w:tblCellMar>
                  <w:top w:w="0" w:type="dxa"/>
                  <w:left w:w="108" w:type="dxa"/>
                  <w:bottom w:w="0" w:type="dxa"/>
                  <w:right w:w="108" w:type="dxa"/>
                </w:tblCellMar>
              </w:tblPrEx>
              <w:trPr>
                <w:trHeight w:val="370" w:hRule="atLeast"/>
                <w:jc w:val="center"/>
              </w:trPr>
              <w:tc>
                <w:tcPr>
                  <w:tcW w:w="2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67D7">
                  <w:pPr>
                    <w:widowControl/>
                    <w:spacing w:line="276" w:lineRule="auto"/>
                    <w:jc w:val="center"/>
                    <w:textAlignment w:val="center"/>
                    <w:rPr>
                      <w:color w:val="auto"/>
                      <w:sz w:val="21"/>
                      <w:szCs w:val="21"/>
                      <w:highlight w:val="none"/>
                    </w:rPr>
                  </w:pPr>
                  <w:r>
                    <w:rPr>
                      <w:color w:val="auto"/>
                      <w:kern w:val="0"/>
                      <w:sz w:val="21"/>
                      <w:szCs w:val="21"/>
                      <w:highlight w:val="none"/>
                    </w:rPr>
                    <w:t>总建筑面积</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C2C6">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401E">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24640.56</w:t>
                  </w:r>
                </w:p>
              </w:tc>
            </w:tr>
            <w:tr w14:paraId="4533B511">
              <w:tblPrEx>
                <w:tblCellMar>
                  <w:top w:w="0" w:type="dxa"/>
                  <w:left w:w="108" w:type="dxa"/>
                  <w:bottom w:w="0" w:type="dxa"/>
                  <w:right w:w="108" w:type="dxa"/>
                </w:tblCellMar>
              </w:tblPrEx>
              <w:trPr>
                <w:trHeight w:val="481" w:hRule="atLeast"/>
                <w:jc w:val="center"/>
              </w:trPr>
              <w:tc>
                <w:tcPr>
                  <w:tcW w:w="11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94199">
                  <w:pPr>
                    <w:widowControl/>
                    <w:spacing w:line="276" w:lineRule="auto"/>
                    <w:jc w:val="center"/>
                    <w:textAlignment w:val="center"/>
                    <w:rPr>
                      <w:color w:val="auto"/>
                      <w:sz w:val="21"/>
                      <w:szCs w:val="21"/>
                      <w:highlight w:val="none"/>
                    </w:rPr>
                  </w:pPr>
                  <w:r>
                    <w:rPr>
                      <w:color w:val="auto"/>
                      <w:kern w:val="0"/>
                      <w:sz w:val="21"/>
                      <w:szCs w:val="21"/>
                      <w:highlight w:val="none"/>
                    </w:rPr>
                    <w:t>其中</w:t>
                  </w:r>
                </w:p>
              </w:tc>
              <w:tc>
                <w:tcPr>
                  <w:tcW w:w="636" w:type="pct"/>
                  <w:vMerge w:val="restart"/>
                  <w:tcBorders>
                    <w:top w:val="single" w:color="000000" w:sz="4" w:space="0"/>
                    <w:left w:val="single" w:color="000000" w:sz="4" w:space="0"/>
                    <w:right w:val="single" w:color="auto" w:sz="4" w:space="0"/>
                  </w:tcBorders>
                  <w:shd w:val="clear" w:color="auto" w:fill="auto"/>
                  <w:noWrap/>
                  <w:vAlign w:val="center"/>
                </w:tcPr>
                <w:p w14:paraId="491377E9">
                  <w:pPr>
                    <w:widowControl/>
                    <w:spacing w:line="276" w:lineRule="auto"/>
                    <w:jc w:val="center"/>
                    <w:textAlignment w:val="center"/>
                    <w:rPr>
                      <w:color w:val="auto"/>
                      <w:sz w:val="21"/>
                      <w:szCs w:val="21"/>
                      <w:highlight w:val="none"/>
                    </w:rPr>
                  </w:pPr>
                  <w:r>
                    <w:rPr>
                      <w:rFonts w:hint="eastAsia"/>
                      <w:color w:val="auto"/>
                      <w:sz w:val="21"/>
                      <w:szCs w:val="21"/>
                      <w:highlight w:val="none"/>
                    </w:rPr>
                    <w:t>1#综合楼</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32F231">
                  <w:pPr>
                    <w:widowControl/>
                    <w:spacing w:line="276" w:lineRule="auto"/>
                    <w:jc w:val="center"/>
                    <w:textAlignment w:val="center"/>
                    <w:rPr>
                      <w:color w:val="auto"/>
                      <w:sz w:val="21"/>
                      <w:szCs w:val="21"/>
                      <w:highlight w:val="none"/>
                    </w:rPr>
                  </w:pPr>
                  <w:r>
                    <w:rPr>
                      <w:rFonts w:hint="eastAsia"/>
                      <w:color w:val="auto"/>
                      <w:sz w:val="21"/>
                      <w:szCs w:val="21"/>
                      <w:highlight w:val="none"/>
                    </w:rPr>
                    <w:t>1F</w:t>
                  </w:r>
                </w:p>
              </w:tc>
              <w:tc>
                <w:tcPr>
                  <w:tcW w:w="123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FAEF96E">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3714">
                  <w:pPr>
                    <w:jc w:val="center"/>
                    <w:rPr>
                      <w:color w:val="auto"/>
                      <w:kern w:val="0"/>
                      <w:sz w:val="21"/>
                      <w:szCs w:val="21"/>
                      <w:highlight w:val="none"/>
                    </w:rPr>
                  </w:pPr>
                  <w:r>
                    <w:rPr>
                      <w:rFonts w:hint="eastAsia"/>
                      <w:color w:val="auto"/>
                      <w:sz w:val="21"/>
                      <w:szCs w:val="21"/>
                      <w:highlight w:val="none"/>
                    </w:rPr>
                    <w:t>855.88</w:t>
                  </w:r>
                </w:p>
              </w:tc>
            </w:tr>
            <w:tr w14:paraId="02472ECF">
              <w:tblPrEx>
                <w:tblCellMar>
                  <w:top w:w="0" w:type="dxa"/>
                  <w:left w:w="108" w:type="dxa"/>
                  <w:bottom w:w="0" w:type="dxa"/>
                  <w:right w:w="108" w:type="dxa"/>
                </w:tblCellMar>
              </w:tblPrEx>
              <w:trPr>
                <w:trHeight w:val="481" w:hRule="atLeast"/>
                <w:jc w:val="center"/>
              </w:trPr>
              <w:tc>
                <w:tcPr>
                  <w:tcW w:w="1104" w:type="pct"/>
                  <w:vMerge w:val="continue"/>
                  <w:tcBorders>
                    <w:left w:val="single" w:color="000000" w:sz="4" w:space="0"/>
                    <w:right w:val="single" w:color="000000" w:sz="4" w:space="0"/>
                  </w:tcBorders>
                  <w:shd w:val="clear" w:color="auto" w:fill="auto"/>
                  <w:vAlign w:val="center"/>
                </w:tcPr>
                <w:p w14:paraId="06BC3A60">
                  <w:pPr>
                    <w:widowControl/>
                    <w:spacing w:line="276" w:lineRule="auto"/>
                    <w:jc w:val="center"/>
                    <w:textAlignment w:val="center"/>
                    <w:rPr>
                      <w:color w:val="auto"/>
                      <w:kern w:val="0"/>
                      <w:sz w:val="21"/>
                      <w:szCs w:val="21"/>
                      <w:highlight w:val="none"/>
                    </w:rPr>
                  </w:pPr>
                </w:p>
              </w:tc>
              <w:tc>
                <w:tcPr>
                  <w:tcW w:w="636" w:type="pct"/>
                  <w:vMerge w:val="continue"/>
                  <w:tcBorders>
                    <w:left w:val="single" w:color="000000" w:sz="4" w:space="0"/>
                    <w:right w:val="single" w:color="auto" w:sz="4" w:space="0"/>
                  </w:tcBorders>
                  <w:shd w:val="clear" w:color="auto" w:fill="auto"/>
                  <w:noWrap/>
                  <w:vAlign w:val="center"/>
                </w:tcPr>
                <w:p w14:paraId="633027EE">
                  <w:pPr>
                    <w:widowControl/>
                    <w:spacing w:line="276" w:lineRule="auto"/>
                    <w:jc w:val="center"/>
                    <w:textAlignment w:val="center"/>
                    <w:rPr>
                      <w:color w:val="auto"/>
                      <w:sz w:val="21"/>
                      <w:szCs w:val="21"/>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649DA9">
                  <w:pPr>
                    <w:widowControl/>
                    <w:spacing w:line="276" w:lineRule="auto"/>
                    <w:jc w:val="center"/>
                    <w:textAlignment w:val="center"/>
                    <w:rPr>
                      <w:color w:val="auto"/>
                      <w:sz w:val="21"/>
                      <w:szCs w:val="21"/>
                      <w:highlight w:val="none"/>
                    </w:rPr>
                  </w:pPr>
                  <w:r>
                    <w:rPr>
                      <w:rFonts w:hint="eastAsia"/>
                      <w:color w:val="auto"/>
                      <w:sz w:val="21"/>
                      <w:szCs w:val="21"/>
                      <w:highlight w:val="none"/>
                    </w:rPr>
                    <w:t>2F</w:t>
                  </w:r>
                </w:p>
              </w:tc>
              <w:tc>
                <w:tcPr>
                  <w:tcW w:w="123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39002C1">
                  <w:pPr>
                    <w:widowControl/>
                    <w:spacing w:line="276" w:lineRule="auto"/>
                    <w:jc w:val="center"/>
                    <w:textAlignment w:val="center"/>
                    <w:rPr>
                      <w:color w:val="auto"/>
                      <w:kern w:val="0"/>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4078">
                  <w:pPr>
                    <w:jc w:val="center"/>
                    <w:rPr>
                      <w:color w:val="auto"/>
                      <w:kern w:val="0"/>
                      <w:sz w:val="21"/>
                      <w:szCs w:val="21"/>
                      <w:highlight w:val="none"/>
                    </w:rPr>
                  </w:pPr>
                  <w:r>
                    <w:rPr>
                      <w:rFonts w:hint="eastAsia"/>
                      <w:color w:val="auto"/>
                      <w:sz w:val="21"/>
                      <w:szCs w:val="21"/>
                      <w:highlight w:val="none"/>
                    </w:rPr>
                    <w:t>706.04</w:t>
                  </w:r>
                </w:p>
              </w:tc>
            </w:tr>
            <w:tr w14:paraId="47FFCE66">
              <w:tblPrEx>
                <w:tblCellMar>
                  <w:top w:w="0" w:type="dxa"/>
                  <w:left w:w="108" w:type="dxa"/>
                  <w:bottom w:w="0" w:type="dxa"/>
                  <w:right w:w="108" w:type="dxa"/>
                </w:tblCellMar>
              </w:tblPrEx>
              <w:trPr>
                <w:trHeight w:val="481" w:hRule="atLeast"/>
                <w:jc w:val="center"/>
              </w:trPr>
              <w:tc>
                <w:tcPr>
                  <w:tcW w:w="1104" w:type="pct"/>
                  <w:vMerge w:val="continue"/>
                  <w:tcBorders>
                    <w:left w:val="single" w:color="000000" w:sz="4" w:space="0"/>
                    <w:right w:val="single" w:color="000000" w:sz="4" w:space="0"/>
                  </w:tcBorders>
                  <w:shd w:val="clear" w:color="auto" w:fill="auto"/>
                  <w:vAlign w:val="center"/>
                </w:tcPr>
                <w:p w14:paraId="5342FD62">
                  <w:pPr>
                    <w:widowControl/>
                    <w:spacing w:line="276" w:lineRule="auto"/>
                    <w:jc w:val="center"/>
                    <w:textAlignment w:val="center"/>
                    <w:rPr>
                      <w:color w:val="auto"/>
                      <w:kern w:val="0"/>
                      <w:sz w:val="21"/>
                      <w:szCs w:val="21"/>
                      <w:highlight w:val="none"/>
                    </w:rPr>
                  </w:pPr>
                </w:p>
              </w:tc>
              <w:tc>
                <w:tcPr>
                  <w:tcW w:w="636" w:type="pct"/>
                  <w:vMerge w:val="continue"/>
                  <w:tcBorders>
                    <w:left w:val="single" w:color="000000" w:sz="4" w:space="0"/>
                    <w:right w:val="single" w:color="auto" w:sz="4" w:space="0"/>
                  </w:tcBorders>
                  <w:shd w:val="clear" w:color="auto" w:fill="auto"/>
                  <w:noWrap/>
                  <w:vAlign w:val="center"/>
                </w:tcPr>
                <w:p w14:paraId="49DFFCDD">
                  <w:pPr>
                    <w:widowControl/>
                    <w:spacing w:line="276" w:lineRule="auto"/>
                    <w:jc w:val="center"/>
                    <w:textAlignment w:val="center"/>
                    <w:rPr>
                      <w:color w:val="auto"/>
                      <w:sz w:val="21"/>
                      <w:szCs w:val="21"/>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31EF8">
                  <w:pPr>
                    <w:widowControl/>
                    <w:spacing w:line="276" w:lineRule="auto"/>
                    <w:jc w:val="center"/>
                    <w:textAlignment w:val="center"/>
                    <w:rPr>
                      <w:color w:val="auto"/>
                      <w:sz w:val="21"/>
                      <w:szCs w:val="21"/>
                      <w:highlight w:val="none"/>
                    </w:rPr>
                  </w:pPr>
                  <w:r>
                    <w:rPr>
                      <w:rFonts w:hint="eastAsia"/>
                      <w:color w:val="auto"/>
                      <w:sz w:val="21"/>
                      <w:szCs w:val="21"/>
                      <w:highlight w:val="none"/>
                    </w:rPr>
                    <w:t>3F</w:t>
                  </w:r>
                </w:p>
              </w:tc>
              <w:tc>
                <w:tcPr>
                  <w:tcW w:w="123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8488AC6">
                  <w:pPr>
                    <w:widowControl/>
                    <w:spacing w:line="276" w:lineRule="auto"/>
                    <w:jc w:val="center"/>
                    <w:textAlignment w:val="center"/>
                    <w:rPr>
                      <w:color w:val="auto"/>
                      <w:kern w:val="0"/>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EA9D">
                  <w:pPr>
                    <w:jc w:val="center"/>
                    <w:rPr>
                      <w:color w:val="auto"/>
                      <w:kern w:val="0"/>
                      <w:sz w:val="21"/>
                      <w:szCs w:val="21"/>
                      <w:highlight w:val="none"/>
                    </w:rPr>
                  </w:pPr>
                  <w:r>
                    <w:rPr>
                      <w:rFonts w:hint="eastAsia"/>
                      <w:color w:val="auto"/>
                      <w:sz w:val="21"/>
                      <w:szCs w:val="21"/>
                      <w:highlight w:val="none"/>
                    </w:rPr>
                    <w:t>706.04</w:t>
                  </w:r>
                </w:p>
              </w:tc>
            </w:tr>
            <w:tr w14:paraId="6A1ACF79">
              <w:tblPrEx>
                <w:tblCellMar>
                  <w:top w:w="0" w:type="dxa"/>
                  <w:left w:w="108" w:type="dxa"/>
                  <w:bottom w:w="0" w:type="dxa"/>
                  <w:right w:w="108" w:type="dxa"/>
                </w:tblCellMar>
              </w:tblPrEx>
              <w:trPr>
                <w:trHeight w:val="481" w:hRule="atLeast"/>
                <w:jc w:val="center"/>
              </w:trPr>
              <w:tc>
                <w:tcPr>
                  <w:tcW w:w="1104" w:type="pct"/>
                  <w:vMerge w:val="continue"/>
                  <w:tcBorders>
                    <w:left w:val="single" w:color="000000" w:sz="4" w:space="0"/>
                    <w:right w:val="single" w:color="000000" w:sz="4" w:space="0"/>
                  </w:tcBorders>
                  <w:shd w:val="clear" w:color="auto" w:fill="auto"/>
                  <w:vAlign w:val="center"/>
                </w:tcPr>
                <w:p w14:paraId="317B358B">
                  <w:pPr>
                    <w:widowControl/>
                    <w:spacing w:line="276" w:lineRule="auto"/>
                    <w:jc w:val="center"/>
                    <w:textAlignment w:val="center"/>
                    <w:rPr>
                      <w:color w:val="auto"/>
                      <w:kern w:val="0"/>
                      <w:sz w:val="21"/>
                      <w:szCs w:val="21"/>
                      <w:highlight w:val="none"/>
                    </w:rPr>
                  </w:pPr>
                </w:p>
              </w:tc>
              <w:tc>
                <w:tcPr>
                  <w:tcW w:w="636" w:type="pct"/>
                  <w:vMerge w:val="continue"/>
                  <w:tcBorders>
                    <w:left w:val="single" w:color="000000" w:sz="4" w:space="0"/>
                    <w:bottom w:val="single" w:color="000000" w:sz="4" w:space="0"/>
                    <w:right w:val="single" w:color="auto" w:sz="4" w:space="0"/>
                  </w:tcBorders>
                  <w:shd w:val="clear" w:color="auto" w:fill="auto"/>
                  <w:noWrap/>
                  <w:vAlign w:val="center"/>
                </w:tcPr>
                <w:p w14:paraId="24A2A4C9">
                  <w:pPr>
                    <w:widowControl/>
                    <w:spacing w:line="276" w:lineRule="auto"/>
                    <w:jc w:val="center"/>
                    <w:textAlignment w:val="center"/>
                    <w:rPr>
                      <w:color w:val="auto"/>
                      <w:sz w:val="21"/>
                      <w:szCs w:val="21"/>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DD399F">
                  <w:pPr>
                    <w:widowControl/>
                    <w:spacing w:line="276" w:lineRule="auto"/>
                    <w:jc w:val="center"/>
                    <w:textAlignment w:val="center"/>
                    <w:rPr>
                      <w:color w:val="auto"/>
                      <w:sz w:val="21"/>
                      <w:szCs w:val="21"/>
                      <w:highlight w:val="none"/>
                    </w:rPr>
                  </w:pPr>
                  <w:r>
                    <w:rPr>
                      <w:rFonts w:hint="eastAsia"/>
                      <w:color w:val="auto"/>
                      <w:sz w:val="21"/>
                      <w:szCs w:val="21"/>
                      <w:highlight w:val="none"/>
                    </w:rPr>
                    <w:t>4F</w:t>
                  </w:r>
                </w:p>
              </w:tc>
              <w:tc>
                <w:tcPr>
                  <w:tcW w:w="123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CB856A1">
                  <w:pPr>
                    <w:widowControl/>
                    <w:spacing w:line="276" w:lineRule="auto"/>
                    <w:jc w:val="center"/>
                    <w:textAlignment w:val="center"/>
                    <w:rPr>
                      <w:color w:val="auto"/>
                      <w:kern w:val="0"/>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EDD9">
                  <w:pPr>
                    <w:jc w:val="center"/>
                    <w:rPr>
                      <w:color w:val="auto"/>
                      <w:kern w:val="0"/>
                      <w:sz w:val="21"/>
                      <w:szCs w:val="21"/>
                      <w:highlight w:val="none"/>
                    </w:rPr>
                  </w:pPr>
                  <w:r>
                    <w:rPr>
                      <w:rFonts w:hint="eastAsia"/>
                      <w:color w:val="auto"/>
                      <w:sz w:val="21"/>
                      <w:szCs w:val="21"/>
                      <w:highlight w:val="none"/>
                    </w:rPr>
                    <w:t>706.04</w:t>
                  </w:r>
                </w:p>
              </w:tc>
            </w:tr>
            <w:tr w14:paraId="0352F930">
              <w:tblPrEx>
                <w:tblCellMar>
                  <w:top w:w="0" w:type="dxa"/>
                  <w:left w:w="108" w:type="dxa"/>
                  <w:bottom w:w="0" w:type="dxa"/>
                  <w:right w:w="108" w:type="dxa"/>
                </w:tblCellMar>
              </w:tblPrEx>
              <w:trPr>
                <w:trHeight w:val="370" w:hRule="atLeast"/>
                <w:jc w:val="center"/>
              </w:trPr>
              <w:tc>
                <w:tcPr>
                  <w:tcW w:w="11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5FAC3">
                  <w:pPr>
                    <w:widowControl/>
                    <w:spacing w:line="276" w:lineRule="auto"/>
                    <w:jc w:val="center"/>
                    <w:rPr>
                      <w:color w:val="auto"/>
                      <w:sz w:val="21"/>
                      <w:szCs w:val="21"/>
                      <w:highlight w:val="none"/>
                    </w:rPr>
                  </w:pPr>
                </w:p>
              </w:tc>
              <w:tc>
                <w:tcPr>
                  <w:tcW w:w="12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44A6">
                  <w:pPr>
                    <w:widowControl/>
                    <w:spacing w:line="276" w:lineRule="auto"/>
                    <w:jc w:val="center"/>
                    <w:textAlignment w:val="center"/>
                    <w:rPr>
                      <w:color w:val="auto"/>
                      <w:sz w:val="21"/>
                      <w:szCs w:val="21"/>
                      <w:highlight w:val="none"/>
                    </w:rPr>
                  </w:pPr>
                  <w:r>
                    <w:rPr>
                      <w:rFonts w:hint="eastAsia"/>
                      <w:color w:val="auto"/>
                      <w:sz w:val="21"/>
                      <w:szCs w:val="21"/>
                      <w:highlight w:val="none"/>
                    </w:rPr>
                    <w:t>2#厂房</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2AC4">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7A76">
                  <w:pPr>
                    <w:widowControl/>
                    <w:spacing w:line="276" w:lineRule="auto"/>
                    <w:jc w:val="center"/>
                    <w:textAlignment w:val="center"/>
                    <w:rPr>
                      <w:color w:val="auto"/>
                      <w:kern w:val="0"/>
                      <w:sz w:val="21"/>
                      <w:szCs w:val="21"/>
                      <w:highlight w:val="none"/>
                    </w:rPr>
                  </w:pPr>
                  <w:r>
                    <w:rPr>
                      <w:color w:val="auto"/>
                      <w:kern w:val="0"/>
                      <w:sz w:val="21"/>
                      <w:szCs w:val="21"/>
                      <w:highlight w:val="none"/>
                    </w:rPr>
                    <w:t>6256.00</w:t>
                  </w:r>
                </w:p>
              </w:tc>
            </w:tr>
            <w:tr w14:paraId="2EE03465">
              <w:tblPrEx>
                <w:tblCellMar>
                  <w:top w:w="0" w:type="dxa"/>
                  <w:left w:w="108" w:type="dxa"/>
                  <w:bottom w:w="0" w:type="dxa"/>
                  <w:right w:w="108" w:type="dxa"/>
                </w:tblCellMar>
              </w:tblPrEx>
              <w:trPr>
                <w:trHeight w:val="370" w:hRule="atLeast"/>
                <w:jc w:val="center"/>
              </w:trPr>
              <w:tc>
                <w:tcPr>
                  <w:tcW w:w="11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669D5">
                  <w:pPr>
                    <w:widowControl/>
                    <w:spacing w:line="276" w:lineRule="auto"/>
                    <w:jc w:val="center"/>
                    <w:rPr>
                      <w:color w:val="auto"/>
                      <w:sz w:val="21"/>
                      <w:szCs w:val="21"/>
                      <w:highlight w:val="none"/>
                    </w:rPr>
                  </w:pPr>
                </w:p>
              </w:tc>
              <w:tc>
                <w:tcPr>
                  <w:tcW w:w="12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A1A2">
                  <w:pPr>
                    <w:widowControl/>
                    <w:spacing w:line="276" w:lineRule="auto"/>
                    <w:jc w:val="center"/>
                    <w:textAlignment w:val="center"/>
                    <w:rPr>
                      <w:color w:val="auto"/>
                      <w:sz w:val="21"/>
                      <w:szCs w:val="21"/>
                      <w:highlight w:val="none"/>
                    </w:rPr>
                  </w:pPr>
                  <w:r>
                    <w:rPr>
                      <w:rFonts w:hint="eastAsia"/>
                      <w:color w:val="auto"/>
                      <w:sz w:val="21"/>
                      <w:szCs w:val="21"/>
                      <w:highlight w:val="none"/>
                    </w:rPr>
                    <w:t>3#厂房</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A5FF">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EADA">
                  <w:pPr>
                    <w:widowControl/>
                    <w:spacing w:line="276" w:lineRule="auto"/>
                    <w:jc w:val="center"/>
                    <w:textAlignment w:val="center"/>
                    <w:rPr>
                      <w:color w:val="auto"/>
                      <w:kern w:val="0"/>
                      <w:sz w:val="21"/>
                      <w:szCs w:val="21"/>
                      <w:highlight w:val="none"/>
                    </w:rPr>
                  </w:pPr>
                  <w:r>
                    <w:rPr>
                      <w:color w:val="auto"/>
                      <w:kern w:val="0"/>
                      <w:sz w:val="21"/>
                      <w:szCs w:val="21"/>
                      <w:highlight w:val="none"/>
                    </w:rPr>
                    <w:t>7360.00</w:t>
                  </w:r>
                </w:p>
              </w:tc>
            </w:tr>
            <w:tr w14:paraId="41BD1D51">
              <w:tblPrEx>
                <w:tblCellMar>
                  <w:top w:w="0" w:type="dxa"/>
                  <w:left w:w="108" w:type="dxa"/>
                  <w:bottom w:w="0" w:type="dxa"/>
                  <w:right w:w="108" w:type="dxa"/>
                </w:tblCellMar>
              </w:tblPrEx>
              <w:trPr>
                <w:trHeight w:val="444" w:hRule="atLeast"/>
                <w:jc w:val="center"/>
              </w:trPr>
              <w:tc>
                <w:tcPr>
                  <w:tcW w:w="11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576AC">
                  <w:pPr>
                    <w:widowControl/>
                    <w:spacing w:line="276" w:lineRule="auto"/>
                    <w:jc w:val="center"/>
                    <w:rPr>
                      <w:color w:val="auto"/>
                      <w:sz w:val="21"/>
                      <w:szCs w:val="21"/>
                      <w:highlight w:val="none"/>
                    </w:rPr>
                  </w:pPr>
                </w:p>
              </w:tc>
              <w:tc>
                <w:tcPr>
                  <w:tcW w:w="12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6F91">
                  <w:pPr>
                    <w:widowControl/>
                    <w:spacing w:line="276" w:lineRule="auto"/>
                    <w:jc w:val="center"/>
                    <w:textAlignment w:val="center"/>
                    <w:rPr>
                      <w:color w:val="auto"/>
                      <w:sz w:val="21"/>
                      <w:szCs w:val="21"/>
                      <w:highlight w:val="none"/>
                    </w:rPr>
                  </w:pPr>
                  <w:r>
                    <w:rPr>
                      <w:rFonts w:hint="eastAsia"/>
                      <w:color w:val="auto"/>
                      <w:sz w:val="21"/>
                      <w:szCs w:val="21"/>
                      <w:highlight w:val="none"/>
                    </w:rPr>
                    <w:t>4#厂房</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2A45">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0C5E">
                  <w:pPr>
                    <w:widowControl/>
                    <w:spacing w:line="276" w:lineRule="auto"/>
                    <w:jc w:val="center"/>
                    <w:textAlignment w:val="center"/>
                    <w:rPr>
                      <w:color w:val="auto"/>
                      <w:kern w:val="0"/>
                      <w:sz w:val="21"/>
                      <w:szCs w:val="21"/>
                      <w:highlight w:val="none"/>
                    </w:rPr>
                  </w:pPr>
                  <w:r>
                    <w:rPr>
                      <w:color w:val="auto"/>
                      <w:kern w:val="0"/>
                      <w:sz w:val="21"/>
                      <w:szCs w:val="21"/>
                      <w:highlight w:val="none"/>
                    </w:rPr>
                    <w:t>7775.00</w:t>
                  </w:r>
                </w:p>
              </w:tc>
            </w:tr>
            <w:tr w14:paraId="5F3B5999">
              <w:tblPrEx>
                <w:tblCellMar>
                  <w:top w:w="0" w:type="dxa"/>
                  <w:left w:w="108" w:type="dxa"/>
                  <w:bottom w:w="0" w:type="dxa"/>
                  <w:right w:w="108" w:type="dxa"/>
                </w:tblCellMar>
              </w:tblPrEx>
              <w:trPr>
                <w:trHeight w:val="380" w:hRule="atLeast"/>
                <w:jc w:val="center"/>
              </w:trPr>
              <w:tc>
                <w:tcPr>
                  <w:tcW w:w="11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6A264">
                  <w:pPr>
                    <w:widowControl/>
                    <w:spacing w:line="276" w:lineRule="auto"/>
                    <w:jc w:val="center"/>
                    <w:rPr>
                      <w:color w:val="auto"/>
                      <w:sz w:val="21"/>
                      <w:szCs w:val="21"/>
                      <w:highlight w:val="none"/>
                    </w:rPr>
                  </w:pPr>
                </w:p>
              </w:tc>
              <w:tc>
                <w:tcPr>
                  <w:tcW w:w="12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C107">
                  <w:pPr>
                    <w:widowControl/>
                    <w:spacing w:line="276" w:lineRule="auto"/>
                    <w:jc w:val="center"/>
                    <w:textAlignment w:val="center"/>
                    <w:rPr>
                      <w:color w:val="auto"/>
                      <w:sz w:val="21"/>
                      <w:szCs w:val="21"/>
                      <w:highlight w:val="none"/>
                    </w:rPr>
                  </w:pPr>
                  <w:r>
                    <w:rPr>
                      <w:rFonts w:hint="eastAsia"/>
                      <w:color w:val="auto"/>
                      <w:sz w:val="21"/>
                      <w:szCs w:val="21"/>
                      <w:highlight w:val="none"/>
                    </w:rPr>
                    <w:t>消防水池及泵房</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BAA3">
                  <w:pPr>
                    <w:widowControl/>
                    <w:spacing w:line="276" w:lineRule="auto"/>
                    <w:jc w:val="center"/>
                    <w:textAlignment w:val="center"/>
                    <w:rPr>
                      <w:color w:val="auto"/>
                      <w:sz w:val="21"/>
                      <w:szCs w:val="21"/>
                      <w:highlight w:val="none"/>
                    </w:rPr>
                  </w:pPr>
                  <w:r>
                    <w:rPr>
                      <w:color w:val="auto"/>
                      <w:kern w:val="0"/>
                      <w:sz w:val="21"/>
                      <w:szCs w:val="21"/>
                      <w:highlight w:val="none"/>
                    </w:rPr>
                    <w:t>平方米</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C9FE">
                  <w:pPr>
                    <w:widowControl/>
                    <w:spacing w:line="276" w:lineRule="auto"/>
                    <w:jc w:val="center"/>
                    <w:textAlignment w:val="center"/>
                    <w:rPr>
                      <w:color w:val="auto"/>
                      <w:kern w:val="0"/>
                      <w:sz w:val="21"/>
                      <w:szCs w:val="21"/>
                      <w:highlight w:val="none"/>
                    </w:rPr>
                  </w:pPr>
                  <w:r>
                    <w:rPr>
                      <w:color w:val="auto"/>
                      <w:kern w:val="0"/>
                      <w:sz w:val="21"/>
                      <w:szCs w:val="21"/>
                      <w:highlight w:val="none"/>
                    </w:rPr>
                    <w:t>275.56</w:t>
                  </w:r>
                </w:p>
              </w:tc>
            </w:tr>
          </w:tbl>
          <w:p w14:paraId="310F1D3B">
            <w:pPr>
              <w:pStyle w:val="112"/>
              <w:jc w:val="center"/>
              <w:rPr>
                <w:b/>
                <w:bCs/>
                <w:color w:val="auto"/>
                <w:sz w:val="21"/>
                <w:szCs w:val="21"/>
                <w:highlight w:val="none"/>
              </w:rPr>
            </w:pPr>
            <w:r>
              <w:rPr>
                <w:b/>
                <w:bCs/>
                <w:color w:val="auto"/>
                <w:sz w:val="21"/>
                <w:szCs w:val="21"/>
                <w:highlight w:val="none"/>
              </w:rPr>
              <w:t>工程组成一览表</w:t>
            </w:r>
          </w:p>
          <w:tbl>
            <w:tblPr>
              <w:tblStyle w:val="49"/>
              <w:tblW w:w="92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4"/>
              <w:gridCol w:w="645"/>
              <w:gridCol w:w="1393"/>
              <w:gridCol w:w="6545"/>
            </w:tblGrid>
            <w:tr w14:paraId="03D2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AF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序号</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4B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项目类别</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7F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建设内容</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E7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位置、用途、占地面积</w:t>
                  </w:r>
                </w:p>
              </w:tc>
            </w:tr>
            <w:tr w14:paraId="62DB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jc w:val="center"/>
              </w:trPr>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2FE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1</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7F9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主体工程</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21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破碎洗料车间</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26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位于</w:t>
                  </w:r>
                  <w:r>
                    <w:rPr>
                      <w:rFonts w:hint="eastAsia" w:cs="Times New Roman"/>
                      <w:i w:val="0"/>
                      <w:iCs w:val="0"/>
                      <w:color w:val="auto"/>
                      <w:kern w:val="0"/>
                      <w:sz w:val="21"/>
                      <w:szCs w:val="21"/>
                      <w:highlight w:val="none"/>
                      <w:u w:val="none"/>
                      <w:lang w:val="en-US" w:eastAsia="zh-CN"/>
                    </w:rPr>
                    <w:t>4</w:t>
                  </w:r>
                  <w:r>
                    <w:rPr>
                      <w:rFonts w:hint="default" w:ascii="Times New Roman" w:hAnsi="Times New Roman" w:eastAsia="宋体" w:cs="Times New Roman"/>
                      <w:i w:val="0"/>
                      <w:iCs w:val="0"/>
                      <w:color w:val="auto"/>
                      <w:kern w:val="0"/>
                      <w:sz w:val="21"/>
                      <w:szCs w:val="21"/>
                      <w:highlight w:val="none"/>
                      <w:u w:val="none"/>
                      <w:lang w:val="en-US" w:eastAsia="zh-CN"/>
                    </w:rPr>
                    <w:t>#厂房，为1层建筑</w:t>
                  </w:r>
                  <w:r>
                    <w:rPr>
                      <w:rFonts w:hint="eastAsia" w:cs="Times New Roman"/>
                      <w:i w:val="0"/>
                      <w:iCs w:val="0"/>
                      <w:color w:val="auto"/>
                      <w:kern w:val="0"/>
                      <w:sz w:val="21"/>
                      <w:szCs w:val="21"/>
                      <w:highlight w:val="none"/>
                      <w:u w:val="none"/>
                      <w:lang w:val="en-US" w:eastAsia="zh-CN"/>
                    </w:rPr>
                    <w:t>，总高度为13.15米</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cs="Times New Roman"/>
                      <w:i w:val="0"/>
                      <w:iCs w:val="0"/>
                      <w:color w:val="auto"/>
                      <w:kern w:val="0"/>
                      <w:sz w:val="21"/>
                      <w:szCs w:val="21"/>
                      <w:highlight w:val="none"/>
                      <w:u w:val="none"/>
                      <w:lang w:val="en-US" w:eastAsia="zh-CN"/>
                    </w:rPr>
                    <w:t>尺寸159m*50m，</w:t>
                  </w:r>
                  <w:r>
                    <w:rPr>
                      <w:rFonts w:hint="default" w:ascii="Times New Roman" w:hAnsi="Times New Roman" w:eastAsia="宋体" w:cs="Times New Roman"/>
                      <w:i w:val="0"/>
                      <w:iCs w:val="0"/>
                      <w:color w:val="auto"/>
                      <w:kern w:val="0"/>
                      <w:sz w:val="21"/>
                      <w:szCs w:val="21"/>
                      <w:highlight w:val="none"/>
                      <w:u w:val="none"/>
                      <w:lang w:val="en-US" w:eastAsia="zh-CN"/>
                    </w:rPr>
                    <w:t>占地面积为</w:t>
                  </w:r>
                  <w:r>
                    <w:rPr>
                      <w:rFonts w:hint="eastAsia"/>
                      <w:color w:val="auto"/>
                      <w:kern w:val="2"/>
                      <w:sz w:val="21"/>
                      <w:szCs w:val="20"/>
                      <w:highlight w:val="none"/>
                      <w:lang w:val="en-US" w:eastAsia="zh-CN" w:bidi="ar-SA"/>
                    </w:rPr>
                    <w:t>7775.00</w:t>
                  </w:r>
                  <w:r>
                    <w:rPr>
                      <w:rFonts w:hint="default" w:ascii="Times New Roman" w:hAnsi="Times New Roman" w:eastAsia="宋体" w:cs="Times New Roman"/>
                      <w:i w:val="0"/>
                      <w:iCs w:val="0"/>
                      <w:color w:val="auto"/>
                      <w:kern w:val="0"/>
                      <w:sz w:val="21"/>
                      <w:szCs w:val="21"/>
                      <w:highlight w:val="none"/>
                      <w:u w:val="none"/>
                      <w:lang w:val="en-US" w:eastAsia="zh-CN"/>
                    </w:rPr>
                    <w:t>平方米，建筑面积</w:t>
                  </w:r>
                  <w:r>
                    <w:rPr>
                      <w:rFonts w:hint="eastAsia"/>
                      <w:color w:val="auto"/>
                      <w:kern w:val="2"/>
                      <w:sz w:val="21"/>
                      <w:szCs w:val="20"/>
                      <w:highlight w:val="none"/>
                      <w:lang w:val="en-US" w:eastAsia="zh-CN" w:bidi="ar-SA"/>
                    </w:rPr>
                    <w:t>7775.00</w:t>
                  </w:r>
                  <w:r>
                    <w:rPr>
                      <w:rFonts w:hint="default" w:ascii="Times New Roman" w:hAnsi="Times New Roman" w:eastAsia="宋体" w:cs="Times New Roman"/>
                      <w:i w:val="0"/>
                      <w:iCs w:val="0"/>
                      <w:color w:val="auto"/>
                      <w:kern w:val="0"/>
                      <w:sz w:val="21"/>
                      <w:szCs w:val="21"/>
                      <w:highlight w:val="none"/>
                      <w:u w:val="none"/>
                      <w:lang w:val="en-US" w:eastAsia="zh-CN"/>
                    </w:rPr>
                    <w:t>平方米，设置在项目中心</w:t>
                  </w:r>
                  <w:r>
                    <w:rPr>
                      <w:rFonts w:hint="eastAsia" w:cs="Times New Roman"/>
                      <w:i w:val="0"/>
                      <w:iCs w:val="0"/>
                      <w:color w:val="auto"/>
                      <w:kern w:val="0"/>
                      <w:sz w:val="21"/>
                      <w:szCs w:val="21"/>
                      <w:highlight w:val="none"/>
                      <w:u w:val="none"/>
                      <w:lang w:val="en-US" w:eastAsia="zh-CN"/>
                    </w:rPr>
                    <w:t>东</w:t>
                  </w:r>
                  <w:r>
                    <w:rPr>
                      <w:rFonts w:hint="default" w:ascii="Times New Roman" w:hAnsi="Times New Roman" w:eastAsia="宋体" w:cs="Times New Roman"/>
                      <w:i w:val="0"/>
                      <w:iCs w:val="0"/>
                      <w:color w:val="auto"/>
                      <w:kern w:val="0"/>
                      <w:sz w:val="21"/>
                      <w:szCs w:val="21"/>
                      <w:highlight w:val="none"/>
                      <w:u w:val="none"/>
                      <w:lang w:val="en-US" w:eastAsia="zh-CN"/>
                    </w:rPr>
                    <w:t>侧。主要工序为：</w:t>
                  </w:r>
                  <w:r>
                    <w:rPr>
                      <w:rFonts w:hint="eastAsia" w:cs="Times New Roman"/>
                      <w:i w:val="0"/>
                      <w:iCs w:val="0"/>
                      <w:color w:val="auto"/>
                      <w:kern w:val="0"/>
                      <w:sz w:val="21"/>
                      <w:szCs w:val="21"/>
                      <w:highlight w:val="none"/>
                      <w:u w:val="none"/>
                      <w:lang w:val="en-US" w:eastAsia="zh-CN"/>
                    </w:rPr>
                    <w:t>破碎、洗料</w:t>
                  </w:r>
                  <w:r>
                    <w:rPr>
                      <w:rFonts w:hint="default" w:ascii="Times New Roman" w:hAnsi="Times New Roman" w:eastAsia="宋体" w:cs="Times New Roman"/>
                      <w:i w:val="0"/>
                      <w:iCs w:val="0"/>
                      <w:color w:val="auto"/>
                      <w:kern w:val="0"/>
                      <w:sz w:val="21"/>
                      <w:szCs w:val="21"/>
                      <w:highlight w:val="none"/>
                      <w:u w:val="none"/>
                      <w:lang w:val="en-US" w:eastAsia="zh-CN"/>
                    </w:rPr>
                    <w:t>工序</w:t>
                  </w:r>
                  <w:r>
                    <w:rPr>
                      <w:rFonts w:hint="eastAsia"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设有</w:t>
                  </w:r>
                  <w:r>
                    <w:rPr>
                      <w:rFonts w:hint="eastAsia" w:cs="Times New Roman"/>
                      <w:i w:val="0"/>
                      <w:iCs w:val="0"/>
                      <w:color w:val="auto"/>
                      <w:kern w:val="0"/>
                      <w:sz w:val="21"/>
                      <w:szCs w:val="21"/>
                      <w:highlight w:val="none"/>
                      <w:u w:val="none"/>
                      <w:lang w:val="en-US" w:eastAsia="zh-CN"/>
                    </w:rPr>
                    <w:t>1</w:t>
                  </w:r>
                  <w:r>
                    <w:rPr>
                      <w:rFonts w:hint="default" w:ascii="Times New Roman" w:hAnsi="Times New Roman" w:eastAsia="宋体" w:cs="Times New Roman"/>
                      <w:i w:val="0"/>
                      <w:iCs w:val="0"/>
                      <w:color w:val="auto"/>
                      <w:kern w:val="0"/>
                      <w:sz w:val="21"/>
                      <w:szCs w:val="21"/>
                      <w:highlight w:val="none"/>
                      <w:u w:val="none"/>
                      <w:lang w:val="en-US" w:eastAsia="zh-CN"/>
                    </w:rPr>
                    <w:t>条生产线</w:t>
                  </w:r>
                  <w:r>
                    <w:rPr>
                      <w:rFonts w:hint="eastAsia" w:cs="Times New Roman"/>
                      <w:i w:val="0"/>
                      <w:iCs w:val="0"/>
                      <w:color w:val="auto"/>
                      <w:kern w:val="0"/>
                      <w:sz w:val="21"/>
                      <w:szCs w:val="21"/>
                      <w:highlight w:val="none"/>
                      <w:u w:val="none"/>
                      <w:lang w:val="en-US" w:eastAsia="zh-CN"/>
                    </w:rPr>
                    <w:t>，包括设置锤破机、洗料机设备</w:t>
                  </w:r>
                  <w:r>
                    <w:rPr>
                      <w:rFonts w:hint="default" w:ascii="Times New Roman" w:hAnsi="Times New Roman" w:eastAsia="宋体" w:cs="Times New Roman"/>
                      <w:i w:val="0"/>
                      <w:iCs w:val="0"/>
                      <w:color w:val="auto"/>
                      <w:kern w:val="0"/>
                      <w:sz w:val="21"/>
                      <w:szCs w:val="21"/>
                      <w:highlight w:val="none"/>
                      <w:u w:val="none"/>
                      <w:lang w:val="en-US" w:eastAsia="zh-CN"/>
                    </w:rPr>
                    <w:t>，主要对</w:t>
                  </w:r>
                  <w:r>
                    <w:rPr>
                      <w:rFonts w:hint="eastAsia" w:cs="Times New Roman"/>
                      <w:i w:val="0"/>
                      <w:iCs w:val="0"/>
                      <w:color w:val="auto"/>
                      <w:kern w:val="0"/>
                      <w:sz w:val="21"/>
                      <w:szCs w:val="21"/>
                      <w:highlight w:val="none"/>
                      <w:u w:val="none"/>
                      <w:lang w:val="en-US" w:eastAsia="zh-CN"/>
                    </w:rPr>
                    <w:t>废塑料</w:t>
                  </w:r>
                  <w:r>
                    <w:rPr>
                      <w:rFonts w:hint="default" w:ascii="Times New Roman" w:hAnsi="Times New Roman" w:eastAsia="宋体" w:cs="Times New Roman"/>
                      <w:i w:val="0"/>
                      <w:iCs w:val="0"/>
                      <w:color w:val="auto"/>
                      <w:kern w:val="0"/>
                      <w:sz w:val="21"/>
                      <w:szCs w:val="21"/>
                      <w:highlight w:val="none"/>
                      <w:u w:val="none"/>
                      <w:lang w:val="en-US" w:eastAsia="zh-CN"/>
                    </w:rPr>
                    <w:t>进行</w:t>
                  </w:r>
                  <w:r>
                    <w:rPr>
                      <w:rFonts w:hint="eastAsia" w:cs="Times New Roman"/>
                      <w:i w:val="0"/>
                      <w:iCs w:val="0"/>
                      <w:color w:val="auto"/>
                      <w:kern w:val="0"/>
                      <w:sz w:val="21"/>
                      <w:szCs w:val="21"/>
                      <w:highlight w:val="none"/>
                      <w:u w:val="none"/>
                      <w:lang w:val="en-US" w:eastAsia="zh-CN"/>
                    </w:rPr>
                    <w:t>破碎、清洗</w:t>
                  </w:r>
                  <w:r>
                    <w:rPr>
                      <w:rFonts w:hint="default" w:ascii="Times New Roman" w:hAnsi="Times New Roman" w:eastAsia="宋体" w:cs="Times New Roman"/>
                      <w:i w:val="0"/>
                      <w:iCs w:val="0"/>
                      <w:color w:val="auto"/>
                      <w:kern w:val="0"/>
                      <w:sz w:val="21"/>
                      <w:szCs w:val="21"/>
                      <w:highlight w:val="none"/>
                      <w:u w:val="none"/>
                      <w:lang w:val="en-US" w:eastAsia="zh-CN"/>
                    </w:rPr>
                    <w:t>。</w:t>
                  </w:r>
                </w:p>
              </w:tc>
            </w:tr>
            <w:tr w14:paraId="75F5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jc w:val="center"/>
              </w:trPr>
              <w:tc>
                <w:tcPr>
                  <w:tcW w:w="694" w:type="dxa"/>
                  <w:vMerge w:val="continue"/>
                  <w:tcBorders>
                    <w:left w:val="single" w:color="000000" w:sz="4" w:space="0"/>
                    <w:right w:val="single" w:color="000000" w:sz="4" w:space="0"/>
                  </w:tcBorders>
                  <w:shd w:val="clear" w:color="auto" w:fill="auto"/>
                  <w:vAlign w:val="center"/>
                </w:tcPr>
                <w:p w14:paraId="23D566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645" w:type="dxa"/>
                  <w:vMerge w:val="continue"/>
                  <w:tcBorders>
                    <w:left w:val="single" w:color="000000" w:sz="4" w:space="0"/>
                    <w:right w:val="single" w:color="000000" w:sz="4" w:space="0"/>
                  </w:tcBorders>
                  <w:shd w:val="clear" w:color="auto" w:fill="auto"/>
                  <w:vAlign w:val="center"/>
                </w:tcPr>
                <w:p w14:paraId="6576B0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86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分选车间</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24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位于</w:t>
                  </w:r>
                  <w:r>
                    <w:rPr>
                      <w:rFonts w:hint="eastAsia" w:ascii="Times New Roman" w:hAnsi="Times New Roman" w:cs="Times New Roman"/>
                      <w:i w:val="0"/>
                      <w:iCs w:val="0"/>
                      <w:color w:val="auto"/>
                      <w:kern w:val="0"/>
                      <w:sz w:val="21"/>
                      <w:szCs w:val="21"/>
                      <w:highlight w:val="none"/>
                      <w:u w:val="none"/>
                      <w:lang w:val="en-US" w:eastAsia="zh-CN"/>
                    </w:rPr>
                    <w:t>2</w:t>
                  </w:r>
                  <w:r>
                    <w:rPr>
                      <w:rFonts w:hint="default" w:ascii="Times New Roman" w:hAnsi="Times New Roman" w:eastAsia="宋体" w:cs="Times New Roman"/>
                      <w:i w:val="0"/>
                      <w:iCs w:val="0"/>
                      <w:color w:val="auto"/>
                      <w:kern w:val="0"/>
                      <w:sz w:val="21"/>
                      <w:szCs w:val="21"/>
                      <w:highlight w:val="none"/>
                      <w:u w:val="none"/>
                      <w:lang w:val="en-US" w:eastAsia="zh-CN"/>
                    </w:rPr>
                    <w:t>#厂房，为1层建筑</w:t>
                  </w:r>
                  <w:r>
                    <w:rPr>
                      <w:rFonts w:hint="eastAsia" w:cs="Times New Roman"/>
                      <w:i w:val="0"/>
                      <w:iCs w:val="0"/>
                      <w:color w:val="auto"/>
                      <w:kern w:val="0"/>
                      <w:sz w:val="21"/>
                      <w:szCs w:val="21"/>
                      <w:highlight w:val="none"/>
                      <w:u w:val="none"/>
                      <w:lang w:val="en-US" w:eastAsia="zh-CN"/>
                    </w:rPr>
                    <w:t>，总高度为13.15米</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ascii="Times New Roman" w:hAnsi="Times New Roman" w:cs="Times New Roman"/>
                      <w:i w:val="0"/>
                      <w:iCs w:val="0"/>
                      <w:color w:val="auto"/>
                      <w:kern w:val="0"/>
                      <w:sz w:val="21"/>
                      <w:szCs w:val="21"/>
                      <w:highlight w:val="none"/>
                      <w:u w:val="none"/>
                      <w:lang w:val="en-US" w:eastAsia="zh-CN"/>
                    </w:rPr>
                    <w:t>尺寸</w:t>
                  </w:r>
                  <w:r>
                    <w:rPr>
                      <w:rFonts w:hint="default" w:ascii="Times New Roman" w:hAnsi="Times New Roman" w:eastAsia="宋体" w:cs="Times New Roman"/>
                      <w:i w:val="0"/>
                      <w:iCs w:val="0"/>
                      <w:color w:val="auto"/>
                      <w:kern w:val="0"/>
                      <w:sz w:val="21"/>
                      <w:szCs w:val="21"/>
                      <w:highlight w:val="none"/>
                      <w:u w:val="none"/>
                      <w:lang w:val="en-US" w:eastAsia="zh-CN"/>
                    </w:rPr>
                    <w:t>144m*45m</w:t>
                  </w:r>
                  <w:r>
                    <w:rPr>
                      <w:rFonts w:hint="eastAsia" w:ascii="Times New Roman" w:hAnsi="Times New Roman"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占地面积为</w:t>
                  </w:r>
                  <w:r>
                    <w:rPr>
                      <w:rFonts w:hint="eastAsia"/>
                      <w:color w:val="auto"/>
                      <w:kern w:val="2"/>
                      <w:sz w:val="21"/>
                      <w:szCs w:val="20"/>
                      <w:highlight w:val="none"/>
                      <w:lang w:val="en-US" w:eastAsia="zh-CN" w:bidi="ar-SA"/>
                    </w:rPr>
                    <w:t>6256.00</w:t>
                  </w:r>
                  <w:r>
                    <w:rPr>
                      <w:rFonts w:hint="default" w:ascii="Times New Roman" w:hAnsi="Times New Roman" w:eastAsia="宋体" w:cs="Times New Roman"/>
                      <w:i w:val="0"/>
                      <w:iCs w:val="0"/>
                      <w:color w:val="auto"/>
                      <w:kern w:val="0"/>
                      <w:sz w:val="21"/>
                      <w:szCs w:val="21"/>
                      <w:highlight w:val="none"/>
                      <w:u w:val="none"/>
                      <w:lang w:val="en-US" w:eastAsia="zh-CN"/>
                    </w:rPr>
                    <w:t>平方米，建筑面积</w:t>
                  </w:r>
                  <w:r>
                    <w:rPr>
                      <w:rFonts w:hint="eastAsia"/>
                      <w:color w:val="auto"/>
                      <w:kern w:val="2"/>
                      <w:sz w:val="21"/>
                      <w:szCs w:val="20"/>
                      <w:highlight w:val="none"/>
                      <w:lang w:val="en-US" w:eastAsia="zh-CN" w:bidi="ar-SA"/>
                    </w:rPr>
                    <w:t>6256.00</w:t>
                  </w:r>
                  <w:r>
                    <w:rPr>
                      <w:rFonts w:hint="default" w:ascii="Times New Roman" w:hAnsi="Times New Roman" w:eastAsia="宋体" w:cs="Times New Roman"/>
                      <w:i w:val="0"/>
                      <w:iCs w:val="0"/>
                      <w:color w:val="auto"/>
                      <w:kern w:val="0"/>
                      <w:sz w:val="21"/>
                      <w:szCs w:val="21"/>
                      <w:highlight w:val="none"/>
                      <w:u w:val="none"/>
                      <w:lang w:val="en-US" w:eastAsia="zh-CN"/>
                    </w:rPr>
                    <w:t>平方米，设置在项目中心</w:t>
                  </w:r>
                  <w:r>
                    <w:rPr>
                      <w:rFonts w:hint="eastAsia" w:cs="Times New Roman"/>
                      <w:i w:val="0"/>
                      <w:iCs w:val="0"/>
                      <w:color w:val="auto"/>
                      <w:kern w:val="0"/>
                      <w:sz w:val="21"/>
                      <w:szCs w:val="21"/>
                      <w:highlight w:val="none"/>
                      <w:u w:val="none"/>
                      <w:lang w:val="en-US" w:eastAsia="zh-CN"/>
                    </w:rPr>
                    <w:t>南</w:t>
                  </w:r>
                  <w:r>
                    <w:rPr>
                      <w:rFonts w:hint="default" w:ascii="Times New Roman" w:hAnsi="Times New Roman" w:eastAsia="宋体" w:cs="Times New Roman"/>
                      <w:i w:val="0"/>
                      <w:iCs w:val="0"/>
                      <w:color w:val="auto"/>
                      <w:kern w:val="0"/>
                      <w:sz w:val="21"/>
                      <w:szCs w:val="21"/>
                      <w:highlight w:val="none"/>
                      <w:u w:val="none"/>
                      <w:lang w:val="en-US" w:eastAsia="zh-CN"/>
                    </w:rPr>
                    <w:t>侧。主要工序为</w:t>
                  </w:r>
                  <w:r>
                    <w:rPr>
                      <w:rFonts w:hint="eastAsia" w:ascii="Times New Roman" w:hAnsi="Times New Roman" w:cs="Times New Roman"/>
                      <w:i w:val="0"/>
                      <w:iCs w:val="0"/>
                      <w:color w:val="auto"/>
                      <w:kern w:val="0"/>
                      <w:sz w:val="21"/>
                      <w:szCs w:val="21"/>
                      <w:highlight w:val="none"/>
                      <w:u w:val="none"/>
                      <w:lang w:val="en-US" w:eastAsia="zh-CN"/>
                    </w:rPr>
                    <w:t>分选</w:t>
                  </w:r>
                  <w:r>
                    <w:rPr>
                      <w:rFonts w:hint="default" w:ascii="Times New Roman" w:hAnsi="Times New Roman" w:eastAsia="宋体" w:cs="Times New Roman"/>
                      <w:i w:val="0"/>
                      <w:iCs w:val="0"/>
                      <w:color w:val="auto"/>
                      <w:kern w:val="0"/>
                      <w:sz w:val="21"/>
                      <w:szCs w:val="21"/>
                      <w:highlight w:val="none"/>
                      <w:u w:val="none"/>
                      <w:lang w:val="en-US" w:eastAsia="zh-CN"/>
                    </w:rPr>
                    <w:t>。设有</w:t>
                  </w:r>
                  <w:r>
                    <w:rPr>
                      <w:rFonts w:hint="eastAsia" w:cs="Times New Roman"/>
                      <w:i w:val="0"/>
                      <w:iCs w:val="0"/>
                      <w:color w:val="auto"/>
                      <w:kern w:val="0"/>
                      <w:sz w:val="21"/>
                      <w:szCs w:val="21"/>
                      <w:highlight w:val="none"/>
                      <w:u w:val="none"/>
                      <w:lang w:val="en-US" w:eastAsia="zh-CN"/>
                    </w:rPr>
                    <w:t>1条分选线</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ascii="Times New Roman" w:hAnsi="Times New Roman" w:cs="Times New Roman"/>
                      <w:i w:val="0"/>
                      <w:iCs w:val="0"/>
                      <w:color w:val="auto"/>
                      <w:kern w:val="0"/>
                      <w:sz w:val="21"/>
                      <w:szCs w:val="21"/>
                      <w:highlight w:val="none"/>
                      <w:u w:val="none"/>
                      <w:lang w:val="en-US" w:eastAsia="zh-CN"/>
                    </w:rPr>
                    <w:t>设置静电分选机</w:t>
                  </w:r>
                  <w:r>
                    <w:rPr>
                      <w:rFonts w:hint="eastAsia" w:cs="Times New Roman"/>
                      <w:i w:val="0"/>
                      <w:iCs w:val="0"/>
                      <w:color w:val="auto"/>
                      <w:kern w:val="0"/>
                      <w:sz w:val="21"/>
                      <w:szCs w:val="21"/>
                      <w:highlight w:val="none"/>
                      <w:u w:val="none"/>
                      <w:lang w:val="en-US" w:eastAsia="zh-CN"/>
                    </w:rPr>
                    <w:t>、材质机、分色机</w:t>
                  </w:r>
                  <w:r>
                    <w:rPr>
                      <w:rFonts w:hint="eastAsia" w:ascii="Times New Roman" w:hAnsi="Times New Roman"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对</w:t>
                  </w:r>
                  <w:r>
                    <w:rPr>
                      <w:rFonts w:hint="eastAsia" w:ascii="Times New Roman" w:hAnsi="Times New Roman" w:cs="Times New Roman"/>
                      <w:i w:val="0"/>
                      <w:iCs w:val="0"/>
                      <w:color w:val="auto"/>
                      <w:kern w:val="0"/>
                      <w:sz w:val="21"/>
                      <w:szCs w:val="21"/>
                      <w:highlight w:val="none"/>
                      <w:u w:val="none"/>
                      <w:lang w:val="en-US" w:eastAsia="zh-CN"/>
                    </w:rPr>
                    <w:t>废塑料</w:t>
                  </w:r>
                  <w:r>
                    <w:rPr>
                      <w:rFonts w:hint="default" w:ascii="Times New Roman" w:hAnsi="Times New Roman" w:eastAsia="宋体" w:cs="Times New Roman"/>
                      <w:i w:val="0"/>
                      <w:iCs w:val="0"/>
                      <w:color w:val="auto"/>
                      <w:kern w:val="0"/>
                      <w:sz w:val="21"/>
                      <w:szCs w:val="21"/>
                      <w:highlight w:val="none"/>
                      <w:u w:val="none"/>
                      <w:lang w:val="en-US" w:eastAsia="zh-CN"/>
                    </w:rPr>
                    <w:t>进行</w:t>
                  </w:r>
                  <w:r>
                    <w:rPr>
                      <w:rFonts w:hint="eastAsia" w:ascii="Times New Roman" w:hAnsi="Times New Roman" w:cs="Times New Roman"/>
                      <w:i w:val="0"/>
                      <w:iCs w:val="0"/>
                      <w:color w:val="auto"/>
                      <w:kern w:val="0"/>
                      <w:sz w:val="21"/>
                      <w:szCs w:val="21"/>
                      <w:highlight w:val="none"/>
                      <w:u w:val="none"/>
                      <w:lang w:val="en-US" w:eastAsia="zh-CN"/>
                    </w:rPr>
                    <w:t>分选</w:t>
                  </w:r>
                  <w:r>
                    <w:rPr>
                      <w:rFonts w:hint="default" w:ascii="Times New Roman" w:hAnsi="Times New Roman" w:eastAsia="宋体" w:cs="Times New Roman"/>
                      <w:i w:val="0"/>
                      <w:iCs w:val="0"/>
                      <w:color w:val="auto"/>
                      <w:kern w:val="0"/>
                      <w:sz w:val="21"/>
                      <w:szCs w:val="21"/>
                      <w:highlight w:val="none"/>
                      <w:u w:val="none"/>
                      <w:lang w:val="en-US" w:eastAsia="zh-CN"/>
                    </w:rPr>
                    <w:t>。</w:t>
                  </w:r>
                </w:p>
              </w:tc>
            </w:tr>
            <w:tr w14:paraId="4166A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82C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4D0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52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造粒车间</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00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位于3#</w:t>
                  </w:r>
                  <w:r>
                    <w:rPr>
                      <w:rFonts w:hint="default" w:ascii="Times New Roman" w:hAnsi="Times New Roman" w:eastAsia="宋体" w:cs="Times New Roman"/>
                      <w:i w:val="0"/>
                      <w:iCs w:val="0"/>
                      <w:color w:val="auto"/>
                      <w:kern w:val="0"/>
                      <w:sz w:val="21"/>
                      <w:szCs w:val="21"/>
                      <w:highlight w:val="none"/>
                      <w:u w:val="none"/>
                      <w:lang w:val="en-US" w:eastAsia="zh-CN"/>
                    </w:rPr>
                    <w:t>厂房</w:t>
                  </w:r>
                  <w:r>
                    <w:rPr>
                      <w:rFonts w:hint="eastAsia"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为1层建筑</w:t>
                  </w:r>
                  <w:r>
                    <w:rPr>
                      <w:rFonts w:hint="eastAsia" w:cs="Times New Roman"/>
                      <w:i w:val="0"/>
                      <w:iCs w:val="0"/>
                      <w:color w:val="auto"/>
                      <w:kern w:val="0"/>
                      <w:sz w:val="21"/>
                      <w:szCs w:val="21"/>
                      <w:highlight w:val="none"/>
                      <w:u w:val="none"/>
                      <w:lang w:val="en-US" w:eastAsia="zh-CN"/>
                    </w:rPr>
                    <w:t>，总高度为13.15米</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cs="Times New Roman"/>
                      <w:i w:val="0"/>
                      <w:iCs w:val="0"/>
                      <w:color w:val="auto"/>
                      <w:kern w:val="0"/>
                      <w:sz w:val="21"/>
                      <w:szCs w:val="21"/>
                      <w:highlight w:val="none"/>
                      <w:u w:val="none"/>
                      <w:lang w:val="en-US" w:eastAsia="zh-CN"/>
                    </w:rPr>
                    <w:t>建筑面积为7360.00平方米，主要工序为造粒，设置造粒机，对破碎料进行造粒</w:t>
                  </w:r>
                  <w:r>
                    <w:rPr>
                      <w:rFonts w:hint="default" w:ascii="Times New Roman" w:hAnsi="Times New Roman" w:eastAsia="宋体" w:cs="Times New Roman"/>
                      <w:i w:val="0"/>
                      <w:iCs w:val="0"/>
                      <w:color w:val="auto"/>
                      <w:kern w:val="0"/>
                      <w:sz w:val="21"/>
                      <w:szCs w:val="21"/>
                      <w:highlight w:val="none"/>
                      <w:u w:val="none"/>
                      <w:lang w:val="en-US" w:eastAsia="zh-CN"/>
                    </w:rPr>
                    <w:t>。</w:t>
                  </w:r>
                </w:p>
              </w:tc>
            </w:tr>
            <w:tr w14:paraId="18AF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FB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72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辅助工程</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0C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综合</w:t>
                  </w:r>
                  <w:r>
                    <w:rPr>
                      <w:rFonts w:hint="default" w:ascii="Times New Roman" w:hAnsi="Times New Roman" w:eastAsia="宋体" w:cs="Times New Roman"/>
                      <w:i w:val="0"/>
                      <w:iCs w:val="0"/>
                      <w:color w:val="auto"/>
                      <w:kern w:val="0"/>
                      <w:sz w:val="21"/>
                      <w:szCs w:val="21"/>
                      <w:highlight w:val="none"/>
                      <w:u w:val="none"/>
                      <w:lang w:val="en-US" w:eastAsia="zh-CN"/>
                    </w:rPr>
                    <w:t>楼</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B8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占地面积约</w:t>
                  </w:r>
                  <w:r>
                    <w:rPr>
                      <w:rFonts w:hint="eastAsia" w:cs="Times New Roman"/>
                      <w:i w:val="0"/>
                      <w:iCs w:val="0"/>
                      <w:color w:val="auto"/>
                      <w:kern w:val="0"/>
                      <w:sz w:val="21"/>
                      <w:szCs w:val="21"/>
                      <w:highlight w:val="none"/>
                      <w:u w:val="none"/>
                      <w:lang w:val="en-US" w:eastAsia="zh-CN"/>
                    </w:rPr>
                    <w:t>855.88</w:t>
                  </w:r>
                  <w:r>
                    <w:rPr>
                      <w:rFonts w:hint="default" w:ascii="Times New Roman" w:hAnsi="Times New Roman" w:eastAsia="宋体" w:cs="Times New Roman"/>
                      <w:i w:val="0"/>
                      <w:iCs w:val="0"/>
                      <w:color w:val="auto"/>
                      <w:kern w:val="0"/>
                      <w:sz w:val="21"/>
                      <w:szCs w:val="21"/>
                      <w:highlight w:val="none"/>
                      <w:u w:val="none"/>
                      <w:lang w:val="en-US" w:eastAsia="zh-CN"/>
                    </w:rPr>
                    <w:t>平方米，为</w:t>
                  </w:r>
                  <w:r>
                    <w:rPr>
                      <w:rFonts w:hint="eastAsia" w:cs="Times New Roman"/>
                      <w:i w:val="0"/>
                      <w:iCs w:val="0"/>
                      <w:color w:val="auto"/>
                      <w:kern w:val="0"/>
                      <w:sz w:val="21"/>
                      <w:szCs w:val="21"/>
                      <w:highlight w:val="none"/>
                      <w:u w:val="none"/>
                      <w:lang w:val="en-US" w:eastAsia="zh-CN"/>
                    </w:rPr>
                    <w:t>4</w:t>
                  </w:r>
                  <w:r>
                    <w:rPr>
                      <w:rFonts w:hint="default" w:ascii="Times New Roman" w:hAnsi="Times New Roman" w:eastAsia="宋体" w:cs="Times New Roman"/>
                      <w:i w:val="0"/>
                      <w:iCs w:val="0"/>
                      <w:color w:val="auto"/>
                      <w:kern w:val="0"/>
                      <w:sz w:val="21"/>
                      <w:szCs w:val="21"/>
                      <w:highlight w:val="none"/>
                      <w:u w:val="none"/>
                      <w:lang w:val="en-US" w:eastAsia="zh-CN"/>
                    </w:rPr>
                    <w:t>层建筑，</w:t>
                  </w:r>
                  <w:r>
                    <w:rPr>
                      <w:rFonts w:hint="eastAsia" w:cs="Times New Roman"/>
                      <w:i w:val="0"/>
                      <w:iCs w:val="0"/>
                      <w:color w:val="auto"/>
                      <w:kern w:val="0"/>
                      <w:sz w:val="21"/>
                      <w:szCs w:val="21"/>
                      <w:highlight w:val="none"/>
                      <w:u w:val="none"/>
                      <w:lang w:val="en-US" w:eastAsia="zh-CN"/>
                    </w:rPr>
                    <w:t>总高度15米，</w:t>
                  </w:r>
                  <w:r>
                    <w:rPr>
                      <w:rFonts w:hint="default" w:ascii="Times New Roman" w:hAnsi="Times New Roman" w:eastAsia="宋体" w:cs="Times New Roman"/>
                      <w:i w:val="0"/>
                      <w:iCs w:val="0"/>
                      <w:color w:val="auto"/>
                      <w:kern w:val="0"/>
                      <w:sz w:val="21"/>
                      <w:szCs w:val="21"/>
                      <w:highlight w:val="none"/>
                      <w:u w:val="none"/>
                      <w:lang w:val="en-US" w:eastAsia="zh-CN"/>
                    </w:rPr>
                    <w:t>建筑面积</w:t>
                  </w:r>
                  <w:r>
                    <w:rPr>
                      <w:rFonts w:hint="eastAsia" w:cs="Times New Roman"/>
                      <w:i w:val="0"/>
                      <w:iCs w:val="0"/>
                      <w:color w:val="auto"/>
                      <w:kern w:val="0"/>
                      <w:sz w:val="21"/>
                      <w:szCs w:val="21"/>
                      <w:highlight w:val="none"/>
                      <w:u w:val="none"/>
                      <w:lang w:val="en-US" w:eastAsia="zh-CN"/>
                    </w:rPr>
                    <w:t>2974.00</w:t>
                  </w:r>
                  <w:r>
                    <w:rPr>
                      <w:rFonts w:hint="default" w:ascii="Times New Roman" w:hAnsi="Times New Roman" w:eastAsia="宋体" w:cs="Times New Roman"/>
                      <w:i w:val="0"/>
                      <w:iCs w:val="0"/>
                      <w:color w:val="auto"/>
                      <w:kern w:val="0"/>
                      <w:sz w:val="21"/>
                      <w:szCs w:val="21"/>
                      <w:highlight w:val="none"/>
                      <w:u w:val="none"/>
                      <w:lang w:val="en-US" w:eastAsia="zh-CN"/>
                    </w:rPr>
                    <w:t>平方米，设置在项目中心</w:t>
                  </w:r>
                  <w:r>
                    <w:rPr>
                      <w:rFonts w:hint="eastAsia" w:cs="Times New Roman"/>
                      <w:i w:val="0"/>
                      <w:iCs w:val="0"/>
                      <w:color w:val="auto"/>
                      <w:kern w:val="0"/>
                      <w:sz w:val="21"/>
                      <w:szCs w:val="21"/>
                      <w:highlight w:val="none"/>
                      <w:u w:val="none"/>
                      <w:lang w:val="en-US" w:eastAsia="zh-CN"/>
                    </w:rPr>
                    <w:t>西南侧</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cs="Times New Roman"/>
                      <w:i w:val="0"/>
                      <w:iCs w:val="0"/>
                      <w:color w:val="auto"/>
                      <w:kern w:val="0"/>
                      <w:sz w:val="21"/>
                      <w:szCs w:val="21"/>
                      <w:highlight w:val="none"/>
                      <w:u w:val="none"/>
                      <w:lang w:val="en-US" w:eastAsia="zh-CN"/>
                    </w:rPr>
                    <w:t>主要为办公室及员工宿舍，</w:t>
                  </w:r>
                  <w:r>
                    <w:rPr>
                      <w:rFonts w:hint="default" w:ascii="Times New Roman" w:hAnsi="Times New Roman" w:eastAsia="宋体" w:cs="Times New Roman"/>
                      <w:i w:val="0"/>
                      <w:iCs w:val="0"/>
                      <w:color w:val="auto"/>
                      <w:kern w:val="0"/>
                      <w:sz w:val="21"/>
                      <w:szCs w:val="21"/>
                      <w:highlight w:val="none"/>
                      <w:u w:val="none"/>
                      <w:lang w:val="en-US" w:eastAsia="zh-CN"/>
                    </w:rPr>
                    <w:t>内部设食堂。</w:t>
                  </w:r>
                </w:p>
              </w:tc>
            </w:tr>
            <w:tr w14:paraId="63395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F0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3</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30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储运工程</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E3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物料仓库</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48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rPr>
                    <w:t>位于</w:t>
                  </w:r>
                  <w:r>
                    <w:rPr>
                      <w:rFonts w:hint="eastAsia" w:cs="Times New Roman"/>
                      <w:i w:val="0"/>
                      <w:iCs w:val="0"/>
                      <w:color w:val="auto"/>
                      <w:kern w:val="0"/>
                      <w:sz w:val="21"/>
                      <w:szCs w:val="21"/>
                      <w:highlight w:val="none"/>
                      <w:u w:val="none"/>
                      <w:lang w:val="en-US" w:eastAsia="zh-CN"/>
                    </w:rPr>
                    <w:t>3</w:t>
                  </w:r>
                  <w:r>
                    <w:rPr>
                      <w:rFonts w:hint="default" w:ascii="Times New Roman" w:hAnsi="Times New Roman" w:eastAsia="宋体" w:cs="Times New Roman"/>
                      <w:i w:val="0"/>
                      <w:iCs w:val="0"/>
                      <w:color w:val="auto"/>
                      <w:kern w:val="0"/>
                      <w:sz w:val="21"/>
                      <w:szCs w:val="21"/>
                      <w:highlight w:val="none"/>
                      <w:u w:val="none"/>
                      <w:lang w:val="en-US" w:eastAsia="zh-CN"/>
                    </w:rPr>
                    <w:t>#厂房，占地面积</w:t>
                  </w:r>
                  <w:r>
                    <w:rPr>
                      <w:rFonts w:hint="eastAsia" w:cs="Times New Roman"/>
                      <w:i w:val="0"/>
                      <w:iCs w:val="0"/>
                      <w:color w:val="auto"/>
                      <w:kern w:val="0"/>
                      <w:sz w:val="21"/>
                      <w:szCs w:val="21"/>
                      <w:highlight w:val="none"/>
                      <w:u w:val="none"/>
                      <w:lang w:val="en-US" w:eastAsia="zh-CN"/>
                    </w:rPr>
                    <w:t>7360</w:t>
                  </w:r>
                  <w:r>
                    <w:rPr>
                      <w:rFonts w:hint="default" w:ascii="Times New Roman" w:hAnsi="Times New Roman" w:eastAsia="宋体" w:cs="Times New Roman"/>
                      <w:i w:val="0"/>
                      <w:iCs w:val="0"/>
                      <w:color w:val="auto"/>
                      <w:kern w:val="0"/>
                      <w:sz w:val="21"/>
                      <w:szCs w:val="21"/>
                      <w:highlight w:val="none"/>
                      <w:u w:val="none"/>
                      <w:lang w:val="en-US" w:eastAsia="zh-CN"/>
                    </w:rPr>
                    <w:t>平方米，建筑面积</w:t>
                  </w:r>
                  <w:r>
                    <w:rPr>
                      <w:rFonts w:hint="eastAsia" w:cs="Times New Roman"/>
                      <w:i w:val="0"/>
                      <w:iCs w:val="0"/>
                      <w:color w:val="auto"/>
                      <w:kern w:val="0"/>
                      <w:sz w:val="21"/>
                      <w:szCs w:val="21"/>
                      <w:highlight w:val="none"/>
                      <w:u w:val="none"/>
                      <w:lang w:val="en-US" w:eastAsia="zh-CN"/>
                    </w:rPr>
                    <w:t>7360</w:t>
                  </w:r>
                  <w:r>
                    <w:rPr>
                      <w:rFonts w:hint="default" w:ascii="Times New Roman" w:hAnsi="Times New Roman" w:eastAsia="宋体" w:cs="Times New Roman"/>
                      <w:i w:val="0"/>
                      <w:iCs w:val="0"/>
                      <w:color w:val="auto"/>
                      <w:kern w:val="0"/>
                      <w:sz w:val="21"/>
                      <w:szCs w:val="21"/>
                      <w:highlight w:val="none"/>
                      <w:u w:val="none"/>
                      <w:lang w:val="en-US" w:eastAsia="zh-CN"/>
                    </w:rPr>
                    <w:t>平方米</w:t>
                  </w:r>
                  <w:r>
                    <w:rPr>
                      <w:rFonts w:hint="eastAsia"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为1层建筑</w:t>
                  </w:r>
                  <w:r>
                    <w:rPr>
                      <w:rFonts w:hint="eastAsia" w:cs="Times New Roman"/>
                      <w:i w:val="0"/>
                      <w:iCs w:val="0"/>
                      <w:color w:val="auto"/>
                      <w:kern w:val="0"/>
                      <w:sz w:val="21"/>
                      <w:szCs w:val="21"/>
                      <w:highlight w:val="none"/>
                      <w:u w:val="none"/>
                      <w:lang w:val="en-US" w:eastAsia="zh-CN"/>
                    </w:rPr>
                    <w:t>，总高度为13.15米</w:t>
                  </w:r>
                  <w:r>
                    <w:rPr>
                      <w:rFonts w:hint="default" w:ascii="Times New Roman" w:hAnsi="Times New Roman" w:eastAsia="宋体" w:cs="Times New Roman"/>
                      <w:i w:val="0"/>
                      <w:iCs w:val="0"/>
                      <w:color w:val="auto"/>
                      <w:kern w:val="0"/>
                      <w:sz w:val="21"/>
                      <w:szCs w:val="21"/>
                      <w:highlight w:val="none"/>
                      <w:u w:val="none"/>
                      <w:lang w:val="en-US" w:eastAsia="zh-CN"/>
                    </w:rPr>
                    <w:t>。用于储存加工物料、产品，另在</w:t>
                  </w:r>
                  <w:r>
                    <w:rPr>
                      <w:rFonts w:hint="eastAsia" w:cs="Times New Roman"/>
                      <w:i w:val="0"/>
                      <w:iCs w:val="0"/>
                      <w:color w:val="auto"/>
                      <w:kern w:val="0"/>
                      <w:sz w:val="21"/>
                      <w:szCs w:val="21"/>
                      <w:highlight w:val="none"/>
                      <w:u w:val="none"/>
                      <w:lang w:val="en-US" w:eastAsia="zh-CN"/>
                    </w:rPr>
                    <w:t>4</w:t>
                  </w:r>
                  <w:r>
                    <w:rPr>
                      <w:rFonts w:hint="default" w:ascii="Times New Roman" w:hAnsi="Times New Roman" w:eastAsia="宋体" w:cs="Times New Roman"/>
                      <w:i w:val="0"/>
                      <w:iCs w:val="0"/>
                      <w:color w:val="auto"/>
                      <w:kern w:val="0"/>
                      <w:sz w:val="21"/>
                      <w:szCs w:val="21"/>
                      <w:highlight w:val="none"/>
                      <w:u w:val="none"/>
                      <w:lang w:val="en-US" w:eastAsia="zh-CN"/>
                    </w:rPr>
                    <w:t>#厂房设有化学品仓用于</w:t>
                  </w:r>
                  <w:r>
                    <w:rPr>
                      <w:rFonts w:hint="eastAsia" w:cs="Times New Roman"/>
                      <w:i w:val="0"/>
                      <w:iCs w:val="0"/>
                      <w:color w:val="auto"/>
                      <w:kern w:val="0"/>
                      <w:sz w:val="21"/>
                      <w:szCs w:val="21"/>
                      <w:highlight w:val="none"/>
                      <w:u w:val="none"/>
                      <w:lang w:val="en-US" w:eastAsia="zh-CN"/>
                    </w:rPr>
                    <w:t>化学</w:t>
                  </w:r>
                  <w:r>
                    <w:rPr>
                      <w:rFonts w:hint="default" w:ascii="Times New Roman" w:hAnsi="Times New Roman" w:eastAsia="宋体" w:cs="Times New Roman"/>
                      <w:i w:val="0"/>
                      <w:iCs w:val="0"/>
                      <w:color w:val="auto"/>
                      <w:kern w:val="0"/>
                      <w:sz w:val="21"/>
                      <w:szCs w:val="21"/>
                      <w:highlight w:val="none"/>
                      <w:u w:val="none"/>
                      <w:lang w:val="en-US" w:eastAsia="zh-CN"/>
                    </w:rPr>
                    <w:t>试剂</w:t>
                  </w:r>
                  <w:r>
                    <w:rPr>
                      <w:rFonts w:hint="eastAsia" w:cs="Times New Roman"/>
                      <w:i w:val="0"/>
                      <w:iCs w:val="0"/>
                      <w:color w:val="auto"/>
                      <w:kern w:val="0"/>
                      <w:sz w:val="21"/>
                      <w:szCs w:val="21"/>
                      <w:highlight w:val="none"/>
                      <w:u w:val="none"/>
                      <w:lang w:val="en-US" w:eastAsia="zh-CN"/>
                    </w:rPr>
                    <w:t>（如烧碱）</w:t>
                  </w:r>
                  <w:r>
                    <w:rPr>
                      <w:rFonts w:hint="default" w:ascii="Times New Roman" w:hAnsi="Times New Roman" w:eastAsia="宋体" w:cs="Times New Roman"/>
                      <w:i w:val="0"/>
                      <w:iCs w:val="0"/>
                      <w:color w:val="auto"/>
                      <w:kern w:val="0"/>
                      <w:sz w:val="21"/>
                      <w:szCs w:val="21"/>
                      <w:highlight w:val="none"/>
                      <w:u w:val="none"/>
                      <w:lang w:val="en-US" w:eastAsia="zh-CN"/>
                    </w:rPr>
                    <w:t>，占地约</w:t>
                  </w:r>
                  <w:r>
                    <w:rPr>
                      <w:rFonts w:hint="eastAsia" w:cs="Times New Roman"/>
                      <w:i w:val="0"/>
                      <w:iCs w:val="0"/>
                      <w:color w:val="auto"/>
                      <w:kern w:val="0"/>
                      <w:sz w:val="21"/>
                      <w:szCs w:val="21"/>
                      <w:highlight w:val="none"/>
                      <w:u w:val="none"/>
                      <w:lang w:val="en-US" w:eastAsia="zh-CN"/>
                    </w:rPr>
                    <w:t>20</w:t>
                  </w:r>
                  <w:r>
                    <w:rPr>
                      <w:rFonts w:hint="default" w:ascii="Times New Roman" w:hAnsi="Times New Roman" w:cs="Times New Roman"/>
                      <w:i w:val="0"/>
                      <w:iCs w:val="0"/>
                      <w:color w:val="auto"/>
                      <w:kern w:val="0"/>
                      <w:sz w:val="21"/>
                      <w:szCs w:val="21"/>
                      <w:highlight w:val="none"/>
                      <w:u w:val="none"/>
                      <w:lang w:val="en-US" w:eastAsia="zh-CN"/>
                    </w:rPr>
                    <w:t>平方米</w:t>
                  </w:r>
                  <w:r>
                    <w:rPr>
                      <w:rFonts w:hint="eastAsia" w:cs="Times New Roman"/>
                      <w:i w:val="0"/>
                      <w:iCs w:val="0"/>
                      <w:color w:val="auto"/>
                      <w:kern w:val="0"/>
                      <w:sz w:val="21"/>
                      <w:szCs w:val="21"/>
                      <w:highlight w:val="none"/>
                      <w:u w:val="none"/>
                      <w:lang w:val="en-US" w:eastAsia="zh-CN"/>
                    </w:rPr>
                    <w:t>，全部面积在一期项目投入使用</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cs="Times New Roman"/>
                      <w:i w:val="0"/>
                      <w:iCs w:val="0"/>
                      <w:color w:val="auto"/>
                      <w:kern w:val="0"/>
                      <w:sz w:val="21"/>
                      <w:szCs w:val="21"/>
                      <w:highlight w:val="none"/>
                      <w:u w:val="none"/>
                      <w:lang w:val="en-US" w:eastAsia="zh-CN"/>
                    </w:rPr>
                    <w:t>同时2#厂房设置混合料塑料毛料储存区，面积约300平方米；4#厂房内设置</w:t>
                  </w:r>
                  <w:r>
                    <w:rPr>
                      <w:rFonts w:hint="default" w:ascii="Times New Roman" w:hAnsi="Times New Roman" w:eastAsia="宋体" w:cs="Times New Roman"/>
                      <w:color w:val="auto"/>
                      <w:sz w:val="21"/>
                      <w:szCs w:val="21"/>
                      <w:highlight w:val="none"/>
                      <w:vertAlign w:val="baseline"/>
                      <w:lang w:val="en-US" w:eastAsia="zh-CN"/>
                    </w:rPr>
                    <w:t>PP/PE/ABS/H</w:t>
                  </w:r>
                  <w:r>
                    <w:rPr>
                      <w:rFonts w:hint="eastAsia" w:cs="Times New Roman"/>
                      <w:color w:val="auto"/>
                      <w:sz w:val="21"/>
                      <w:szCs w:val="21"/>
                      <w:highlight w:val="none"/>
                      <w:vertAlign w:val="baseline"/>
                      <w:lang w:val="en-US" w:eastAsia="zh-CN"/>
                    </w:rPr>
                    <w:t>IPS</w:t>
                  </w:r>
                  <w:r>
                    <w:rPr>
                      <w:rFonts w:hint="default" w:ascii="Times New Roman" w:hAnsi="Times New Roman" w:eastAsia="宋体" w:cs="Times New Roman"/>
                      <w:color w:val="auto"/>
                      <w:sz w:val="21"/>
                      <w:szCs w:val="21"/>
                      <w:highlight w:val="none"/>
                      <w:vertAlign w:val="baseline"/>
                      <w:lang w:val="en-US" w:eastAsia="zh-CN"/>
                    </w:rPr>
                    <w:t>/PA</w:t>
                  </w:r>
                  <w:r>
                    <w:rPr>
                      <w:rFonts w:hint="eastAsia" w:cs="Times New Roman"/>
                      <w:i w:val="0"/>
                      <w:iCs w:val="0"/>
                      <w:color w:val="auto"/>
                      <w:kern w:val="0"/>
                      <w:sz w:val="21"/>
                      <w:szCs w:val="21"/>
                      <w:highlight w:val="none"/>
                      <w:u w:val="none"/>
                      <w:lang w:val="en-US" w:eastAsia="zh-CN"/>
                    </w:rPr>
                    <w:t>破碎料、压包塑料储存区，面积约400平方米。</w:t>
                  </w:r>
                </w:p>
              </w:tc>
            </w:tr>
            <w:tr w14:paraId="7911F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522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4</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442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公用工程</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27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供电</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82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rPr>
                    <w:t>年用电量158万kW/h，</w:t>
                  </w:r>
                  <w:r>
                    <w:rPr>
                      <w:rFonts w:hint="default" w:ascii="Times New Roman" w:hAnsi="Times New Roman" w:eastAsia="宋体" w:cs="Times New Roman"/>
                      <w:i w:val="0"/>
                      <w:iCs w:val="0"/>
                      <w:color w:val="auto"/>
                      <w:kern w:val="0"/>
                      <w:sz w:val="21"/>
                      <w:szCs w:val="21"/>
                      <w:highlight w:val="none"/>
                      <w:u w:val="none"/>
                      <w:lang w:val="en-US" w:eastAsia="zh-CN"/>
                    </w:rPr>
                    <w:t>由市政电网供给，</w:t>
                  </w:r>
                  <w:r>
                    <w:rPr>
                      <w:rFonts w:hint="eastAsia" w:cs="Times New Roman"/>
                      <w:i w:val="0"/>
                      <w:iCs w:val="0"/>
                      <w:color w:val="auto"/>
                      <w:kern w:val="0"/>
                      <w:sz w:val="21"/>
                      <w:szCs w:val="21"/>
                      <w:highlight w:val="none"/>
                      <w:u w:val="none"/>
                      <w:lang w:val="en-US" w:eastAsia="zh-CN"/>
                    </w:rPr>
                    <w:t>设</w:t>
                  </w:r>
                  <w:r>
                    <w:rPr>
                      <w:rFonts w:hint="default" w:ascii="Times New Roman" w:hAnsi="Times New Roman" w:eastAsia="宋体" w:cs="Times New Roman"/>
                      <w:i w:val="0"/>
                      <w:iCs w:val="0"/>
                      <w:color w:val="auto"/>
                      <w:kern w:val="0"/>
                      <w:sz w:val="21"/>
                      <w:szCs w:val="21"/>
                      <w:highlight w:val="none"/>
                      <w:u w:val="none"/>
                      <w:lang w:val="en-US" w:eastAsia="zh-CN"/>
                    </w:rPr>
                    <w:t>备用发电机</w:t>
                  </w:r>
                  <w:r>
                    <w:rPr>
                      <w:rFonts w:hint="eastAsia" w:cs="Times New Roman"/>
                      <w:i w:val="0"/>
                      <w:iCs w:val="0"/>
                      <w:color w:val="auto"/>
                      <w:kern w:val="0"/>
                      <w:sz w:val="21"/>
                      <w:szCs w:val="21"/>
                      <w:highlight w:val="none"/>
                      <w:u w:val="none"/>
                      <w:lang w:val="en-US" w:eastAsia="zh-CN"/>
                    </w:rPr>
                    <w:t>1台，功率为120kw</w:t>
                  </w:r>
                </w:p>
              </w:tc>
            </w:tr>
            <w:tr w14:paraId="5226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37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6A5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68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供水</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6E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由当地自来水管网供给</w:t>
                  </w:r>
                </w:p>
              </w:tc>
            </w:tr>
            <w:tr w14:paraId="0EC4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3C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745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18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供气</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B4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食堂</w:t>
                  </w:r>
                  <w:r>
                    <w:rPr>
                      <w:rFonts w:hint="default" w:ascii="Times New Roman" w:hAnsi="Times New Roman" w:eastAsia="宋体" w:cs="Times New Roman"/>
                      <w:i w:val="0"/>
                      <w:iCs w:val="0"/>
                      <w:color w:val="auto"/>
                      <w:kern w:val="0"/>
                      <w:sz w:val="21"/>
                      <w:szCs w:val="21"/>
                      <w:highlight w:val="none"/>
                      <w:u w:val="none"/>
                      <w:lang w:val="en-US" w:eastAsia="zh-CN"/>
                    </w:rPr>
                    <w:t>天然气为当地管道天然气供给</w:t>
                  </w:r>
                </w:p>
              </w:tc>
            </w:tr>
            <w:tr w14:paraId="3E88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jc w:val="center"/>
              </w:trPr>
              <w:tc>
                <w:tcPr>
                  <w:tcW w:w="694" w:type="dxa"/>
                  <w:vMerge w:val="restart"/>
                  <w:tcBorders>
                    <w:top w:val="single" w:color="000000" w:sz="4" w:space="0"/>
                    <w:left w:val="single" w:color="000000" w:sz="4" w:space="0"/>
                    <w:right w:val="single" w:color="000000" w:sz="4" w:space="0"/>
                  </w:tcBorders>
                  <w:shd w:val="clear" w:color="auto" w:fill="auto"/>
                  <w:vAlign w:val="center"/>
                </w:tcPr>
                <w:p w14:paraId="6BD20E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5</w:t>
                  </w:r>
                </w:p>
              </w:tc>
              <w:tc>
                <w:tcPr>
                  <w:tcW w:w="645" w:type="dxa"/>
                  <w:vMerge w:val="restart"/>
                  <w:tcBorders>
                    <w:top w:val="single" w:color="000000" w:sz="4" w:space="0"/>
                    <w:left w:val="single" w:color="000000" w:sz="4" w:space="0"/>
                    <w:right w:val="single" w:color="000000" w:sz="4" w:space="0"/>
                  </w:tcBorders>
                  <w:shd w:val="clear" w:color="auto" w:fill="auto"/>
                  <w:vAlign w:val="center"/>
                </w:tcPr>
                <w:p w14:paraId="157544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环保工程</w:t>
                  </w:r>
                </w:p>
              </w:tc>
              <w:tc>
                <w:tcPr>
                  <w:tcW w:w="1393" w:type="dxa"/>
                  <w:vMerge w:val="restart"/>
                  <w:tcBorders>
                    <w:top w:val="single" w:color="000000" w:sz="4" w:space="0"/>
                    <w:left w:val="single" w:color="000000" w:sz="4" w:space="0"/>
                    <w:right w:val="single" w:color="000000" w:sz="4" w:space="0"/>
                  </w:tcBorders>
                  <w:shd w:val="clear" w:color="auto" w:fill="auto"/>
                  <w:vAlign w:val="center"/>
                </w:tcPr>
                <w:p w14:paraId="1489DE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废气</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C7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rPr>
                    <w:t>①</w:t>
                  </w:r>
                  <w:r>
                    <w:rPr>
                      <w:rFonts w:hint="eastAsia" w:cs="Times New Roman"/>
                      <w:i w:val="0"/>
                      <w:iCs w:val="0"/>
                      <w:color w:val="auto"/>
                      <w:kern w:val="0"/>
                      <w:sz w:val="21"/>
                      <w:szCs w:val="21"/>
                      <w:highlight w:val="none"/>
                      <w:u w:val="none"/>
                      <w:lang w:val="en-US" w:eastAsia="zh-CN"/>
                    </w:rPr>
                    <w:t>破碎工序</w:t>
                  </w:r>
                  <w:r>
                    <w:rPr>
                      <w:rFonts w:hint="default" w:ascii="Times New Roman" w:hAnsi="Times New Roman" w:eastAsia="宋体" w:cs="Times New Roman"/>
                      <w:i w:val="0"/>
                      <w:iCs w:val="0"/>
                      <w:color w:val="auto"/>
                      <w:kern w:val="0"/>
                      <w:sz w:val="21"/>
                      <w:szCs w:val="21"/>
                      <w:highlight w:val="none"/>
                      <w:u w:val="none"/>
                      <w:lang w:val="en-US" w:eastAsia="zh-CN"/>
                    </w:rPr>
                    <w:t>产生的污染物主要有颗粒物，</w:t>
                  </w:r>
                  <w:r>
                    <w:rPr>
                      <w:rFonts w:hint="eastAsia" w:cs="Times New Roman"/>
                      <w:i w:val="0"/>
                      <w:iCs w:val="0"/>
                      <w:color w:val="auto"/>
                      <w:kern w:val="0"/>
                      <w:sz w:val="21"/>
                      <w:szCs w:val="21"/>
                      <w:highlight w:val="none"/>
                      <w:u w:val="none"/>
                      <w:lang w:val="en-US" w:eastAsia="zh-CN"/>
                    </w:rPr>
                    <w:t>设置1个布袋除尘器处理，</w:t>
                  </w:r>
                  <w:r>
                    <w:rPr>
                      <w:rFonts w:hint="default" w:ascii="Times New Roman" w:hAnsi="Times New Roman" w:eastAsia="宋体" w:cs="Times New Roman"/>
                      <w:i w:val="0"/>
                      <w:iCs w:val="0"/>
                      <w:color w:val="auto"/>
                      <w:kern w:val="0"/>
                      <w:sz w:val="21"/>
                      <w:szCs w:val="21"/>
                      <w:highlight w:val="none"/>
                      <w:u w:val="none"/>
                      <w:lang w:val="en-US" w:eastAsia="zh-CN"/>
                    </w:rPr>
                    <w:t>经引风机引至排气筒DA001高空排放，排放高度为</w:t>
                  </w:r>
                  <w:r>
                    <w:rPr>
                      <w:rFonts w:hint="eastAsia" w:cs="Times New Roman"/>
                      <w:i w:val="0"/>
                      <w:iCs w:val="0"/>
                      <w:color w:val="auto"/>
                      <w:kern w:val="0"/>
                      <w:sz w:val="21"/>
                      <w:szCs w:val="21"/>
                      <w:highlight w:val="none"/>
                      <w:u w:val="none"/>
                      <w:lang w:val="en-US" w:eastAsia="zh-CN"/>
                    </w:rPr>
                    <w:t>15m</w:t>
                  </w:r>
                  <w:r>
                    <w:rPr>
                      <w:rFonts w:hint="eastAsia" w:ascii="Times New Roman" w:hAnsi="Times New Roman" w:cs="Times New Roman"/>
                      <w:i w:val="0"/>
                      <w:iCs w:val="0"/>
                      <w:color w:val="auto"/>
                      <w:kern w:val="0"/>
                      <w:sz w:val="21"/>
                      <w:szCs w:val="21"/>
                      <w:highlight w:val="none"/>
                      <w:u w:val="none"/>
                      <w:lang w:val="en-US" w:eastAsia="zh-CN"/>
                    </w:rPr>
                    <w:t>；造粒</w:t>
                  </w:r>
                  <w:r>
                    <w:rPr>
                      <w:rFonts w:hint="eastAsia"/>
                      <w:color w:val="auto"/>
                      <w:kern w:val="0"/>
                      <w:sz w:val="21"/>
                      <w:szCs w:val="21"/>
                      <w:highlight w:val="none"/>
                    </w:rPr>
                    <w:t>工序</w:t>
                  </w:r>
                  <w:r>
                    <w:rPr>
                      <w:color w:val="auto"/>
                      <w:kern w:val="0"/>
                      <w:sz w:val="21"/>
                      <w:szCs w:val="21"/>
                      <w:highlight w:val="none"/>
                    </w:rPr>
                    <w:t>产生的污染物主要有</w:t>
                  </w:r>
                  <w:r>
                    <w:rPr>
                      <w:rFonts w:hint="eastAsia"/>
                      <w:color w:val="auto"/>
                      <w:kern w:val="0"/>
                      <w:sz w:val="21"/>
                      <w:szCs w:val="21"/>
                      <w:highlight w:val="none"/>
                      <w:lang w:val="en-US" w:eastAsia="zh-CN"/>
                    </w:rPr>
                    <w:t>非甲烷总烃、</w:t>
                  </w:r>
                  <w:r>
                    <w:rPr>
                      <w:color w:val="auto"/>
                      <w:kern w:val="0"/>
                      <w:sz w:val="21"/>
                      <w:szCs w:val="21"/>
                      <w:highlight w:val="none"/>
                    </w:rPr>
                    <w:t>颗粒物</w:t>
                  </w:r>
                  <w:r>
                    <w:rPr>
                      <w:rFonts w:hint="eastAsia"/>
                      <w:color w:val="auto"/>
                      <w:kern w:val="0"/>
                      <w:sz w:val="21"/>
                      <w:szCs w:val="21"/>
                      <w:highlight w:val="none"/>
                      <w:lang w:eastAsia="zh-CN"/>
                    </w:rPr>
                    <w:t>、</w:t>
                  </w:r>
                  <w:r>
                    <w:rPr>
                      <w:rFonts w:hint="eastAsia"/>
                      <w:color w:val="auto"/>
                      <w:kern w:val="0"/>
                      <w:sz w:val="21"/>
                      <w:szCs w:val="21"/>
                      <w:highlight w:val="none"/>
                      <w:lang w:val="en-US" w:eastAsia="zh-CN"/>
                    </w:rPr>
                    <w:t>臭气浓度</w:t>
                  </w:r>
                  <w:r>
                    <w:rPr>
                      <w:color w:val="auto"/>
                      <w:kern w:val="0"/>
                      <w:sz w:val="21"/>
                      <w:szCs w:val="21"/>
                      <w:highlight w:val="none"/>
                    </w:rPr>
                    <w:t>，</w:t>
                  </w:r>
                  <w:r>
                    <w:rPr>
                      <w:rFonts w:hint="eastAsia"/>
                      <w:color w:val="auto"/>
                      <w:kern w:val="0"/>
                      <w:sz w:val="21"/>
                      <w:szCs w:val="21"/>
                      <w:highlight w:val="none"/>
                    </w:rPr>
                    <w:t>设置1</w:t>
                  </w:r>
                  <w:r>
                    <w:rPr>
                      <w:rFonts w:hint="eastAsia"/>
                      <w:color w:val="auto"/>
                      <w:kern w:val="0"/>
                      <w:sz w:val="21"/>
                      <w:szCs w:val="21"/>
                      <w:highlight w:val="none"/>
                      <w:lang w:val="en-US" w:eastAsia="zh-CN"/>
                    </w:rPr>
                    <w:t>套废气</w:t>
                  </w:r>
                  <w:r>
                    <w:rPr>
                      <w:rFonts w:hint="eastAsia"/>
                      <w:color w:val="auto"/>
                      <w:kern w:val="0"/>
                      <w:sz w:val="21"/>
                      <w:szCs w:val="21"/>
                      <w:highlight w:val="none"/>
                    </w:rPr>
                    <w:t>处理</w:t>
                  </w:r>
                  <w:r>
                    <w:rPr>
                      <w:rFonts w:hint="eastAsia"/>
                      <w:color w:val="auto"/>
                      <w:kern w:val="0"/>
                      <w:sz w:val="21"/>
                      <w:szCs w:val="21"/>
                      <w:highlight w:val="none"/>
                      <w:lang w:val="en-US" w:eastAsia="zh-CN"/>
                    </w:rPr>
                    <w:t>设施（电捕焦油+气旋混动喷淋+干式过滤+活性炭吸附脱附+催化燃烧+活性炭吸附）</w:t>
                  </w:r>
                  <w:r>
                    <w:rPr>
                      <w:rFonts w:hint="eastAsia"/>
                      <w:color w:val="auto"/>
                      <w:kern w:val="0"/>
                      <w:sz w:val="21"/>
                      <w:szCs w:val="21"/>
                      <w:highlight w:val="none"/>
                    </w:rPr>
                    <w:t>，</w:t>
                  </w:r>
                  <w:r>
                    <w:rPr>
                      <w:color w:val="auto"/>
                      <w:kern w:val="0"/>
                      <w:sz w:val="21"/>
                      <w:szCs w:val="21"/>
                      <w:highlight w:val="none"/>
                    </w:rPr>
                    <w:t>经引风机引至排气筒DA00</w:t>
                  </w:r>
                  <w:r>
                    <w:rPr>
                      <w:rFonts w:hint="eastAsia"/>
                      <w:color w:val="auto"/>
                      <w:kern w:val="0"/>
                      <w:sz w:val="21"/>
                      <w:szCs w:val="21"/>
                      <w:highlight w:val="none"/>
                      <w:lang w:val="en-US" w:eastAsia="zh-CN"/>
                    </w:rPr>
                    <w:t>2</w:t>
                  </w:r>
                  <w:r>
                    <w:rPr>
                      <w:color w:val="auto"/>
                      <w:kern w:val="0"/>
                      <w:sz w:val="21"/>
                      <w:szCs w:val="21"/>
                      <w:highlight w:val="none"/>
                    </w:rPr>
                    <w:t>高空排放，排放高度为</w:t>
                  </w:r>
                  <w:r>
                    <w:rPr>
                      <w:rFonts w:hint="eastAsia"/>
                      <w:color w:val="auto"/>
                      <w:kern w:val="0"/>
                      <w:sz w:val="21"/>
                      <w:szCs w:val="21"/>
                      <w:highlight w:val="none"/>
                      <w:lang w:eastAsia="zh-CN"/>
                    </w:rPr>
                    <w:t>15m</w:t>
                  </w:r>
                  <w:r>
                    <w:rPr>
                      <w:rFonts w:hint="eastAsia"/>
                      <w:color w:val="auto"/>
                      <w:kern w:val="0"/>
                      <w:sz w:val="21"/>
                      <w:szCs w:val="21"/>
                      <w:highlight w:val="none"/>
                    </w:rPr>
                    <w:t>。</w:t>
                  </w:r>
                </w:p>
              </w:tc>
            </w:tr>
            <w:tr w14:paraId="5F92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694" w:type="dxa"/>
                  <w:vMerge w:val="continue"/>
                  <w:tcBorders>
                    <w:left w:val="single" w:color="000000" w:sz="4" w:space="0"/>
                    <w:right w:val="single" w:color="000000" w:sz="4" w:space="0"/>
                  </w:tcBorders>
                  <w:shd w:val="clear" w:color="auto" w:fill="auto"/>
                  <w:vAlign w:val="center"/>
                </w:tcPr>
                <w:p w14:paraId="40D5DA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645" w:type="dxa"/>
                  <w:vMerge w:val="continue"/>
                  <w:tcBorders>
                    <w:left w:val="single" w:color="000000" w:sz="4" w:space="0"/>
                    <w:right w:val="single" w:color="000000" w:sz="4" w:space="0"/>
                  </w:tcBorders>
                  <w:shd w:val="clear" w:color="auto" w:fill="auto"/>
                  <w:vAlign w:val="center"/>
                </w:tcPr>
                <w:p w14:paraId="5A9638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1393" w:type="dxa"/>
                  <w:vMerge w:val="continue"/>
                  <w:tcBorders>
                    <w:left w:val="single" w:color="000000" w:sz="4" w:space="0"/>
                    <w:right w:val="single" w:color="000000" w:sz="4" w:space="0"/>
                  </w:tcBorders>
                  <w:shd w:val="clear" w:color="auto" w:fill="auto"/>
                  <w:vAlign w:val="center"/>
                </w:tcPr>
                <w:p w14:paraId="7E52CA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65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color w:val="auto"/>
                      <w:kern w:val="2"/>
                      <w:sz w:val="21"/>
                      <w:szCs w:val="21"/>
                      <w:highlight w:val="none"/>
                      <w:lang w:val="en-US" w:eastAsia="zh-CN"/>
                    </w:rPr>
                    <w:t>②废水处理设施产生的恶臭（硫化氢、氨、臭气浓度）无组织排放</w:t>
                  </w:r>
                </w:p>
              </w:tc>
            </w:tr>
            <w:tr w14:paraId="21D35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94" w:type="dxa"/>
                  <w:vMerge w:val="continue"/>
                  <w:tcBorders>
                    <w:left w:val="single" w:color="000000" w:sz="4" w:space="0"/>
                    <w:right w:val="single" w:color="000000" w:sz="4" w:space="0"/>
                  </w:tcBorders>
                  <w:shd w:val="clear" w:color="auto" w:fill="auto"/>
                  <w:vAlign w:val="center"/>
                </w:tcPr>
                <w:p w14:paraId="60ABF0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left w:val="single" w:color="000000" w:sz="4" w:space="0"/>
                    <w:right w:val="single" w:color="000000" w:sz="4" w:space="0"/>
                  </w:tcBorders>
                  <w:shd w:val="clear" w:color="auto" w:fill="auto"/>
                  <w:vAlign w:val="center"/>
                </w:tcPr>
                <w:p w14:paraId="06C011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vMerge w:val="continue"/>
                  <w:tcBorders>
                    <w:left w:val="single" w:color="000000" w:sz="4" w:space="0"/>
                    <w:right w:val="single" w:color="000000" w:sz="4" w:space="0"/>
                  </w:tcBorders>
                  <w:shd w:val="clear" w:color="auto" w:fill="auto"/>
                  <w:vAlign w:val="center"/>
                </w:tcPr>
                <w:p w14:paraId="3F074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FB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③食堂油烟通过油烟净化器处理后由排气筒DA003高空排放，排放高度15m</w:t>
                  </w:r>
                </w:p>
              </w:tc>
            </w:tr>
            <w:tr w14:paraId="27D14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694" w:type="dxa"/>
                  <w:vMerge w:val="continue"/>
                  <w:tcBorders>
                    <w:left w:val="single" w:color="000000" w:sz="4" w:space="0"/>
                    <w:right w:val="single" w:color="000000" w:sz="4" w:space="0"/>
                  </w:tcBorders>
                  <w:shd w:val="clear" w:color="auto" w:fill="auto"/>
                  <w:vAlign w:val="center"/>
                </w:tcPr>
                <w:p w14:paraId="0FA2F2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left w:val="single" w:color="000000" w:sz="4" w:space="0"/>
                    <w:right w:val="single" w:color="000000" w:sz="4" w:space="0"/>
                  </w:tcBorders>
                  <w:shd w:val="clear" w:color="auto" w:fill="auto"/>
                  <w:vAlign w:val="center"/>
                </w:tcPr>
                <w:p w14:paraId="37B0FF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C1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废水</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5E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生产废水通入自建污水处理站中，经“</w:t>
                  </w:r>
                  <w:r>
                    <w:rPr>
                      <w:rFonts w:hint="eastAsia" w:cs="Times New Roman"/>
                      <w:i w:val="0"/>
                      <w:iCs w:val="0"/>
                      <w:color w:val="auto"/>
                      <w:kern w:val="0"/>
                      <w:sz w:val="21"/>
                      <w:szCs w:val="21"/>
                      <w:highlight w:val="none"/>
                      <w:u w:val="none"/>
                      <w:lang w:val="en-US" w:eastAsia="zh-CN"/>
                    </w:rPr>
                    <w:t>中和调节+絮凝沉淀+A/O+二沉池+消毒</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eastAsia" w:cs="Times New Roman"/>
                      <w:i w:val="0"/>
                      <w:iCs w:val="0"/>
                      <w:color w:val="auto"/>
                      <w:kern w:val="0"/>
                      <w:sz w:val="21"/>
                      <w:szCs w:val="21"/>
                      <w:highlight w:val="none"/>
                      <w:u w:val="none"/>
                      <w:lang w:val="en-US" w:eastAsia="zh-CN"/>
                    </w:rPr>
                    <w:t>处理后循环使用、定期排放；</w:t>
                  </w:r>
                  <w:r>
                    <w:rPr>
                      <w:rFonts w:hint="default" w:ascii="Times New Roman" w:hAnsi="Times New Roman" w:eastAsia="宋体" w:cs="Times New Roman"/>
                      <w:i w:val="0"/>
                      <w:iCs w:val="0"/>
                      <w:color w:val="auto"/>
                      <w:kern w:val="0"/>
                      <w:sz w:val="21"/>
                      <w:szCs w:val="21"/>
                      <w:highlight w:val="none"/>
                      <w:u w:val="none"/>
                      <w:lang w:val="en-US" w:eastAsia="zh-CN"/>
                    </w:rPr>
                    <w:t>生活污水采取“</w:t>
                  </w:r>
                  <w:r>
                    <w:rPr>
                      <w:rFonts w:hint="eastAsia" w:cs="Times New Roman"/>
                      <w:i w:val="0"/>
                      <w:iCs w:val="0"/>
                      <w:color w:val="auto"/>
                      <w:kern w:val="0"/>
                      <w:sz w:val="21"/>
                      <w:szCs w:val="21"/>
                      <w:highlight w:val="none"/>
                      <w:u w:val="none"/>
                      <w:lang w:val="en-US" w:eastAsia="zh-CN"/>
                    </w:rPr>
                    <w:t>三级化粪池+隔油隔渣池</w:t>
                  </w:r>
                  <w:r>
                    <w:rPr>
                      <w:rFonts w:hint="default" w:ascii="Times New Roman" w:hAnsi="Times New Roman" w:eastAsia="宋体" w:cs="Times New Roman"/>
                      <w:i w:val="0"/>
                      <w:iCs w:val="0"/>
                      <w:color w:val="auto"/>
                      <w:kern w:val="0"/>
                      <w:sz w:val="21"/>
                      <w:szCs w:val="21"/>
                      <w:highlight w:val="none"/>
                      <w:u w:val="none"/>
                      <w:lang w:val="en-US" w:eastAsia="zh-CN"/>
                    </w:rPr>
                    <w:t>”预处理后，</w:t>
                  </w:r>
                  <w:r>
                    <w:rPr>
                      <w:rFonts w:hint="eastAsia" w:cs="Times New Roman"/>
                      <w:i w:val="0"/>
                      <w:iCs w:val="0"/>
                      <w:color w:val="auto"/>
                      <w:kern w:val="0"/>
                      <w:sz w:val="21"/>
                      <w:szCs w:val="21"/>
                      <w:highlight w:val="none"/>
                      <w:u w:val="none"/>
                      <w:lang w:val="en-US" w:eastAsia="zh-CN"/>
                    </w:rPr>
                    <w:t>与经处理的外排生产废水一并经DW001排放口</w:t>
                  </w:r>
                  <w:r>
                    <w:rPr>
                      <w:rFonts w:hint="default" w:ascii="Times New Roman" w:hAnsi="Times New Roman" w:eastAsia="宋体" w:cs="Times New Roman"/>
                      <w:i w:val="0"/>
                      <w:iCs w:val="0"/>
                      <w:color w:val="auto"/>
                      <w:kern w:val="0"/>
                      <w:sz w:val="21"/>
                      <w:szCs w:val="21"/>
                      <w:highlight w:val="none"/>
                      <w:u w:val="none"/>
                      <w:lang w:val="en-US" w:eastAsia="zh-CN"/>
                    </w:rPr>
                    <w:t>排入园区污水处理厂进一步处理，处理达标后通过出水管道输送尾水，经废水排放口（WS-LC005001）排放至榴村霜降坑河，最终流入武江；</w:t>
                  </w:r>
                </w:p>
              </w:tc>
            </w:tr>
            <w:tr w14:paraId="4F48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694" w:type="dxa"/>
                  <w:vMerge w:val="continue"/>
                  <w:tcBorders>
                    <w:left w:val="single" w:color="000000" w:sz="4" w:space="0"/>
                    <w:right w:val="single" w:color="000000" w:sz="4" w:space="0"/>
                  </w:tcBorders>
                  <w:shd w:val="clear" w:color="auto" w:fill="auto"/>
                  <w:vAlign w:val="center"/>
                </w:tcPr>
                <w:p w14:paraId="6F7054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left w:val="single" w:color="000000" w:sz="4" w:space="0"/>
                    <w:right w:val="single" w:color="000000" w:sz="4" w:space="0"/>
                  </w:tcBorders>
                  <w:shd w:val="clear" w:color="auto" w:fill="auto"/>
                  <w:vAlign w:val="center"/>
                </w:tcPr>
                <w:p w14:paraId="6BAC73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E22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固废</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FF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危险废物暂存间建筑面积2</w:t>
                  </w:r>
                  <w:r>
                    <w:rPr>
                      <w:rFonts w:hint="eastAsia" w:cs="Times New Roman"/>
                      <w:i w:val="0"/>
                      <w:iCs w:val="0"/>
                      <w:color w:val="auto"/>
                      <w:kern w:val="0"/>
                      <w:sz w:val="21"/>
                      <w:szCs w:val="21"/>
                      <w:highlight w:val="none"/>
                      <w:u w:val="none"/>
                      <w:lang w:val="en-US" w:eastAsia="zh-CN"/>
                    </w:rPr>
                    <w:t>5</w:t>
                  </w:r>
                  <w:r>
                    <w:rPr>
                      <w:rFonts w:hint="default" w:ascii="Times New Roman" w:hAnsi="Times New Roman" w:cs="Times New Roman"/>
                      <w:i w:val="0"/>
                      <w:iCs w:val="0"/>
                      <w:color w:val="auto"/>
                      <w:kern w:val="0"/>
                      <w:sz w:val="21"/>
                      <w:szCs w:val="21"/>
                      <w:highlight w:val="none"/>
                      <w:u w:val="none"/>
                      <w:lang w:val="en-US" w:eastAsia="zh-CN"/>
                    </w:rPr>
                    <w:t>平方米</w:t>
                  </w:r>
                  <w:r>
                    <w:rPr>
                      <w:rFonts w:hint="default" w:ascii="Times New Roman" w:hAnsi="Times New Roman" w:eastAsia="宋体" w:cs="Times New Roman"/>
                      <w:i w:val="0"/>
                      <w:iCs w:val="0"/>
                      <w:color w:val="auto"/>
                      <w:kern w:val="0"/>
                      <w:sz w:val="21"/>
                      <w:szCs w:val="21"/>
                      <w:highlight w:val="none"/>
                      <w:u w:val="none"/>
                      <w:lang w:val="en-US" w:eastAsia="zh-CN"/>
                    </w:rPr>
                    <w:t>，用于危险废物存放</w:t>
                  </w:r>
                  <w:r>
                    <w:rPr>
                      <w:rFonts w:hint="eastAsia" w:cs="Times New Roman"/>
                      <w:i w:val="0"/>
                      <w:iCs w:val="0"/>
                      <w:color w:val="auto"/>
                      <w:kern w:val="0"/>
                      <w:sz w:val="21"/>
                      <w:szCs w:val="21"/>
                      <w:highlight w:val="none"/>
                      <w:u w:val="none"/>
                      <w:lang w:val="en-US" w:eastAsia="zh-CN"/>
                    </w:rPr>
                    <w:t>，位于3#厂房</w:t>
                  </w:r>
                  <w:r>
                    <w:rPr>
                      <w:rFonts w:hint="default" w:ascii="Times New Roman" w:hAnsi="Times New Roman" w:eastAsia="宋体" w:cs="Times New Roman"/>
                      <w:i w:val="0"/>
                      <w:iCs w:val="0"/>
                      <w:color w:val="auto"/>
                      <w:kern w:val="0"/>
                      <w:sz w:val="21"/>
                      <w:szCs w:val="21"/>
                      <w:highlight w:val="none"/>
                      <w:u w:val="none"/>
                      <w:lang w:val="en-US" w:eastAsia="zh-CN"/>
                    </w:rPr>
                    <w:t>；</w:t>
                  </w:r>
                </w:p>
              </w:tc>
            </w:tr>
            <w:tr w14:paraId="2104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694" w:type="dxa"/>
                  <w:vMerge w:val="continue"/>
                  <w:tcBorders>
                    <w:left w:val="single" w:color="000000" w:sz="4" w:space="0"/>
                    <w:right w:val="single" w:color="000000" w:sz="4" w:space="0"/>
                  </w:tcBorders>
                  <w:shd w:val="clear" w:color="auto" w:fill="auto"/>
                  <w:vAlign w:val="center"/>
                </w:tcPr>
                <w:p w14:paraId="62DD6B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left w:val="single" w:color="000000" w:sz="4" w:space="0"/>
                    <w:right w:val="single" w:color="000000" w:sz="4" w:space="0"/>
                  </w:tcBorders>
                  <w:shd w:val="clear" w:color="auto" w:fill="auto"/>
                  <w:vAlign w:val="center"/>
                </w:tcPr>
                <w:p w14:paraId="207F2E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A0A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B8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一般固体废物暂存间占地面积2</w:t>
                  </w:r>
                  <w:r>
                    <w:rPr>
                      <w:rFonts w:hint="eastAsia" w:cs="Times New Roman"/>
                      <w:i w:val="0"/>
                      <w:iCs w:val="0"/>
                      <w:color w:val="auto"/>
                      <w:kern w:val="0"/>
                      <w:sz w:val="21"/>
                      <w:szCs w:val="21"/>
                      <w:highlight w:val="none"/>
                      <w:u w:val="none"/>
                      <w:lang w:val="en-US" w:eastAsia="zh-CN"/>
                    </w:rPr>
                    <w:t>5</w:t>
                  </w:r>
                  <w:r>
                    <w:rPr>
                      <w:rFonts w:hint="default" w:ascii="Times New Roman" w:hAnsi="Times New Roman" w:cs="Times New Roman"/>
                      <w:i w:val="0"/>
                      <w:iCs w:val="0"/>
                      <w:color w:val="auto"/>
                      <w:kern w:val="0"/>
                      <w:sz w:val="21"/>
                      <w:szCs w:val="21"/>
                      <w:highlight w:val="none"/>
                      <w:u w:val="none"/>
                      <w:lang w:val="en-US" w:eastAsia="zh-CN"/>
                    </w:rPr>
                    <w:t>平方米</w:t>
                  </w:r>
                  <w:r>
                    <w:rPr>
                      <w:rFonts w:hint="default" w:ascii="Times New Roman" w:hAnsi="Times New Roman" w:eastAsia="宋体" w:cs="Times New Roman"/>
                      <w:i w:val="0"/>
                      <w:iCs w:val="0"/>
                      <w:color w:val="auto"/>
                      <w:kern w:val="0"/>
                      <w:sz w:val="21"/>
                      <w:szCs w:val="21"/>
                      <w:highlight w:val="none"/>
                      <w:u w:val="none"/>
                      <w:lang w:val="en-US" w:eastAsia="zh-CN"/>
                    </w:rPr>
                    <w:t>，用于一般固废暂存</w:t>
                  </w:r>
                  <w:r>
                    <w:rPr>
                      <w:rFonts w:hint="eastAsia" w:cs="Times New Roman"/>
                      <w:i w:val="0"/>
                      <w:iCs w:val="0"/>
                      <w:color w:val="auto"/>
                      <w:kern w:val="0"/>
                      <w:sz w:val="21"/>
                      <w:szCs w:val="21"/>
                      <w:highlight w:val="none"/>
                      <w:u w:val="none"/>
                      <w:lang w:val="en-US" w:eastAsia="zh-CN"/>
                    </w:rPr>
                    <w:t>位于4#厂房</w:t>
                  </w:r>
                  <w:r>
                    <w:rPr>
                      <w:rFonts w:hint="default" w:ascii="Times New Roman" w:hAnsi="Times New Roman" w:eastAsia="宋体" w:cs="Times New Roman"/>
                      <w:i w:val="0"/>
                      <w:iCs w:val="0"/>
                      <w:color w:val="auto"/>
                      <w:kern w:val="0"/>
                      <w:sz w:val="21"/>
                      <w:szCs w:val="21"/>
                      <w:highlight w:val="none"/>
                      <w:u w:val="none"/>
                      <w:lang w:val="en-US" w:eastAsia="zh-CN"/>
                    </w:rPr>
                    <w:t>。</w:t>
                  </w:r>
                </w:p>
              </w:tc>
            </w:tr>
            <w:tr w14:paraId="4DC0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694" w:type="dxa"/>
                  <w:vMerge w:val="continue"/>
                  <w:tcBorders>
                    <w:left w:val="single" w:color="000000" w:sz="4" w:space="0"/>
                    <w:bottom w:val="single" w:color="000000" w:sz="4" w:space="0"/>
                    <w:right w:val="single" w:color="000000" w:sz="4" w:space="0"/>
                  </w:tcBorders>
                  <w:shd w:val="clear" w:color="auto" w:fill="auto"/>
                  <w:vAlign w:val="center"/>
                </w:tcPr>
                <w:p w14:paraId="15651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45" w:type="dxa"/>
                  <w:vMerge w:val="continue"/>
                  <w:tcBorders>
                    <w:left w:val="single" w:color="000000" w:sz="4" w:space="0"/>
                    <w:bottom w:val="single" w:color="000000" w:sz="4" w:space="0"/>
                    <w:right w:val="single" w:color="000000" w:sz="4" w:space="0"/>
                  </w:tcBorders>
                  <w:shd w:val="clear" w:color="auto" w:fill="auto"/>
                  <w:vAlign w:val="center"/>
                </w:tcPr>
                <w:p w14:paraId="57ED1F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65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风险防范措施</w:t>
                  </w:r>
                </w:p>
              </w:tc>
              <w:tc>
                <w:tcPr>
                  <w:tcW w:w="6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E4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本项目设置</w:t>
                  </w:r>
                  <w:r>
                    <w:rPr>
                      <w:rFonts w:hint="default" w:ascii="Times New Roman" w:hAnsi="Times New Roman" w:cs="Times New Roman"/>
                      <w:b w:val="0"/>
                      <w:bCs w:val="0"/>
                      <w:color w:val="auto"/>
                      <w:sz w:val="21"/>
                      <w:szCs w:val="21"/>
                      <w:highlight w:val="none"/>
                    </w:rPr>
                    <w:t>1个有效容积为</w:t>
                  </w:r>
                  <w:r>
                    <w:rPr>
                      <w:rFonts w:hint="default" w:ascii="Times New Roman" w:hAnsi="Times New Roman" w:cs="Times New Roman"/>
                      <w:b w:val="0"/>
                      <w:bCs w:val="0"/>
                      <w:color w:val="auto"/>
                      <w:sz w:val="21"/>
                      <w:szCs w:val="21"/>
                      <w:highlight w:val="none"/>
                      <w:lang w:val="en-US" w:eastAsia="zh-CN"/>
                    </w:rPr>
                    <w:t>350</w:t>
                  </w:r>
                  <w:r>
                    <w:rPr>
                      <w:rFonts w:hint="default" w:ascii="Times New Roman" w:hAnsi="Times New Roman" w:cs="Times New Roman"/>
                      <w:b w:val="0"/>
                      <w:bCs w:val="0"/>
                      <w:color w:val="auto"/>
                      <w:sz w:val="21"/>
                      <w:szCs w:val="21"/>
                      <w:highlight w:val="none"/>
                    </w:rPr>
                    <w:t>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b w:val="0"/>
                      <w:bCs w:val="0"/>
                      <w:color w:val="auto"/>
                      <w:sz w:val="21"/>
                      <w:szCs w:val="21"/>
                      <w:highlight w:val="none"/>
                    </w:rPr>
                    <w:t>的事故应急池</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用于满足消防或其他事故时废水收集需要</w:t>
                  </w:r>
                </w:p>
              </w:tc>
            </w:tr>
          </w:tbl>
          <w:p w14:paraId="52477CD4">
            <w:pPr>
              <w:pStyle w:val="20"/>
              <w:numPr>
                <w:ilvl w:val="3"/>
                <w:numId w:val="0"/>
              </w:numPr>
              <w:ind w:left="-960" w:firstLine="1440"/>
              <w:rPr>
                <w:color w:val="auto"/>
                <w:highlight w:val="none"/>
              </w:rPr>
            </w:pPr>
            <w:r>
              <w:rPr>
                <w:color w:val="auto"/>
                <w:szCs w:val="24"/>
                <w:highlight w:val="none"/>
              </w:rPr>
              <w:t>2、</w:t>
            </w:r>
            <w:r>
              <w:rPr>
                <w:color w:val="auto"/>
                <w:highlight w:val="none"/>
              </w:rPr>
              <w:t>产品方案</w:t>
            </w:r>
          </w:p>
          <w:p w14:paraId="11A97408">
            <w:pPr>
              <w:tabs>
                <w:tab w:val="left" w:pos="6960"/>
              </w:tabs>
              <w:ind w:firstLine="480" w:firstLineChars="200"/>
              <w:rPr>
                <w:b/>
                <w:bCs/>
                <w:color w:val="auto"/>
                <w:highlight w:val="none"/>
              </w:rPr>
            </w:pPr>
            <w:r>
              <w:rPr>
                <w:b/>
                <w:bCs/>
                <w:color w:val="auto"/>
                <w:highlight w:val="none"/>
              </w:rPr>
              <w:t>（1）产品方案</w:t>
            </w:r>
          </w:p>
          <w:p w14:paraId="39A2266D">
            <w:pPr>
              <w:keepNext w:val="0"/>
              <w:keepLines w:val="0"/>
              <w:suppressLineNumbers w:val="0"/>
              <w:tabs>
                <w:tab w:val="left" w:pos="6960"/>
              </w:tabs>
              <w:spacing w:before="0" w:beforeAutospacing="0" w:after="0" w:afterAutospacing="0"/>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本项目生产的</w:t>
            </w:r>
            <w:r>
              <w:rPr>
                <w:rFonts w:hint="default" w:ascii="Times New Roman" w:hAnsi="Times New Roman" w:cs="Times New Roman"/>
                <w:color w:val="auto"/>
                <w:sz w:val="24"/>
                <w:szCs w:val="24"/>
                <w:highlight w:val="none"/>
              </w:rPr>
              <w:t xml:space="preserve"> </w:t>
            </w:r>
            <w:r>
              <w:rPr>
                <w:rFonts w:hint="default" w:ascii="Times New Roman" w:hAnsi="Times New Roman" w:eastAsia="宋体" w:cs="Times New Roman"/>
                <w:color w:val="auto"/>
                <w:sz w:val="24"/>
                <w:szCs w:val="24"/>
                <w:highlight w:val="none"/>
                <w:vertAlign w:val="baseline"/>
                <w:lang w:val="en-US" w:eastAsia="zh-CN"/>
              </w:rPr>
              <w:t>PP/PE/ABS/H</w:t>
            </w:r>
            <w:r>
              <w:rPr>
                <w:rFonts w:hint="eastAsia" w:cs="Times New Roman"/>
                <w:color w:val="auto"/>
                <w:sz w:val="24"/>
                <w:szCs w:val="24"/>
                <w:highlight w:val="none"/>
                <w:vertAlign w:val="baseline"/>
                <w:lang w:val="en-US" w:eastAsia="zh-CN"/>
              </w:rPr>
              <w:t>IPS</w:t>
            </w:r>
            <w:r>
              <w:rPr>
                <w:rFonts w:hint="default" w:ascii="Times New Roman" w:hAnsi="Times New Roman" w:eastAsia="宋体" w:cs="Times New Roman"/>
                <w:color w:val="auto"/>
                <w:sz w:val="24"/>
                <w:szCs w:val="24"/>
                <w:highlight w:val="none"/>
                <w:vertAlign w:val="baseline"/>
                <w:lang w:val="en-US" w:eastAsia="zh-CN"/>
              </w:rPr>
              <w:t>/PA</w:t>
            </w:r>
            <w:r>
              <w:rPr>
                <w:rFonts w:hint="default" w:ascii="Times New Roman" w:hAnsi="Times New Roman" w:cs="Times New Roman"/>
                <w:color w:val="auto"/>
                <w:sz w:val="24"/>
                <w:szCs w:val="24"/>
                <w:highlight w:val="none"/>
              </w:rPr>
              <w:t>破</w:t>
            </w:r>
            <w:r>
              <w:rPr>
                <w:rFonts w:hint="default" w:ascii="Times New Roman" w:hAnsi="Times New Roman" w:cs="Times New Roman"/>
                <w:color w:val="auto"/>
                <w:highlight w:val="none"/>
              </w:rPr>
              <w:t>碎料主要用于下游塑料制品企业作为再生原料，其质量控制主要依据国家标准 GB/T 37821-2019《废塑料再生利用技术规范》 及相关行业通用要求。产品中有害物质限量需符合 GB/T 45091-2024《塑料 再生塑料限用物质限量要求》，确保铅、镉、汞、六价铬等重金属含量不超标。</w:t>
            </w:r>
          </w:p>
          <w:p w14:paraId="4AED04DE">
            <w:pPr>
              <w:keepNext w:val="0"/>
              <w:keepLines w:val="0"/>
              <w:suppressLineNumbers w:val="0"/>
              <w:tabs>
                <w:tab w:val="left" w:pos="6960"/>
              </w:tabs>
              <w:spacing w:before="0" w:beforeAutospacing="0" w:after="0" w:afterAutospacing="0"/>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产品质量主要控制指标包括外观（色泽、杂质）、含水率、熔体流动速率（MFR）及力学性能等。其中，含水率控制在 0.5% 以下，以确保后续加工不产生气泡；杂质含量控制在 0.1% 以下，以保证产品纯度。对于 ABS 产品，因其主要用于注塑件，需额外控制冲击强度。项目生产产品见下表。</w:t>
            </w:r>
          </w:p>
          <w:p w14:paraId="7101B98A">
            <w:pPr>
              <w:pStyle w:val="112"/>
              <w:jc w:val="center"/>
              <w:rPr>
                <w:b/>
                <w:bCs/>
                <w:color w:val="auto"/>
                <w:sz w:val="21"/>
                <w:szCs w:val="21"/>
                <w:highlight w:val="none"/>
              </w:rPr>
            </w:pPr>
            <w:r>
              <w:rPr>
                <w:b/>
                <w:bCs/>
                <w:color w:val="auto"/>
                <w:sz w:val="21"/>
                <w:szCs w:val="21"/>
                <w:highlight w:val="none"/>
              </w:rPr>
              <w:t>产品产量一览表</w:t>
            </w:r>
            <w:r>
              <w:rPr>
                <w:rFonts w:hint="eastAsia"/>
                <w:b/>
                <w:bCs/>
                <w:color w:val="auto"/>
                <w:sz w:val="21"/>
                <w:szCs w:val="21"/>
                <w:highlight w:val="none"/>
                <w:lang w:val="en-US" w:eastAsia="zh-CN"/>
              </w:rPr>
              <w:t xml:space="preserve">  （单位：t/a）</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51"/>
              <w:gridCol w:w="2204"/>
              <w:gridCol w:w="1345"/>
              <w:gridCol w:w="5076"/>
            </w:tblGrid>
            <w:tr w14:paraId="477C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47" w:hRule="atLeast"/>
                <w:jc w:val="center"/>
              </w:trPr>
              <w:tc>
                <w:tcPr>
                  <w:tcW w:w="351" w:type="pct"/>
                  <w:vAlign w:val="center"/>
                </w:tcPr>
                <w:p w14:paraId="27043E5F">
                  <w:pPr>
                    <w:spacing w:line="240" w:lineRule="auto"/>
                    <w:jc w:val="center"/>
                    <w:rPr>
                      <w:b/>
                      <w:color w:val="auto"/>
                      <w:sz w:val="21"/>
                      <w:szCs w:val="21"/>
                      <w:highlight w:val="none"/>
                    </w:rPr>
                  </w:pPr>
                  <w:r>
                    <w:rPr>
                      <w:b/>
                      <w:color w:val="auto"/>
                      <w:sz w:val="21"/>
                      <w:szCs w:val="21"/>
                      <w:highlight w:val="none"/>
                    </w:rPr>
                    <w:t>序号</w:t>
                  </w:r>
                </w:p>
              </w:tc>
              <w:tc>
                <w:tcPr>
                  <w:tcW w:w="1188" w:type="pct"/>
                  <w:vAlign w:val="center"/>
                </w:tcPr>
                <w:p w14:paraId="63967648">
                  <w:pPr>
                    <w:spacing w:line="240" w:lineRule="auto"/>
                    <w:jc w:val="center"/>
                    <w:rPr>
                      <w:b/>
                      <w:color w:val="auto"/>
                      <w:sz w:val="21"/>
                      <w:szCs w:val="21"/>
                      <w:highlight w:val="none"/>
                    </w:rPr>
                  </w:pPr>
                  <w:r>
                    <w:rPr>
                      <w:b/>
                      <w:color w:val="auto"/>
                      <w:sz w:val="21"/>
                      <w:szCs w:val="21"/>
                      <w:highlight w:val="none"/>
                    </w:rPr>
                    <w:t>产品名称</w:t>
                  </w:r>
                </w:p>
              </w:tc>
              <w:tc>
                <w:tcPr>
                  <w:tcW w:w="725" w:type="pct"/>
                  <w:vAlign w:val="center"/>
                </w:tcPr>
                <w:p w14:paraId="2C17B994">
                  <w:pPr>
                    <w:spacing w:line="240" w:lineRule="auto"/>
                    <w:jc w:val="center"/>
                    <w:rPr>
                      <w:rFonts w:hint="default" w:eastAsia="宋体"/>
                      <w:b/>
                      <w:color w:val="auto"/>
                      <w:sz w:val="21"/>
                      <w:szCs w:val="21"/>
                      <w:highlight w:val="none"/>
                      <w:lang w:val="en-US" w:eastAsia="zh-CN"/>
                    </w:rPr>
                  </w:pPr>
                  <w:r>
                    <w:rPr>
                      <w:rFonts w:hint="eastAsia"/>
                      <w:b/>
                      <w:color w:val="auto"/>
                      <w:sz w:val="21"/>
                      <w:szCs w:val="21"/>
                      <w:highlight w:val="none"/>
                      <w:lang w:val="en-US" w:eastAsia="zh-CN"/>
                    </w:rPr>
                    <w:t>产品产量</w:t>
                  </w:r>
                </w:p>
              </w:tc>
              <w:tc>
                <w:tcPr>
                  <w:tcW w:w="2735" w:type="pct"/>
                  <w:vAlign w:val="center"/>
                </w:tcPr>
                <w:p w14:paraId="30ADB0C5">
                  <w:pPr>
                    <w:spacing w:line="240" w:lineRule="auto"/>
                    <w:jc w:val="center"/>
                    <w:rPr>
                      <w:rFonts w:hint="default"/>
                      <w:b/>
                      <w:color w:val="auto"/>
                      <w:sz w:val="21"/>
                      <w:szCs w:val="21"/>
                      <w:highlight w:val="none"/>
                      <w:lang w:val="en-US" w:eastAsia="zh-CN"/>
                    </w:rPr>
                  </w:pPr>
                  <w:r>
                    <w:rPr>
                      <w:rFonts w:hint="eastAsia"/>
                      <w:b/>
                      <w:color w:val="auto"/>
                      <w:sz w:val="21"/>
                      <w:szCs w:val="21"/>
                      <w:highlight w:val="none"/>
                      <w:lang w:val="en-US" w:eastAsia="zh-CN"/>
                    </w:rPr>
                    <w:t>备注</w:t>
                  </w:r>
                </w:p>
              </w:tc>
            </w:tr>
            <w:tr w14:paraId="3994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39" w:hRule="atLeast"/>
                <w:jc w:val="center"/>
              </w:trPr>
              <w:tc>
                <w:tcPr>
                  <w:tcW w:w="351" w:type="pct"/>
                  <w:vMerge w:val="restart"/>
                  <w:vAlign w:val="center"/>
                </w:tcPr>
                <w:p w14:paraId="7107F64A">
                  <w:pPr>
                    <w:spacing w:line="240" w:lineRule="auto"/>
                    <w:jc w:val="center"/>
                    <w:rPr>
                      <w:color w:val="auto"/>
                      <w:sz w:val="21"/>
                      <w:szCs w:val="21"/>
                      <w:highlight w:val="none"/>
                    </w:rPr>
                  </w:pPr>
                  <w:r>
                    <w:rPr>
                      <w:color w:val="auto"/>
                      <w:sz w:val="21"/>
                      <w:szCs w:val="21"/>
                      <w:highlight w:val="none"/>
                    </w:rPr>
                    <w:t>1</w:t>
                  </w:r>
                </w:p>
              </w:tc>
              <w:tc>
                <w:tcPr>
                  <w:tcW w:w="1188" w:type="pct"/>
                  <w:vMerge w:val="restart"/>
                  <w:vAlign w:val="center"/>
                </w:tcPr>
                <w:p w14:paraId="25631653">
                  <w:pPr>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塑料破碎料</w:t>
                  </w:r>
                </w:p>
              </w:tc>
              <w:tc>
                <w:tcPr>
                  <w:tcW w:w="725" w:type="pct"/>
                  <w:vMerge w:val="restart"/>
                  <w:vAlign w:val="center"/>
                </w:tcPr>
                <w:p w14:paraId="143AADA1">
                  <w:pPr>
                    <w:tabs>
                      <w:tab w:val="left" w:pos="1305"/>
                    </w:tabs>
                    <w:spacing w:line="276" w:lineRule="auto"/>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69533.9</w:t>
                  </w:r>
                </w:p>
              </w:tc>
              <w:tc>
                <w:tcPr>
                  <w:tcW w:w="2735" w:type="pct"/>
                  <w:vMerge w:val="restart"/>
                  <w:vAlign w:val="center"/>
                </w:tcPr>
                <w:p w14:paraId="1133A5CC">
                  <w:pPr>
                    <w:bidi w:val="0"/>
                    <w:rPr>
                      <w:rFonts w:hint="default"/>
                      <w:color w:val="auto"/>
                      <w:sz w:val="21"/>
                      <w:szCs w:val="21"/>
                      <w:highlight w:val="none"/>
                      <w:lang w:val="en-US" w:eastAsia="zh-CN"/>
                    </w:rPr>
                  </w:pPr>
                  <w:r>
                    <w:rPr>
                      <w:rFonts w:hint="eastAsia"/>
                      <w:color w:val="auto"/>
                      <w:sz w:val="21"/>
                      <w:szCs w:val="21"/>
                      <w:highlight w:val="none"/>
                      <w:lang w:val="en-US" w:eastAsia="zh-CN"/>
                    </w:rPr>
                    <w:t>年产塑料破碎料100000吨，其中约70%的破碎料作为产品直接外售，约30%的破碎料进入造粒工序进一步加工为塑料颗粒外售。</w:t>
                  </w:r>
                </w:p>
              </w:tc>
            </w:tr>
            <w:tr w14:paraId="24BD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39" w:hRule="atLeast"/>
                <w:jc w:val="center"/>
              </w:trPr>
              <w:tc>
                <w:tcPr>
                  <w:tcW w:w="351" w:type="pct"/>
                  <w:vMerge w:val="continue"/>
                  <w:vAlign w:val="center"/>
                </w:tcPr>
                <w:p w14:paraId="5A8BFC41">
                  <w:pPr>
                    <w:tabs>
                      <w:tab w:val="left" w:pos="1305"/>
                    </w:tabs>
                    <w:spacing w:line="276" w:lineRule="auto"/>
                    <w:jc w:val="center"/>
                    <w:rPr>
                      <w:color w:val="auto"/>
                      <w:highlight w:val="none"/>
                    </w:rPr>
                  </w:pPr>
                </w:p>
              </w:tc>
              <w:tc>
                <w:tcPr>
                  <w:tcW w:w="1188" w:type="pct"/>
                  <w:vMerge w:val="continue"/>
                  <w:vAlign w:val="center"/>
                </w:tcPr>
                <w:p w14:paraId="1918AEB9">
                  <w:pPr>
                    <w:tabs>
                      <w:tab w:val="left" w:pos="1305"/>
                    </w:tabs>
                    <w:spacing w:line="276" w:lineRule="auto"/>
                    <w:jc w:val="center"/>
                    <w:rPr>
                      <w:color w:val="auto"/>
                      <w:highlight w:val="none"/>
                    </w:rPr>
                  </w:pPr>
                </w:p>
              </w:tc>
              <w:tc>
                <w:tcPr>
                  <w:tcW w:w="725" w:type="pct"/>
                  <w:vMerge w:val="continue"/>
                  <w:vAlign w:val="center"/>
                </w:tcPr>
                <w:p w14:paraId="5BA8CB60">
                  <w:pPr>
                    <w:tabs>
                      <w:tab w:val="left" w:pos="1305"/>
                    </w:tabs>
                    <w:spacing w:line="276" w:lineRule="auto"/>
                    <w:jc w:val="center"/>
                    <w:rPr>
                      <w:color w:val="auto"/>
                      <w:highlight w:val="none"/>
                    </w:rPr>
                  </w:pPr>
                </w:p>
              </w:tc>
              <w:tc>
                <w:tcPr>
                  <w:tcW w:w="2735" w:type="pct"/>
                  <w:vMerge w:val="continue"/>
                  <w:vAlign w:val="center"/>
                </w:tcPr>
                <w:p w14:paraId="27D236F7">
                  <w:pPr>
                    <w:tabs>
                      <w:tab w:val="left" w:pos="1305"/>
                    </w:tabs>
                    <w:spacing w:line="276" w:lineRule="auto"/>
                    <w:jc w:val="center"/>
                    <w:rPr>
                      <w:rFonts w:hint="eastAsia"/>
                      <w:color w:val="auto"/>
                      <w:kern w:val="0"/>
                      <w:sz w:val="21"/>
                      <w:szCs w:val="21"/>
                      <w:highlight w:val="none"/>
                      <w:lang w:val="en-US" w:eastAsia="zh-CN"/>
                    </w:rPr>
                  </w:pPr>
                </w:p>
              </w:tc>
            </w:tr>
            <w:tr w14:paraId="74DD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39" w:hRule="atLeast"/>
                <w:jc w:val="center"/>
              </w:trPr>
              <w:tc>
                <w:tcPr>
                  <w:tcW w:w="351" w:type="pct"/>
                  <w:vMerge w:val="continue"/>
                  <w:vAlign w:val="center"/>
                </w:tcPr>
                <w:p w14:paraId="2CD91631">
                  <w:pPr>
                    <w:tabs>
                      <w:tab w:val="left" w:pos="1305"/>
                    </w:tabs>
                    <w:spacing w:line="276" w:lineRule="auto"/>
                    <w:jc w:val="center"/>
                    <w:rPr>
                      <w:rFonts w:hint="eastAsia"/>
                      <w:color w:val="auto"/>
                      <w:kern w:val="0"/>
                      <w:sz w:val="21"/>
                      <w:szCs w:val="21"/>
                      <w:highlight w:val="none"/>
                      <w:lang w:val="en-US" w:eastAsia="zh-CN"/>
                    </w:rPr>
                  </w:pPr>
                </w:p>
              </w:tc>
              <w:tc>
                <w:tcPr>
                  <w:tcW w:w="1188" w:type="pct"/>
                  <w:vMerge w:val="continue"/>
                  <w:vAlign w:val="center"/>
                </w:tcPr>
                <w:p w14:paraId="644138A6">
                  <w:pPr>
                    <w:tabs>
                      <w:tab w:val="left" w:pos="1305"/>
                    </w:tabs>
                    <w:spacing w:line="276" w:lineRule="auto"/>
                    <w:jc w:val="center"/>
                    <w:rPr>
                      <w:rFonts w:hint="eastAsia"/>
                      <w:color w:val="auto"/>
                      <w:kern w:val="0"/>
                      <w:sz w:val="21"/>
                      <w:szCs w:val="21"/>
                      <w:highlight w:val="none"/>
                      <w:lang w:val="en-US" w:eastAsia="zh-CN"/>
                    </w:rPr>
                  </w:pPr>
                </w:p>
              </w:tc>
              <w:tc>
                <w:tcPr>
                  <w:tcW w:w="725" w:type="pct"/>
                  <w:vMerge w:val="continue"/>
                  <w:vAlign w:val="center"/>
                </w:tcPr>
                <w:p w14:paraId="36A68A79">
                  <w:pPr>
                    <w:tabs>
                      <w:tab w:val="left" w:pos="1305"/>
                    </w:tabs>
                    <w:spacing w:line="276" w:lineRule="auto"/>
                    <w:jc w:val="center"/>
                    <w:rPr>
                      <w:rFonts w:hint="eastAsia"/>
                      <w:color w:val="auto"/>
                      <w:kern w:val="0"/>
                      <w:sz w:val="21"/>
                      <w:szCs w:val="21"/>
                      <w:highlight w:val="none"/>
                      <w:lang w:val="en-US" w:eastAsia="zh-CN"/>
                    </w:rPr>
                  </w:pPr>
                </w:p>
              </w:tc>
              <w:tc>
                <w:tcPr>
                  <w:tcW w:w="2735" w:type="pct"/>
                  <w:vMerge w:val="continue"/>
                  <w:vAlign w:val="center"/>
                </w:tcPr>
                <w:p w14:paraId="511C337F">
                  <w:pPr>
                    <w:tabs>
                      <w:tab w:val="left" w:pos="1305"/>
                    </w:tabs>
                    <w:spacing w:line="276" w:lineRule="auto"/>
                    <w:jc w:val="center"/>
                    <w:rPr>
                      <w:rFonts w:hint="eastAsia"/>
                      <w:color w:val="auto"/>
                      <w:kern w:val="0"/>
                      <w:sz w:val="21"/>
                      <w:szCs w:val="21"/>
                      <w:highlight w:val="none"/>
                      <w:lang w:val="en-US" w:eastAsia="zh-CN"/>
                    </w:rPr>
                  </w:pPr>
                </w:p>
              </w:tc>
            </w:tr>
            <w:tr w14:paraId="405F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39" w:hRule="atLeast"/>
                <w:jc w:val="center"/>
              </w:trPr>
              <w:tc>
                <w:tcPr>
                  <w:tcW w:w="351" w:type="pct"/>
                  <w:vMerge w:val="continue"/>
                  <w:vAlign w:val="center"/>
                </w:tcPr>
                <w:p w14:paraId="3EA069E1">
                  <w:pPr>
                    <w:tabs>
                      <w:tab w:val="left" w:pos="1305"/>
                    </w:tabs>
                    <w:spacing w:line="276" w:lineRule="auto"/>
                    <w:jc w:val="center"/>
                    <w:rPr>
                      <w:rFonts w:hint="eastAsia"/>
                      <w:color w:val="auto"/>
                      <w:kern w:val="0"/>
                      <w:sz w:val="21"/>
                      <w:szCs w:val="21"/>
                      <w:highlight w:val="none"/>
                      <w:lang w:val="en-US" w:eastAsia="zh-CN"/>
                    </w:rPr>
                  </w:pPr>
                </w:p>
              </w:tc>
              <w:tc>
                <w:tcPr>
                  <w:tcW w:w="1188" w:type="pct"/>
                  <w:vMerge w:val="continue"/>
                  <w:vAlign w:val="center"/>
                </w:tcPr>
                <w:p w14:paraId="24AE8E0E">
                  <w:pPr>
                    <w:tabs>
                      <w:tab w:val="left" w:pos="1305"/>
                    </w:tabs>
                    <w:spacing w:line="276" w:lineRule="auto"/>
                    <w:jc w:val="center"/>
                    <w:rPr>
                      <w:rFonts w:hint="eastAsia"/>
                      <w:color w:val="auto"/>
                      <w:kern w:val="0"/>
                      <w:sz w:val="21"/>
                      <w:szCs w:val="21"/>
                      <w:highlight w:val="none"/>
                      <w:lang w:val="en-US" w:eastAsia="zh-CN"/>
                    </w:rPr>
                  </w:pPr>
                </w:p>
              </w:tc>
              <w:tc>
                <w:tcPr>
                  <w:tcW w:w="725" w:type="pct"/>
                  <w:vMerge w:val="continue"/>
                  <w:vAlign w:val="center"/>
                </w:tcPr>
                <w:p w14:paraId="11F8EF52">
                  <w:pPr>
                    <w:tabs>
                      <w:tab w:val="left" w:pos="1305"/>
                    </w:tabs>
                    <w:spacing w:line="276" w:lineRule="auto"/>
                    <w:jc w:val="center"/>
                    <w:rPr>
                      <w:rFonts w:hint="eastAsia"/>
                      <w:color w:val="auto"/>
                      <w:kern w:val="0"/>
                      <w:sz w:val="21"/>
                      <w:szCs w:val="21"/>
                      <w:highlight w:val="none"/>
                      <w:lang w:val="en-US" w:eastAsia="zh-CN"/>
                    </w:rPr>
                  </w:pPr>
                </w:p>
              </w:tc>
              <w:tc>
                <w:tcPr>
                  <w:tcW w:w="2735" w:type="pct"/>
                  <w:vMerge w:val="continue"/>
                  <w:vAlign w:val="center"/>
                </w:tcPr>
                <w:p w14:paraId="11BC5D86">
                  <w:pPr>
                    <w:tabs>
                      <w:tab w:val="left" w:pos="1305"/>
                    </w:tabs>
                    <w:spacing w:line="276" w:lineRule="auto"/>
                    <w:jc w:val="center"/>
                    <w:rPr>
                      <w:rFonts w:hint="eastAsia"/>
                      <w:color w:val="auto"/>
                      <w:kern w:val="0"/>
                      <w:sz w:val="21"/>
                      <w:szCs w:val="21"/>
                      <w:highlight w:val="none"/>
                      <w:lang w:val="en-US" w:eastAsia="zh-CN"/>
                    </w:rPr>
                  </w:pPr>
                </w:p>
              </w:tc>
            </w:tr>
            <w:tr w14:paraId="4D01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39" w:hRule="atLeast"/>
                <w:jc w:val="center"/>
              </w:trPr>
              <w:tc>
                <w:tcPr>
                  <w:tcW w:w="351" w:type="pct"/>
                  <w:vMerge w:val="continue"/>
                  <w:vAlign w:val="center"/>
                </w:tcPr>
                <w:p w14:paraId="6557EB55">
                  <w:pPr>
                    <w:tabs>
                      <w:tab w:val="left" w:pos="1305"/>
                    </w:tabs>
                    <w:spacing w:line="276" w:lineRule="auto"/>
                    <w:jc w:val="center"/>
                    <w:rPr>
                      <w:rFonts w:hint="eastAsia"/>
                      <w:color w:val="auto"/>
                      <w:kern w:val="0"/>
                      <w:sz w:val="21"/>
                      <w:szCs w:val="21"/>
                      <w:highlight w:val="none"/>
                      <w:lang w:val="en-US" w:eastAsia="zh-CN"/>
                    </w:rPr>
                  </w:pPr>
                </w:p>
              </w:tc>
              <w:tc>
                <w:tcPr>
                  <w:tcW w:w="1188" w:type="pct"/>
                  <w:vMerge w:val="continue"/>
                  <w:vAlign w:val="center"/>
                </w:tcPr>
                <w:p w14:paraId="5585BD95">
                  <w:pPr>
                    <w:tabs>
                      <w:tab w:val="left" w:pos="1305"/>
                    </w:tabs>
                    <w:spacing w:line="276" w:lineRule="auto"/>
                    <w:jc w:val="center"/>
                    <w:rPr>
                      <w:rFonts w:hint="eastAsia"/>
                      <w:color w:val="auto"/>
                      <w:kern w:val="0"/>
                      <w:sz w:val="21"/>
                      <w:szCs w:val="21"/>
                      <w:highlight w:val="none"/>
                      <w:lang w:val="en-US" w:eastAsia="zh-CN"/>
                    </w:rPr>
                  </w:pPr>
                </w:p>
              </w:tc>
              <w:tc>
                <w:tcPr>
                  <w:tcW w:w="725" w:type="pct"/>
                  <w:vMerge w:val="continue"/>
                  <w:vAlign w:val="center"/>
                </w:tcPr>
                <w:p w14:paraId="2556A03E">
                  <w:pPr>
                    <w:tabs>
                      <w:tab w:val="left" w:pos="1305"/>
                    </w:tabs>
                    <w:spacing w:line="276" w:lineRule="auto"/>
                    <w:jc w:val="center"/>
                    <w:rPr>
                      <w:rFonts w:hint="eastAsia"/>
                      <w:color w:val="auto"/>
                      <w:kern w:val="0"/>
                      <w:sz w:val="21"/>
                      <w:szCs w:val="21"/>
                      <w:highlight w:val="none"/>
                      <w:lang w:val="en-US" w:eastAsia="zh-CN"/>
                    </w:rPr>
                  </w:pPr>
                </w:p>
              </w:tc>
              <w:tc>
                <w:tcPr>
                  <w:tcW w:w="2735" w:type="pct"/>
                  <w:vMerge w:val="continue"/>
                  <w:vAlign w:val="center"/>
                </w:tcPr>
                <w:p w14:paraId="4612C18C">
                  <w:pPr>
                    <w:tabs>
                      <w:tab w:val="left" w:pos="1305"/>
                    </w:tabs>
                    <w:spacing w:line="276" w:lineRule="auto"/>
                    <w:jc w:val="center"/>
                    <w:rPr>
                      <w:rFonts w:hint="eastAsia"/>
                      <w:color w:val="auto"/>
                      <w:kern w:val="0"/>
                      <w:sz w:val="21"/>
                      <w:szCs w:val="21"/>
                      <w:highlight w:val="none"/>
                      <w:lang w:val="en-US" w:eastAsia="zh-CN"/>
                    </w:rPr>
                  </w:pPr>
                </w:p>
              </w:tc>
            </w:tr>
            <w:tr w14:paraId="499C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2" w:hRule="atLeast"/>
                <w:jc w:val="center"/>
              </w:trPr>
              <w:tc>
                <w:tcPr>
                  <w:tcW w:w="351" w:type="pct"/>
                  <w:vMerge w:val="restart"/>
                  <w:vAlign w:val="center"/>
                </w:tcPr>
                <w:p w14:paraId="02504AF1">
                  <w:pPr>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1188" w:type="pct"/>
                  <w:vMerge w:val="restart"/>
                  <w:shd w:val="clear" w:color="auto" w:fill="auto"/>
                  <w:vAlign w:val="center"/>
                </w:tcPr>
                <w:p w14:paraId="3AC14A08">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塑料颗粒</w:t>
                  </w:r>
                </w:p>
              </w:tc>
              <w:tc>
                <w:tcPr>
                  <w:tcW w:w="725" w:type="pct"/>
                  <w:vMerge w:val="restart"/>
                  <w:vAlign w:val="center"/>
                </w:tcPr>
                <w:p w14:paraId="42157962">
                  <w:pPr>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30454.51</w:t>
                  </w:r>
                </w:p>
              </w:tc>
              <w:tc>
                <w:tcPr>
                  <w:tcW w:w="2735" w:type="pct"/>
                  <w:vMerge w:val="continue"/>
                  <w:vAlign w:val="center"/>
                </w:tcPr>
                <w:p w14:paraId="482BBDE0">
                  <w:pPr>
                    <w:tabs>
                      <w:tab w:val="left" w:pos="1305"/>
                    </w:tabs>
                    <w:spacing w:line="276" w:lineRule="auto"/>
                    <w:rPr>
                      <w:rFonts w:hint="eastAsia"/>
                      <w:color w:val="auto"/>
                      <w:kern w:val="0"/>
                      <w:sz w:val="21"/>
                      <w:szCs w:val="21"/>
                      <w:highlight w:val="none"/>
                      <w:lang w:val="en-US" w:eastAsia="zh-CN"/>
                    </w:rPr>
                  </w:pPr>
                </w:p>
              </w:tc>
            </w:tr>
            <w:tr w14:paraId="0F7E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2" w:hRule="atLeast"/>
                <w:jc w:val="center"/>
              </w:trPr>
              <w:tc>
                <w:tcPr>
                  <w:tcW w:w="351" w:type="pct"/>
                  <w:vMerge w:val="continue"/>
                  <w:vAlign w:val="center"/>
                </w:tcPr>
                <w:p w14:paraId="24D3F4BA">
                  <w:pPr>
                    <w:bidi w:val="0"/>
                    <w:jc w:val="right"/>
                    <w:rPr>
                      <w:color w:val="auto"/>
                      <w:highlight w:val="none"/>
                    </w:rPr>
                  </w:pPr>
                </w:p>
              </w:tc>
              <w:tc>
                <w:tcPr>
                  <w:tcW w:w="1188" w:type="pct"/>
                  <w:vMerge w:val="continue"/>
                  <w:shd w:val="clear" w:color="auto" w:fill="auto"/>
                  <w:vAlign w:val="center"/>
                </w:tcPr>
                <w:p w14:paraId="2B0D1275">
                  <w:pPr>
                    <w:bidi w:val="0"/>
                    <w:jc w:val="right"/>
                    <w:rPr>
                      <w:color w:val="auto"/>
                      <w:highlight w:val="none"/>
                    </w:rPr>
                  </w:pPr>
                </w:p>
              </w:tc>
              <w:tc>
                <w:tcPr>
                  <w:tcW w:w="725" w:type="pct"/>
                  <w:vMerge w:val="continue"/>
                  <w:vAlign w:val="center"/>
                </w:tcPr>
                <w:p w14:paraId="1A37B05C">
                  <w:pPr>
                    <w:bidi w:val="0"/>
                    <w:jc w:val="right"/>
                    <w:rPr>
                      <w:color w:val="auto"/>
                      <w:highlight w:val="none"/>
                    </w:rPr>
                  </w:pPr>
                </w:p>
              </w:tc>
              <w:tc>
                <w:tcPr>
                  <w:tcW w:w="2735" w:type="pct"/>
                  <w:vMerge w:val="continue"/>
                  <w:vAlign w:val="center"/>
                </w:tcPr>
                <w:p w14:paraId="0D2458AF">
                  <w:pPr>
                    <w:bidi w:val="0"/>
                    <w:jc w:val="right"/>
                    <w:rPr>
                      <w:rFonts w:hint="eastAsia" w:ascii="Times New Roman" w:hAnsi="Times New Roman" w:eastAsia="宋体" w:cs="Times New Roman"/>
                      <w:color w:val="auto"/>
                      <w:kern w:val="2"/>
                      <w:sz w:val="24"/>
                      <w:szCs w:val="24"/>
                      <w:highlight w:val="none"/>
                      <w:lang w:val="en-US" w:eastAsia="zh-CN" w:bidi="ar-SA"/>
                    </w:rPr>
                  </w:pPr>
                </w:p>
              </w:tc>
            </w:tr>
          </w:tbl>
          <w:p w14:paraId="2B589D3B">
            <w:pPr>
              <w:pStyle w:val="112"/>
              <w:jc w:val="center"/>
              <w:rPr>
                <w:b/>
                <w:bCs/>
                <w:color w:val="auto"/>
                <w:sz w:val="21"/>
                <w:szCs w:val="21"/>
                <w:highlight w:val="none"/>
              </w:rPr>
            </w:pPr>
            <w:r>
              <w:rPr>
                <w:rFonts w:hint="eastAsia"/>
                <w:b/>
                <w:bCs/>
                <w:color w:val="auto"/>
                <w:sz w:val="21"/>
                <w:szCs w:val="21"/>
                <w:highlight w:val="none"/>
                <w:lang w:val="en-US" w:eastAsia="zh-CN"/>
              </w:rPr>
              <w:t>塑料破碎料</w:t>
            </w:r>
            <w:r>
              <w:rPr>
                <w:b/>
                <w:bCs/>
                <w:color w:val="auto"/>
                <w:sz w:val="21"/>
                <w:szCs w:val="21"/>
                <w:highlight w:val="none"/>
              </w:rPr>
              <w:t>产品</w:t>
            </w:r>
            <w:r>
              <w:rPr>
                <w:rFonts w:hint="eastAsia"/>
                <w:b/>
                <w:bCs/>
                <w:color w:val="auto"/>
                <w:sz w:val="21"/>
                <w:szCs w:val="21"/>
                <w:highlight w:val="none"/>
              </w:rPr>
              <w:t>质量标准</w:t>
            </w:r>
            <w:r>
              <w:rPr>
                <w:b/>
                <w:bCs/>
                <w:color w:val="auto"/>
                <w:sz w:val="21"/>
                <w:szCs w:val="21"/>
                <w:highlight w:val="none"/>
              </w:rPr>
              <w:t>一览表</w:t>
            </w:r>
          </w:p>
          <w:tbl>
            <w:tblPr>
              <w:tblStyle w:val="49"/>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1"/>
              <w:gridCol w:w="839"/>
              <w:gridCol w:w="975"/>
              <w:gridCol w:w="1381"/>
              <w:gridCol w:w="1070"/>
              <w:gridCol w:w="1217"/>
              <w:gridCol w:w="1457"/>
              <w:gridCol w:w="1620"/>
            </w:tblGrid>
            <w:tr w14:paraId="282A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262F0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检测项目</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FDC8B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285CD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聚丙烯</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(PP) </w:t>
                  </w:r>
                  <w:r>
                    <w:rPr>
                      <w:rFonts w:hint="eastAsia" w:ascii="宋体" w:hAnsi="宋体" w:eastAsia="宋体" w:cs="宋体"/>
                      <w:b/>
                      <w:bCs/>
                      <w:i w:val="0"/>
                      <w:iCs w:val="0"/>
                      <w:color w:val="auto"/>
                      <w:kern w:val="0"/>
                      <w:sz w:val="21"/>
                      <w:szCs w:val="21"/>
                      <w:highlight w:val="none"/>
                      <w:u w:val="none"/>
                      <w:lang w:val="en-US" w:eastAsia="zh-CN" w:bidi="ar"/>
                    </w:rPr>
                    <w:t>破碎料</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EE9BA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聚乙烯</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(PE) </w:t>
                  </w:r>
                  <w:r>
                    <w:rPr>
                      <w:rFonts w:hint="eastAsia" w:ascii="宋体" w:hAnsi="宋体" w:eastAsia="宋体" w:cs="宋体"/>
                      <w:b/>
                      <w:bCs/>
                      <w:i w:val="0"/>
                      <w:iCs w:val="0"/>
                      <w:color w:val="auto"/>
                      <w:kern w:val="0"/>
                      <w:sz w:val="21"/>
                      <w:szCs w:val="21"/>
                      <w:highlight w:val="none"/>
                      <w:u w:val="none"/>
                      <w:lang w:val="en-US" w:eastAsia="zh-CN" w:bidi="ar"/>
                    </w:rPr>
                    <w:t>破碎料</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C930C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丙烯腈</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 </w:t>
                  </w:r>
                  <w:r>
                    <w:rPr>
                      <w:rFonts w:hint="eastAsia" w:ascii="宋体" w:hAnsi="宋体" w:eastAsia="宋体" w:cs="宋体"/>
                      <w:b/>
                      <w:bCs/>
                      <w:i w:val="0"/>
                      <w:iCs w:val="0"/>
                      <w:color w:val="auto"/>
                      <w:kern w:val="0"/>
                      <w:sz w:val="21"/>
                      <w:szCs w:val="21"/>
                      <w:highlight w:val="none"/>
                      <w:u w:val="none"/>
                      <w:lang w:val="en-US" w:eastAsia="zh-CN" w:bidi="ar"/>
                    </w:rPr>
                    <w:t>丁二烯</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 </w:t>
                  </w:r>
                  <w:r>
                    <w:rPr>
                      <w:rFonts w:hint="eastAsia" w:ascii="宋体" w:hAnsi="宋体" w:eastAsia="宋体" w:cs="宋体"/>
                      <w:b/>
                      <w:bCs/>
                      <w:i w:val="0"/>
                      <w:iCs w:val="0"/>
                      <w:color w:val="auto"/>
                      <w:kern w:val="0"/>
                      <w:sz w:val="21"/>
                      <w:szCs w:val="21"/>
                      <w:highlight w:val="none"/>
                      <w:u w:val="none"/>
                      <w:lang w:val="en-US" w:eastAsia="zh-CN" w:bidi="ar"/>
                    </w:rPr>
                    <w:t>苯乙烯</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(ABS) </w:t>
                  </w:r>
                  <w:r>
                    <w:rPr>
                      <w:rFonts w:hint="eastAsia" w:ascii="宋体" w:hAnsi="宋体" w:eastAsia="宋体" w:cs="宋体"/>
                      <w:b/>
                      <w:bCs/>
                      <w:i w:val="0"/>
                      <w:iCs w:val="0"/>
                      <w:color w:val="auto"/>
                      <w:kern w:val="0"/>
                      <w:sz w:val="21"/>
                      <w:szCs w:val="21"/>
                      <w:highlight w:val="none"/>
                      <w:u w:val="none"/>
                      <w:lang w:val="en-US" w:eastAsia="zh-CN" w:bidi="ar"/>
                    </w:rPr>
                    <w:t>破碎料</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B3813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高抗冲聚苯乙烯</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(HIPS) </w:t>
                  </w:r>
                  <w:r>
                    <w:rPr>
                      <w:rFonts w:hint="eastAsia" w:ascii="宋体" w:hAnsi="宋体" w:eastAsia="宋体" w:cs="宋体"/>
                      <w:b/>
                      <w:bCs/>
                      <w:i w:val="0"/>
                      <w:iCs w:val="0"/>
                      <w:color w:val="auto"/>
                      <w:kern w:val="0"/>
                      <w:sz w:val="21"/>
                      <w:szCs w:val="21"/>
                      <w:highlight w:val="none"/>
                      <w:u w:val="none"/>
                      <w:lang w:val="en-US" w:eastAsia="zh-CN" w:bidi="ar"/>
                    </w:rPr>
                    <w:t>破碎料</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0C76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聚酰胺</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(PA) </w:t>
                  </w:r>
                  <w:r>
                    <w:rPr>
                      <w:rFonts w:hint="eastAsia" w:ascii="宋体" w:hAnsi="宋体" w:eastAsia="宋体" w:cs="宋体"/>
                      <w:b/>
                      <w:bCs/>
                      <w:i w:val="0"/>
                      <w:iCs w:val="0"/>
                      <w:color w:val="auto"/>
                      <w:kern w:val="0"/>
                      <w:sz w:val="21"/>
                      <w:szCs w:val="21"/>
                      <w:highlight w:val="none"/>
                      <w:u w:val="none"/>
                      <w:lang w:val="en-US" w:eastAsia="zh-CN" w:bidi="ar"/>
                    </w:rPr>
                    <w:t>破碎料（以</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PA6/PA66 </w:t>
                  </w:r>
                  <w:r>
                    <w:rPr>
                      <w:rFonts w:hint="eastAsia" w:ascii="宋体" w:hAnsi="宋体" w:eastAsia="宋体" w:cs="宋体"/>
                      <w:b/>
                      <w:bCs/>
                      <w:i w:val="0"/>
                      <w:iCs w:val="0"/>
                      <w:color w:val="auto"/>
                      <w:kern w:val="0"/>
                      <w:sz w:val="21"/>
                      <w:szCs w:val="21"/>
                      <w:highlight w:val="none"/>
                      <w:u w:val="none"/>
                      <w:lang w:val="en-US" w:eastAsia="zh-CN" w:bidi="ar"/>
                    </w:rPr>
                    <w:t>为例）</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C795B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 </w:t>
                  </w:r>
                  <w:r>
                    <w:rPr>
                      <w:rFonts w:hint="eastAsia" w:ascii="宋体" w:hAnsi="宋体" w:eastAsia="宋体" w:cs="宋体"/>
                      <w:b/>
                      <w:bCs/>
                      <w:i w:val="0"/>
                      <w:iCs w:val="0"/>
                      <w:color w:val="auto"/>
                      <w:kern w:val="0"/>
                      <w:sz w:val="21"/>
                      <w:szCs w:val="21"/>
                      <w:highlight w:val="none"/>
                      <w:u w:val="none"/>
                      <w:lang w:val="en-US" w:eastAsia="zh-CN" w:bidi="ar"/>
                    </w:rPr>
                    <w:t>参考依据</w:t>
                  </w:r>
                </w:p>
              </w:tc>
            </w:tr>
            <w:tr w14:paraId="2DF2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9151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外观</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73CA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0CA2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颗粒或片状，色泽均匀，无明显杂质、焦黑粒</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37A5D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颗粒或片状，色泽均匀，无明显黄变、油污、杂质</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BA8E9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颗粒状，色泽均匀（通常为黄或黑色），无明显杂色粒、黑点</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517E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颗粒或片状，色泽均匀，无明显黄变、油污、焦黑粒</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548FC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颗粒或片状，色泽均匀，无明显氧化黄变、杂质、焦粒</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AB7CE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目测法，依据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p>
              </w:tc>
            </w:tr>
            <w:tr w14:paraId="4279D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52D9B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粒径</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66B33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mm</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83E5C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3~10</w:t>
                  </w:r>
                  <w:r>
                    <w:rPr>
                      <w:rFonts w:hint="eastAsia" w:ascii="宋体" w:hAnsi="宋体" w:eastAsia="宋体" w:cs="宋体"/>
                      <w:i w:val="0"/>
                      <w:iCs w:val="0"/>
                      <w:color w:val="auto"/>
                      <w:kern w:val="0"/>
                      <w:sz w:val="21"/>
                      <w:szCs w:val="21"/>
                      <w:highlight w:val="none"/>
                      <w:u w:val="none"/>
                      <w:lang w:val="en-US" w:eastAsia="zh-CN" w:bidi="ar"/>
                    </w:rPr>
                    <w:t>（均匀）</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0C806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3~10</w:t>
                  </w:r>
                  <w:r>
                    <w:rPr>
                      <w:rFonts w:hint="eastAsia" w:ascii="宋体" w:hAnsi="宋体" w:eastAsia="宋体" w:cs="宋体"/>
                      <w:i w:val="0"/>
                      <w:iCs w:val="0"/>
                      <w:color w:val="auto"/>
                      <w:kern w:val="0"/>
                      <w:sz w:val="21"/>
                      <w:szCs w:val="21"/>
                      <w:highlight w:val="none"/>
                      <w:u w:val="none"/>
                      <w:lang w:val="en-US" w:eastAsia="zh-CN" w:bidi="ar"/>
                    </w:rPr>
                    <w:t>（均匀）</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0A1F6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w:t>
                  </w:r>
                  <w:r>
                    <w:rPr>
                      <w:rFonts w:hint="eastAsia" w:ascii="宋体" w:hAnsi="宋体" w:eastAsia="宋体" w:cs="宋体"/>
                      <w:i w:val="0"/>
                      <w:iCs w:val="0"/>
                      <w:color w:val="auto"/>
                      <w:kern w:val="0"/>
                      <w:sz w:val="21"/>
                      <w:szCs w:val="21"/>
                      <w:highlight w:val="none"/>
                      <w:u w:val="none"/>
                      <w:lang w:val="en-US" w:eastAsia="zh-CN" w:bidi="ar"/>
                    </w:rPr>
                    <w:t>（均匀）</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C3724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3~10</w:t>
                  </w:r>
                  <w:r>
                    <w:rPr>
                      <w:rFonts w:hint="eastAsia" w:ascii="宋体" w:hAnsi="宋体" w:eastAsia="宋体" w:cs="宋体"/>
                      <w:i w:val="0"/>
                      <w:iCs w:val="0"/>
                      <w:color w:val="auto"/>
                      <w:kern w:val="0"/>
                      <w:sz w:val="21"/>
                      <w:szCs w:val="21"/>
                      <w:highlight w:val="none"/>
                      <w:u w:val="none"/>
                      <w:lang w:val="en-US" w:eastAsia="zh-CN" w:bidi="ar"/>
                    </w:rPr>
                    <w:t>（均匀）</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28A5A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3~10</w:t>
                  </w:r>
                  <w:r>
                    <w:rPr>
                      <w:rFonts w:hint="eastAsia" w:ascii="宋体" w:hAnsi="宋体" w:eastAsia="宋体" w:cs="宋体"/>
                      <w:i w:val="0"/>
                      <w:iCs w:val="0"/>
                      <w:color w:val="auto"/>
                      <w:kern w:val="0"/>
                      <w:sz w:val="21"/>
                      <w:szCs w:val="21"/>
                      <w:highlight w:val="none"/>
                      <w:u w:val="none"/>
                      <w:lang w:val="en-US" w:eastAsia="zh-CN" w:bidi="ar"/>
                    </w:rPr>
                    <w:t>（均匀）</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D1891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根据破碎机筛网孔径调整</w:t>
                  </w:r>
                </w:p>
              </w:tc>
            </w:tr>
            <w:tr w14:paraId="4E065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86587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含水率</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2400C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2EA9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38517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F3E2A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4F30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B9B62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92468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GH/T 1479 </w:t>
                  </w:r>
                  <w:r>
                    <w:rPr>
                      <w:rFonts w:hint="eastAsia" w:ascii="宋体" w:hAnsi="宋体" w:eastAsia="宋体" w:cs="宋体"/>
                      <w:i w:val="0"/>
                      <w:iCs w:val="0"/>
                      <w:color w:val="auto"/>
                      <w:kern w:val="0"/>
                      <w:sz w:val="21"/>
                      <w:szCs w:val="21"/>
                      <w:highlight w:val="none"/>
                      <w:u w:val="none"/>
                      <w:lang w:val="en-US" w:eastAsia="zh-CN" w:bidi="ar"/>
                    </w:rPr>
                    <w:t>及行业惯例</w:t>
                  </w:r>
                </w:p>
              </w:tc>
            </w:tr>
            <w:tr w14:paraId="7B50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1162C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杂质含量</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905B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B39C0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r>
                    <w:rPr>
                      <w:rFonts w:hint="eastAsia" w:ascii="宋体" w:hAnsi="宋体" w:eastAsia="宋体" w:cs="宋体"/>
                      <w:i w:val="0"/>
                      <w:iCs w:val="0"/>
                      <w:color w:val="auto"/>
                      <w:kern w:val="0"/>
                      <w:sz w:val="21"/>
                      <w:szCs w:val="21"/>
                      <w:highlight w:val="none"/>
                      <w:u w:val="none"/>
                      <w:lang w:val="en-US" w:eastAsia="zh-CN" w:bidi="ar"/>
                    </w:rPr>
                    <w:t>（金属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非金属）</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1309B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r>
                    <w:rPr>
                      <w:rFonts w:hint="eastAsia" w:ascii="宋体" w:hAnsi="宋体" w:eastAsia="宋体" w:cs="宋体"/>
                      <w:i w:val="0"/>
                      <w:iCs w:val="0"/>
                      <w:color w:val="auto"/>
                      <w:kern w:val="0"/>
                      <w:sz w:val="21"/>
                      <w:szCs w:val="21"/>
                      <w:highlight w:val="none"/>
                      <w:u w:val="none"/>
                      <w:lang w:val="en-US" w:eastAsia="zh-CN" w:bidi="ar"/>
                    </w:rPr>
                    <w:t>（纸屑</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泥沙</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金属）</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24878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r>
                    <w:rPr>
                      <w:rFonts w:hint="eastAsia" w:ascii="宋体" w:hAnsi="宋体" w:eastAsia="宋体" w:cs="宋体"/>
                      <w:i w:val="0"/>
                      <w:iCs w:val="0"/>
                      <w:color w:val="auto"/>
                      <w:kern w:val="0"/>
                      <w:sz w:val="21"/>
                      <w:szCs w:val="21"/>
                      <w:highlight w:val="none"/>
                      <w:u w:val="none"/>
                      <w:lang w:val="en-US" w:eastAsia="zh-CN" w:bidi="ar"/>
                    </w:rPr>
                    <w:t>（黑点</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杂质，非同类型塑料杂质）</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849D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≤0.08</w:t>
                  </w:r>
                  <w:r>
                    <w:rPr>
                      <w:rFonts w:hint="eastAsia" w:ascii="宋体" w:hAnsi="宋体" w:eastAsia="宋体" w:cs="宋体"/>
                      <w:i w:val="0"/>
                      <w:iCs w:val="0"/>
                      <w:color w:val="auto"/>
                      <w:kern w:val="0"/>
                      <w:sz w:val="21"/>
                      <w:szCs w:val="21"/>
                      <w:highlight w:val="none"/>
                      <w:u w:val="none"/>
                      <w:lang w:val="en-US" w:eastAsia="zh-CN" w:bidi="ar"/>
                    </w:rPr>
                    <w:t>（黑点</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杂质，非同类型塑料杂质）</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3DD02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r>
                    <w:rPr>
                      <w:rFonts w:hint="eastAsia" w:ascii="宋体" w:hAnsi="宋体" w:eastAsia="宋体" w:cs="宋体"/>
                      <w:i w:val="0"/>
                      <w:iCs w:val="0"/>
                      <w:color w:val="auto"/>
                      <w:kern w:val="0"/>
                      <w:sz w:val="21"/>
                      <w:szCs w:val="21"/>
                      <w:highlight w:val="none"/>
                      <w:u w:val="none"/>
                      <w:lang w:val="en-US" w:eastAsia="zh-CN" w:bidi="ar"/>
                    </w:rPr>
                    <w:t>（金属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非金属杂质，非同类型塑料杂质）</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11CE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p>
              </w:tc>
            </w:tr>
            <w:tr w14:paraId="5412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29B5D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灰分</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55CF4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9BD9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CB561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D5125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386FE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8CA3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64505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反映无机物填充及泥沙含量</w:t>
                  </w:r>
                </w:p>
              </w:tc>
            </w:tr>
            <w:tr w14:paraId="31FB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E82C6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熔体流动速率</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(MFR)</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A8C86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g/10min</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CF9F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0.5~5.0</w:t>
                  </w:r>
                  <w:r>
                    <w:rPr>
                      <w:rFonts w:hint="eastAsia" w:ascii="宋体" w:hAnsi="宋体" w:eastAsia="宋体" w:cs="宋体"/>
                      <w:i w:val="0"/>
                      <w:iCs w:val="0"/>
                      <w:color w:val="auto"/>
                      <w:kern w:val="0"/>
                      <w:sz w:val="21"/>
                      <w:szCs w:val="21"/>
                      <w:highlight w:val="none"/>
                      <w:u w:val="none"/>
                      <w:lang w:val="en-US" w:eastAsia="zh-CN" w:bidi="ar"/>
                    </w:rPr>
                    <w:t>）</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65FB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0.2~10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190℃/2.16kg</w:t>
                  </w:r>
                  <w:r>
                    <w:rPr>
                      <w:rFonts w:hint="eastAsia" w:ascii="宋体" w:hAnsi="宋体" w:eastAsia="宋体" w:cs="宋体"/>
                      <w:i w:val="0"/>
                      <w:iCs w:val="0"/>
                      <w:color w:val="auto"/>
                      <w:kern w:val="0"/>
                      <w:sz w:val="21"/>
                      <w:szCs w:val="21"/>
                      <w:highlight w:val="none"/>
                      <w:u w:val="none"/>
                      <w:lang w:val="en-US" w:eastAsia="zh-CN" w:bidi="ar"/>
                    </w:rPr>
                    <w:t>）</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B0789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0.5~10</w:t>
                  </w:r>
                  <w:r>
                    <w:rPr>
                      <w:rFonts w:hint="eastAsia" w:ascii="宋体" w:hAnsi="宋体" w:eastAsia="宋体" w:cs="宋体"/>
                      <w:i w:val="0"/>
                      <w:iCs w:val="0"/>
                      <w:color w:val="auto"/>
                      <w:kern w:val="0"/>
                      <w:sz w:val="21"/>
                      <w:szCs w:val="21"/>
                      <w:highlight w:val="none"/>
                      <w:u w:val="none"/>
                      <w:lang w:val="en-US" w:eastAsia="zh-CN" w:bidi="ar"/>
                    </w:rPr>
                    <w:t>）</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6D5B9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2.0~15</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200℃/5kg</w:t>
                  </w:r>
                  <w:r>
                    <w:rPr>
                      <w:rFonts w:hint="eastAsia" w:ascii="宋体" w:hAnsi="宋体" w:eastAsia="宋体" w:cs="宋体"/>
                      <w:i w:val="0"/>
                      <w:iCs w:val="0"/>
                      <w:color w:val="auto"/>
                      <w:kern w:val="0"/>
                      <w:sz w:val="21"/>
                      <w:szCs w:val="21"/>
                      <w:highlight w:val="none"/>
                      <w:u w:val="none"/>
                      <w:lang w:val="en-US" w:eastAsia="zh-CN" w:bidi="ar"/>
                    </w:rPr>
                    <w:t>）</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9830B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10~30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235℃/2.16kg</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275℃/5kg</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B2FF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3682</w:t>
                  </w:r>
                  <w:r>
                    <w:rPr>
                      <w:rFonts w:hint="eastAsia" w:ascii="宋体" w:hAnsi="宋体" w:eastAsia="宋体" w:cs="宋体"/>
                      <w:i w:val="0"/>
                      <w:iCs w:val="0"/>
                      <w:color w:val="auto"/>
                      <w:kern w:val="0"/>
                      <w:sz w:val="21"/>
                      <w:szCs w:val="21"/>
                      <w:highlight w:val="none"/>
                      <w:u w:val="none"/>
                      <w:lang w:val="en-US" w:eastAsia="zh-CN" w:bidi="ar"/>
                    </w:rPr>
                    <w:t>，衡量加工流动性</w:t>
                  </w:r>
                </w:p>
              </w:tc>
            </w:tr>
            <w:tr w14:paraId="3DF8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4DB33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拉伸强度</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1D23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MPa</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7B728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F5F57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0FF8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640B1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96FD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/≥50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0AE6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1040</w:t>
                  </w:r>
                  <w:r>
                    <w:rPr>
                      <w:rFonts w:hint="eastAsia" w:ascii="宋体" w:hAnsi="宋体" w:eastAsia="宋体" w:cs="宋体"/>
                      <w:i w:val="0"/>
                      <w:iCs w:val="0"/>
                      <w:color w:val="auto"/>
                      <w:kern w:val="0"/>
                      <w:sz w:val="21"/>
                      <w:szCs w:val="21"/>
                      <w:highlight w:val="none"/>
                      <w:u w:val="none"/>
                      <w:lang w:val="en-US" w:eastAsia="zh-CN" w:bidi="ar"/>
                    </w:rPr>
                    <w:t>，衡量力学性能</w:t>
                  </w:r>
                </w:p>
              </w:tc>
            </w:tr>
            <w:tr w14:paraId="41542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3767C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简支梁冲击强度</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EB653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kJ/m²</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53A4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A8413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13F2D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48015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（悬臂梁冲击</w:t>
                  </w:r>
                  <w:r>
                    <w:rPr>
                      <w:rFonts w:hint="default" w:ascii="Times New Roman" w:hAnsi="Times New Roman" w:eastAsia="宋体" w:cs="Times New Roman"/>
                      <w:i w:val="0"/>
                      <w:iCs w:val="0"/>
                      <w:color w:val="auto"/>
                      <w:kern w:val="0"/>
                      <w:sz w:val="21"/>
                      <w:szCs w:val="21"/>
                      <w:highlight w:val="none"/>
                      <w:u w:val="none"/>
                      <w:lang w:val="en-US" w:eastAsia="zh-CN" w:bidi="ar"/>
                    </w:rPr>
                    <w:t>≥80 J/m</w:t>
                  </w:r>
                  <w:r>
                    <w:rPr>
                      <w:rFonts w:hint="eastAsia" w:ascii="宋体" w:hAnsi="宋体" w:eastAsia="宋体" w:cs="宋体"/>
                      <w:i w:val="0"/>
                      <w:iCs w:val="0"/>
                      <w:color w:val="auto"/>
                      <w:kern w:val="0"/>
                      <w:sz w:val="21"/>
                      <w:szCs w:val="21"/>
                      <w:highlight w:val="none"/>
                      <w:u w:val="none"/>
                      <w:lang w:val="en-US" w:eastAsia="zh-CN" w:bidi="ar"/>
                    </w:rPr>
                    <w:t>，参考）</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65C76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4BD26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依据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1043</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ABS/HIPS/PA/PE </w:t>
                  </w:r>
                  <w:r>
                    <w:rPr>
                      <w:rFonts w:hint="eastAsia" w:ascii="宋体" w:hAnsi="宋体" w:eastAsia="宋体" w:cs="宋体"/>
                      <w:i w:val="0"/>
                      <w:iCs w:val="0"/>
                      <w:color w:val="auto"/>
                      <w:kern w:val="0"/>
                      <w:sz w:val="21"/>
                      <w:szCs w:val="21"/>
                      <w:highlight w:val="none"/>
                      <w:u w:val="none"/>
                      <w:lang w:val="en-US" w:eastAsia="zh-CN" w:bidi="ar"/>
                    </w:rPr>
                    <w:t>重要指标</w:t>
                  </w:r>
                </w:p>
              </w:tc>
            </w:tr>
            <w:tr w14:paraId="4515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A3F1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执行标准</w:t>
                  </w:r>
                </w:p>
              </w:tc>
              <w:tc>
                <w:tcPr>
                  <w:tcW w:w="85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1DA47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8317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59F00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39199</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77A7C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p>
              </w:tc>
              <w:tc>
                <w:tcPr>
                  <w:tcW w:w="122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79CA2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GB/T 37821 </w:t>
                  </w:r>
                  <w:r>
                    <w:rPr>
                      <w:rFonts w:hint="eastAsia" w:ascii="宋体" w:hAnsi="宋体" w:eastAsia="宋体" w:cs="宋体"/>
                      <w:i w:val="0"/>
                      <w:iCs w:val="0"/>
                      <w:color w:val="auto"/>
                      <w:kern w:val="0"/>
                      <w:sz w:val="21"/>
                      <w:szCs w:val="21"/>
                      <w:highlight w:val="none"/>
                      <w:u w:val="none"/>
                      <w:lang w:val="en-US" w:eastAsia="zh-CN" w:bidi="ar"/>
                    </w:rPr>
                    <w:t>及行业技术规范</w:t>
                  </w:r>
                </w:p>
              </w:tc>
              <w:tc>
                <w:tcPr>
                  <w:tcW w:w="146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87164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 </w:t>
                  </w:r>
                  <w:r>
                    <w:rPr>
                      <w:rFonts w:hint="eastAsia" w:ascii="宋体" w:hAnsi="宋体" w:eastAsia="宋体" w:cs="宋体"/>
                      <w:i w:val="0"/>
                      <w:iCs w:val="0"/>
                      <w:color w:val="auto"/>
                      <w:kern w:val="0"/>
                      <w:sz w:val="21"/>
                      <w:szCs w:val="21"/>
                      <w:highlight w:val="none"/>
                      <w:u w:val="none"/>
                      <w:lang w:val="en-US" w:eastAsia="zh-CN" w:bidi="ar"/>
                    </w:rPr>
                    <w:t>及行业技术规范</w:t>
                  </w:r>
                </w:p>
              </w:tc>
              <w:tc>
                <w:tcPr>
                  <w:tcW w:w="162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5CC2F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通用技术规范</w:t>
                  </w:r>
                </w:p>
              </w:tc>
            </w:tr>
          </w:tbl>
          <w:p w14:paraId="262465A3">
            <w:pPr>
              <w:pStyle w:val="112"/>
              <w:jc w:val="center"/>
              <w:rPr>
                <w:b/>
                <w:bCs/>
                <w:color w:val="auto"/>
                <w:sz w:val="21"/>
                <w:szCs w:val="21"/>
                <w:highlight w:val="none"/>
              </w:rPr>
            </w:pPr>
            <w:r>
              <w:rPr>
                <w:rFonts w:hint="eastAsia"/>
                <w:b/>
                <w:bCs/>
                <w:color w:val="auto"/>
                <w:sz w:val="21"/>
                <w:szCs w:val="21"/>
                <w:highlight w:val="none"/>
                <w:lang w:val="en-US" w:eastAsia="zh-CN"/>
              </w:rPr>
              <w:t>塑料再生颗粒</w:t>
            </w:r>
            <w:r>
              <w:rPr>
                <w:b/>
                <w:bCs/>
                <w:color w:val="auto"/>
                <w:sz w:val="21"/>
                <w:szCs w:val="21"/>
                <w:highlight w:val="none"/>
              </w:rPr>
              <w:t>产品</w:t>
            </w:r>
            <w:r>
              <w:rPr>
                <w:rFonts w:hint="eastAsia"/>
                <w:b/>
                <w:bCs/>
                <w:color w:val="auto"/>
                <w:sz w:val="21"/>
                <w:szCs w:val="21"/>
                <w:highlight w:val="none"/>
              </w:rPr>
              <w:t>质量标准</w:t>
            </w:r>
            <w:r>
              <w:rPr>
                <w:b/>
                <w:bCs/>
                <w:color w:val="auto"/>
                <w:sz w:val="21"/>
                <w:szCs w:val="21"/>
                <w:highlight w:val="none"/>
              </w:rPr>
              <w:t>一览表</w:t>
            </w:r>
          </w:p>
          <w:tbl>
            <w:tblPr>
              <w:tblStyle w:val="49"/>
              <w:tblW w:w="920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711"/>
              <w:gridCol w:w="1381"/>
              <w:gridCol w:w="1381"/>
              <w:gridCol w:w="1286"/>
              <w:gridCol w:w="1148"/>
              <w:gridCol w:w="1381"/>
              <w:gridCol w:w="1224"/>
            </w:tblGrid>
            <w:tr w14:paraId="26F6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8F6160">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检测项目</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23EEA">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19C751">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PP </w:t>
                  </w:r>
                  <w:r>
                    <w:rPr>
                      <w:rFonts w:hint="eastAsia" w:ascii="宋体" w:hAnsi="宋体" w:eastAsia="宋体" w:cs="宋体"/>
                      <w:b/>
                      <w:bCs/>
                      <w:i w:val="0"/>
                      <w:iCs w:val="0"/>
                      <w:color w:val="auto"/>
                      <w:kern w:val="0"/>
                      <w:sz w:val="21"/>
                      <w:szCs w:val="21"/>
                      <w:highlight w:val="none"/>
                      <w:u w:val="none"/>
                      <w:lang w:val="en-US" w:eastAsia="zh-CN" w:bidi="ar"/>
                    </w:rPr>
                    <w:t>再生颗粒</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1577F5">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PE </w:t>
                  </w:r>
                  <w:r>
                    <w:rPr>
                      <w:rFonts w:hint="eastAsia" w:ascii="宋体" w:hAnsi="宋体" w:eastAsia="宋体" w:cs="宋体"/>
                      <w:b/>
                      <w:bCs/>
                      <w:i w:val="0"/>
                      <w:iCs w:val="0"/>
                      <w:color w:val="auto"/>
                      <w:kern w:val="0"/>
                      <w:sz w:val="21"/>
                      <w:szCs w:val="21"/>
                      <w:highlight w:val="none"/>
                      <w:u w:val="none"/>
                      <w:lang w:val="en-US" w:eastAsia="zh-CN" w:bidi="ar"/>
                    </w:rPr>
                    <w:t>再生颗粒</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AB817">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ABS </w:t>
                  </w:r>
                  <w:r>
                    <w:rPr>
                      <w:rFonts w:hint="eastAsia" w:ascii="宋体" w:hAnsi="宋体" w:eastAsia="宋体" w:cs="宋体"/>
                      <w:b/>
                      <w:bCs/>
                      <w:i w:val="0"/>
                      <w:iCs w:val="0"/>
                      <w:color w:val="auto"/>
                      <w:kern w:val="0"/>
                      <w:sz w:val="21"/>
                      <w:szCs w:val="21"/>
                      <w:highlight w:val="none"/>
                      <w:u w:val="none"/>
                      <w:lang w:val="en-US" w:eastAsia="zh-CN" w:bidi="ar"/>
                    </w:rPr>
                    <w:t>再生颗粒</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D555A">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HIPS </w:t>
                  </w:r>
                  <w:r>
                    <w:rPr>
                      <w:rFonts w:hint="eastAsia" w:ascii="宋体" w:hAnsi="宋体" w:eastAsia="宋体" w:cs="宋体"/>
                      <w:b/>
                      <w:bCs/>
                      <w:i w:val="0"/>
                      <w:iCs w:val="0"/>
                      <w:color w:val="auto"/>
                      <w:kern w:val="0"/>
                      <w:sz w:val="21"/>
                      <w:szCs w:val="21"/>
                      <w:highlight w:val="none"/>
                      <w:u w:val="none"/>
                      <w:lang w:val="en-US" w:eastAsia="zh-CN" w:bidi="ar"/>
                    </w:rPr>
                    <w:t>再生颗粒</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895F08">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PA</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PA6/PA66</w:t>
                  </w:r>
                  <w:r>
                    <w:rPr>
                      <w:rFonts w:hint="eastAsia" w:ascii="宋体" w:hAnsi="宋体" w:eastAsia="宋体" w:cs="宋体"/>
                      <w:b/>
                      <w:bCs/>
                      <w:i w:val="0"/>
                      <w:iCs w:val="0"/>
                      <w:color w:val="auto"/>
                      <w:kern w:val="0"/>
                      <w:sz w:val="21"/>
                      <w:szCs w:val="21"/>
                      <w:highlight w:val="none"/>
                      <w:u w:val="none"/>
                      <w:lang w:val="en-US" w:eastAsia="zh-CN" w:bidi="ar"/>
                    </w:rPr>
                    <w:t>）再生颗粒</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81C171">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 </w:t>
                  </w:r>
                  <w:r>
                    <w:rPr>
                      <w:rFonts w:hint="eastAsia" w:ascii="宋体" w:hAnsi="宋体" w:eastAsia="宋体" w:cs="宋体"/>
                      <w:b/>
                      <w:bCs/>
                      <w:i w:val="0"/>
                      <w:iCs w:val="0"/>
                      <w:color w:val="auto"/>
                      <w:kern w:val="0"/>
                      <w:sz w:val="21"/>
                      <w:szCs w:val="21"/>
                      <w:highlight w:val="none"/>
                      <w:u w:val="none"/>
                      <w:lang w:val="en-US" w:eastAsia="zh-CN" w:bidi="ar"/>
                    </w:rPr>
                    <w:t>参考依据</w:t>
                  </w:r>
                </w:p>
              </w:tc>
            </w:tr>
            <w:tr w14:paraId="5D75A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107693">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外观</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2D351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028DE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圆柱状颗粒，大小均匀，色泽一致；无焦粒、气泡、杂色粒；无明显挂料、拖尾</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FE436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圆柱状颗粒，色泽均匀；无黑点、焦粒、气泡、杂色；无明显拖尾、拉丝</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DDD72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圆柱状颗粒，色泽均匀；无明显色差、黑点、焦粒；无明显拖尾</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FD57B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圆柱状颗粒，色泽均匀；无黄变、黑点、焦粒；无明显拖尾</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3FD94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圆柱状颗粒，色泽均匀；无氧化黄变、黑点、焦粒；无明显拖尾、拉丝</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55DBD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目测法，参考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 </w:t>
                  </w:r>
                  <w:r>
                    <w:rPr>
                      <w:rFonts w:hint="eastAsia" w:ascii="宋体" w:hAnsi="宋体" w:eastAsia="宋体" w:cs="宋体"/>
                      <w:i w:val="0"/>
                      <w:iCs w:val="0"/>
                      <w:color w:val="auto"/>
                      <w:kern w:val="0"/>
                      <w:sz w:val="21"/>
                      <w:szCs w:val="21"/>
                      <w:highlight w:val="none"/>
                      <w:u w:val="none"/>
                      <w:lang w:val="en-US" w:eastAsia="zh-CN" w:bidi="ar"/>
                    </w:rPr>
                    <w:t>及再生塑料行业通用要求</w:t>
                  </w:r>
                </w:p>
              </w:tc>
            </w:tr>
            <w:tr w14:paraId="25833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0715D9">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尺寸</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6F36BB">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mm</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C8019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2.0~3.0</w:t>
                  </w:r>
                  <w:r>
                    <w:rPr>
                      <w:rFonts w:hint="eastAsia" w:ascii="宋体" w:hAnsi="宋体" w:eastAsia="宋体" w:cs="宋体"/>
                      <w:i w:val="0"/>
                      <w:iCs w:val="0"/>
                      <w:color w:val="auto"/>
                      <w:kern w:val="0"/>
                      <w:sz w:val="21"/>
                      <w:szCs w:val="21"/>
                      <w:highlight w:val="none"/>
                      <w:u w:val="none"/>
                      <w:lang w:val="en-US" w:eastAsia="zh-CN" w:bidi="ar"/>
                    </w:rPr>
                    <w:t>，长度</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2.0~4.0</w:t>
                  </w:r>
                  <w:r>
                    <w:rPr>
                      <w:rFonts w:hint="eastAsia" w:ascii="宋体" w:hAnsi="宋体" w:eastAsia="宋体" w:cs="宋体"/>
                      <w:i w:val="0"/>
                      <w:iCs w:val="0"/>
                      <w:color w:val="auto"/>
                      <w:kern w:val="0"/>
                      <w:sz w:val="21"/>
                      <w:szCs w:val="21"/>
                      <w:highlight w:val="none"/>
                      <w:u w:val="none"/>
                      <w:lang w:val="en-US" w:eastAsia="zh-CN" w:bidi="ar"/>
                    </w:rPr>
                    <w:t>（均匀）</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C13289">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2.0~3.0</w:t>
                  </w:r>
                  <w:r>
                    <w:rPr>
                      <w:rFonts w:hint="eastAsia" w:ascii="宋体" w:hAnsi="宋体" w:eastAsia="宋体" w:cs="宋体"/>
                      <w:i w:val="0"/>
                      <w:iCs w:val="0"/>
                      <w:color w:val="auto"/>
                      <w:kern w:val="0"/>
                      <w:sz w:val="21"/>
                      <w:szCs w:val="21"/>
                      <w:highlight w:val="none"/>
                      <w:u w:val="none"/>
                      <w:lang w:val="en-US" w:eastAsia="zh-CN" w:bidi="ar"/>
                    </w:rPr>
                    <w:t>，长度</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2.0~4.0</w:t>
                  </w:r>
                  <w:r>
                    <w:rPr>
                      <w:rFonts w:hint="eastAsia" w:ascii="宋体" w:hAnsi="宋体" w:eastAsia="宋体" w:cs="宋体"/>
                      <w:i w:val="0"/>
                      <w:iCs w:val="0"/>
                      <w:color w:val="auto"/>
                      <w:kern w:val="0"/>
                      <w:sz w:val="21"/>
                      <w:szCs w:val="21"/>
                      <w:highlight w:val="none"/>
                      <w:u w:val="none"/>
                      <w:lang w:val="en-US" w:eastAsia="zh-CN" w:bidi="ar"/>
                    </w:rPr>
                    <w:t>（均匀）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CDEB5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2.0~3.0</w:t>
                  </w:r>
                  <w:r>
                    <w:rPr>
                      <w:rFonts w:hint="eastAsia" w:ascii="宋体" w:hAnsi="宋体" w:eastAsia="宋体" w:cs="宋体"/>
                      <w:i w:val="0"/>
                      <w:iCs w:val="0"/>
                      <w:color w:val="auto"/>
                      <w:kern w:val="0"/>
                      <w:sz w:val="21"/>
                      <w:szCs w:val="21"/>
                      <w:highlight w:val="none"/>
                      <w:u w:val="none"/>
                      <w:lang w:val="en-US" w:eastAsia="zh-CN" w:bidi="ar"/>
                    </w:rPr>
                    <w:t>，长度</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2.0~4.0</w:t>
                  </w:r>
                  <w:r>
                    <w:rPr>
                      <w:rFonts w:hint="eastAsia" w:ascii="宋体" w:hAnsi="宋体" w:eastAsia="宋体" w:cs="宋体"/>
                      <w:i w:val="0"/>
                      <w:iCs w:val="0"/>
                      <w:color w:val="auto"/>
                      <w:kern w:val="0"/>
                      <w:sz w:val="21"/>
                      <w:szCs w:val="21"/>
                      <w:highlight w:val="none"/>
                      <w:u w:val="none"/>
                      <w:lang w:val="en-US" w:eastAsia="zh-CN" w:bidi="ar"/>
                    </w:rPr>
                    <w:t>（均匀）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0DCF5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2.0~3.0</w:t>
                  </w:r>
                  <w:r>
                    <w:rPr>
                      <w:rFonts w:hint="eastAsia" w:ascii="宋体" w:hAnsi="宋体" w:eastAsia="宋体" w:cs="宋体"/>
                      <w:i w:val="0"/>
                      <w:iCs w:val="0"/>
                      <w:color w:val="auto"/>
                      <w:kern w:val="0"/>
                      <w:sz w:val="21"/>
                      <w:szCs w:val="21"/>
                      <w:highlight w:val="none"/>
                      <w:u w:val="none"/>
                      <w:lang w:val="en-US" w:eastAsia="zh-CN" w:bidi="ar"/>
                    </w:rPr>
                    <w:t>，长度</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2.0~4.0</w:t>
                  </w:r>
                  <w:r>
                    <w:rPr>
                      <w:rFonts w:hint="eastAsia" w:ascii="宋体" w:hAnsi="宋体" w:eastAsia="宋体" w:cs="宋体"/>
                      <w:i w:val="0"/>
                      <w:iCs w:val="0"/>
                      <w:color w:val="auto"/>
                      <w:kern w:val="0"/>
                      <w:sz w:val="21"/>
                      <w:szCs w:val="21"/>
                      <w:highlight w:val="none"/>
                      <w:u w:val="none"/>
                      <w:lang w:val="en-US" w:eastAsia="zh-CN" w:bidi="ar"/>
                    </w:rPr>
                    <w:t>（均匀）</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36C62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2.0~3.0</w:t>
                  </w:r>
                  <w:r>
                    <w:rPr>
                      <w:rFonts w:hint="eastAsia" w:ascii="宋体" w:hAnsi="宋体" w:eastAsia="宋体" w:cs="宋体"/>
                      <w:i w:val="0"/>
                      <w:iCs w:val="0"/>
                      <w:color w:val="auto"/>
                      <w:kern w:val="0"/>
                      <w:sz w:val="21"/>
                      <w:szCs w:val="21"/>
                      <w:highlight w:val="none"/>
                      <w:u w:val="none"/>
                      <w:lang w:val="en-US" w:eastAsia="zh-CN" w:bidi="ar"/>
                    </w:rPr>
                    <w:t>，长度</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2.0~4.0</w:t>
                  </w:r>
                  <w:r>
                    <w:rPr>
                      <w:rFonts w:hint="eastAsia" w:ascii="宋体" w:hAnsi="宋体" w:eastAsia="宋体" w:cs="宋体"/>
                      <w:i w:val="0"/>
                      <w:iCs w:val="0"/>
                      <w:color w:val="auto"/>
                      <w:kern w:val="0"/>
                      <w:sz w:val="21"/>
                      <w:szCs w:val="21"/>
                      <w:highlight w:val="none"/>
                      <w:u w:val="none"/>
                      <w:lang w:val="en-US" w:eastAsia="zh-CN" w:bidi="ar"/>
                    </w:rPr>
                    <w:t>（均匀）</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7F1F0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常规造粒机切粒标准，可按客户要求调整</w:t>
                  </w:r>
                </w:p>
              </w:tc>
            </w:tr>
            <w:tr w14:paraId="1A57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96D6A0">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含水率</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0521C6">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175E6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B96F32">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≤0.10</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0CC1D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≤0.10</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FB49F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98BA1B">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BD336E">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GH/T 1479</w:t>
                  </w:r>
                  <w:r>
                    <w:rPr>
                      <w:rFonts w:hint="eastAsia" w:ascii="宋体" w:hAnsi="宋体" w:eastAsia="宋体" w:cs="宋体"/>
                      <w:i w:val="0"/>
                      <w:iCs w:val="0"/>
                      <w:color w:val="auto"/>
                      <w:kern w:val="0"/>
                      <w:sz w:val="21"/>
                      <w:szCs w:val="21"/>
                      <w:highlight w:val="none"/>
                      <w:u w:val="none"/>
                      <w:lang w:val="en-US" w:eastAsia="zh-CN" w:bidi="ar"/>
                    </w:rPr>
                    <w:t>；造粒后水分需大幅降低，避免注塑缺陷</w:t>
                  </w:r>
                </w:p>
              </w:tc>
            </w:tr>
            <w:tr w14:paraId="1646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EF7C79">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杂质含量</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A0B4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873CE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r>
                    <w:rPr>
                      <w:rFonts w:hint="eastAsia" w:ascii="宋体" w:hAnsi="宋体" w:eastAsia="宋体" w:cs="宋体"/>
                      <w:i w:val="0"/>
                      <w:iCs w:val="0"/>
                      <w:color w:val="auto"/>
                      <w:kern w:val="0"/>
                      <w:sz w:val="21"/>
                      <w:szCs w:val="21"/>
                      <w:highlight w:val="none"/>
                      <w:u w:val="none"/>
                      <w:lang w:val="en-US" w:eastAsia="zh-CN" w:bidi="ar"/>
                    </w:rPr>
                    <w:t>（金属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非金属，非同类型塑料杂质</w:t>
                  </w:r>
                  <w:r>
                    <w:rPr>
                      <w:rFonts w:hint="default" w:ascii="Times New Roman" w:hAnsi="Times New Roman" w:eastAsia="宋体" w:cs="Times New Roman"/>
                      <w:i w:val="0"/>
                      <w:iCs w:val="0"/>
                      <w:color w:val="auto"/>
                      <w:kern w:val="0"/>
                      <w:sz w:val="21"/>
                      <w:szCs w:val="21"/>
                      <w:highlight w:val="none"/>
                      <w:u w:val="none"/>
                      <w:lang w:val="en-US" w:eastAsia="zh-CN" w:bidi="ar"/>
                    </w:rPr>
                    <w:t>≤0.03</w:t>
                  </w:r>
                  <w:r>
                    <w:rPr>
                      <w:rFonts w:hint="eastAsia" w:ascii="宋体" w:hAnsi="宋体" w:eastAsia="宋体" w:cs="宋体"/>
                      <w:i w:val="0"/>
                      <w:iCs w:val="0"/>
                      <w:color w:val="auto"/>
                      <w:kern w:val="0"/>
                      <w:sz w:val="21"/>
                      <w:szCs w:val="21"/>
                      <w:highlight w:val="none"/>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A1E37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r>
                    <w:rPr>
                      <w:rFonts w:hint="eastAsia" w:ascii="宋体" w:hAnsi="宋体" w:eastAsia="宋体" w:cs="宋体"/>
                      <w:i w:val="0"/>
                      <w:iCs w:val="0"/>
                      <w:color w:val="auto"/>
                      <w:kern w:val="0"/>
                      <w:sz w:val="21"/>
                      <w:szCs w:val="21"/>
                      <w:highlight w:val="none"/>
                      <w:u w:val="none"/>
                      <w:lang w:val="en-US" w:eastAsia="zh-CN" w:bidi="ar"/>
                    </w:rPr>
                    <w:t>（金属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泥沙</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非同类型塑料杂质</w:t>
                  </w:r>
                  <w:r>
                    <w:rPr>
                      <w:rFonts w:hint="default" w:ascii="Times New Roman" w:hAnsi="Times New Roman" w:eastAsia="宋体" w:cs="Times New Roman"/>
                      <w:i w:val="0"/>
                      <w:iCs w:val="0"/>
                      <w:color w:val="auto"/>
                      <w:kern w:val="0"/>
                      <w:sz w:val="21"/>
                      <w:szCs w:val="21"/>
                      <w:highlight w:val="none"/>
                      <w:u w:val="none"/>
                      <w:lang w:val="en-US" w:eastAsia="zh-CN" w:bidi="ar"/>
                    </w:rPr>
                    <w:t>≤0.03</w:t>
                  </w:r>
                  <w:r>
                    <w:rPr>
                      <w:rFonts w:hint="eastAsia" w:ascii="宋体" w:hAnsi="宋体" w:eastAsia="宋体" w:cs="宋体"/>
                      <w:i w:val="0"/>
                      <w:iCs w:val="0"/>
                      <w:color w:val="auto"/>
                      <w:kern w:val="0"/>
                      <w:sz w:val="21"/>
                      <w:szCs w:val="21"/>
                      <w:highlight w:val="none"/>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1E9DA9">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r>
                    <w:rPr>
                      <w:rFonts w:hint="eastAsia" w:ascii="宋体" w:hAnsi="宋体" w:eastAsia="宋体" w:cs="宋体"/>
                      <w:i w:val="0"/>
                      <w:iCs w:val="0"/>
                      <w:color w:val="auto"/>
                      <w:kern w:val="0"/>
                      <w:sz w:val="21"/>
                      <w:szCs w:val="21"/>
                      <w:highlight w:val="none"/>
                      <w:u w:val="none"/>
                      <w:lang w:val="en-US" w:eastAsia="zh-CN" w:bidi="ar"/>
                    </w:rPr>
                    <w:t>（黑点</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杂质</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非同类型塑料杂质</w:t>
                  </w:r>
                  <w:r>
                    <w:rPr>
                      <w:rFonts w:hint="default" w:ascii="Times New Roman" w:hAnsi="Times New Roman" w:eastAsia="宋体" w:cs="Times New Roman"/>
                      <w:i w:val="0"/>
                      <w:iCs w:val="0"/>
                      <w:color w:val="auto"/>
                      <w:kern w:val="0"/>
                      <w:sz w:val="21"/>
                      <w:szCs w:val="21"/>
                      <w:highlight w:val="none"/>
                      <w:u w:val="none"/>
                      <w:lang w:val="en-US" w:eastAsia="zh-CN" w:bidi="ar"/>
                    </w:rPr>
                    <w:t>≤0.02</w:t>
                  </w:r>
                  <w:r>
                    <w:rPr>
                      <w:rFonts w:hint="eastAsia" w:ascii="宋体" w:hAnsi="宋体" w:eastAsia="宋体" w:cs="宋体"/>
                      <w:i w:val="0"/>
                      <w:iCs w:val="0"/>
                      <w:color w:val="auto"/>
                      <w:kern w:val="0"/>
                      <w:sz w:val="21"/>
                      <w:szCs w:val="21"/>
                      <w:highlight w:val="none"/>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6F9929">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r>
                    <w:rPr>
                      <w:rFonts w:hint="eastAsia" w:ascii="宋体" w:hAnsi="宋体" w:eastAsia="宋体" w:cs="宋体"/>
                      <w:i w:val="0"/>
                      <w:iCs w:val="0"/>
                      <w:color w:val="auto"/>
                      <w:kern w:val="0"/>
                      <w:sz w:val="21"/>
                      <w:szCs w:val="21"/>
                      <w:highlight w:val="none"/>
                      <w:u w:val="none"/>
                      <w:lang w:val="en-US" w:eastAsia="zh-CN" w:bidi="ar"/>
                    </w:rPr>
                    <w:t>（黑点</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杂质</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非同类型塑料杂质</w:t>
                  </w:r>
                  <w:r>
                    <w:rPr>
                      <w:rFonts w:hint="default" w:ascii="Times New Roman" w:hAnsi="Times New Roman" w:eastAsia="宋体" w:cs="Times New Roman"/>
                      <w:i w:val="0"/>
                      <w:iCs w:val="0"/>
                      <w:color w:val="auto"/>
                      <w:kern w:val="0"/>
                      <w:sz w:val="21"/>
                      <w:szCs w:val="21"/>
                      <w:highlight w:val="none"/>
                      <w:u w:val="none"/>
                      <w:lang w:val="en-US" w:eastAsia="zh-CN" w:bidi="ar"/>
                    </w:rPr>
                    <w:t>≤0.02</w:t>
                  </w:r>
                  <w:r>
                    <w:rPr>
                      <w:rFonts w:hint="eastAsia" w:ascii="宋体" w:hAnsi="宋体" w:eastAsia="宋体" w:cs="宋体"/>
                      <w:i w:val="0"/>
                      <w:iCs w:val="0"/>
                      <w:color w:val="auto"/>
                      <w:kern w:val="0"/>
                      <w:sz w:val="21"/>
                      <w:szCs w:val="21"/>
                      <w:highlight w:val="none"/>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4006B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≤0.02</w:t>
                  </w:r>
                  <w:r>
                    <w:rPr>
                      <w:rFonts w:hint="eastAsia" w:ascii="宋体" w:hAnsi="宋体" w:eastAsia="宋体" w:cs="宋体"/>
                      <w:i w:val="0"/>
                      <w:iCs w:val="0"/>
                      <w:color w:val="auto"/>
                      <w:kern w:val="0"/>
                      <w:sz w:val="21"/>
                      <w:szCs w:val="21"/>
                      <w:highlight w:val="none"/>
                      <w:u w:val="none"/>
                      <w:lang w:val="en-US" w:eastAsia="zh-CN" w:bidi="ar"/>
                    </w:rPr>
                    <w:t>（金属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非金属</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非同类型塑料杂质</w:t>
                  </w:r>
                  <w:r>
                    <w:rPr>
                      <w:rFonts w:hint="default" w:ascii="Times New Roman" w:hAnsi="Times New Roman" w:eastAsia="宋体" w:cs="Times New Roman"/>
                      <w:i w:val="0"/>
                      <w:iCs w:val="0"/>
                      <w:color w:val="auto"/>
                      <w:kern w:val="0"/>
                      <w:sz w:val="21"/>
                      <w:szCs w:val="21"/>
                      <w:highlight w:val="none"/>
                      <w:u w:val="none"/>
                      <w:lang w:val="en-US" w:eastAsia="zh-CN" w:bidi="ar"/>
                    </w:rPr>
                    <w:t>≤0.01</w:t>
                  </w:r>
                  <w:r>
                    <w:rPr>
                      <w:rFonts w:hint="eastAsia" w:ascii="宋体" w:hAnsi="宋体" w:eastAsia="宋体" w:cs="宋体"/>
                      <w:i w:val="0"/>
                      <w:iCs w:val="0"/>
                      <w:color w:val="auto"/>
                      <w:kern w:val="0"/>
                      <w:sz w:val="21"/>
                      <w:szCs w:val="21"/>
                      <w:highlight w:val="none"/>
                      <w:u w:val="none"/>
                      <w:lang w:val="en-US" w:eastAsia="zh-CN"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2E83D6">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，造粒后杂质需进一步去除</w:t>
                  </w:r>
                </w:p>
              </w:tc>
            </w:tr>
            <w:tr w14:paraId="1EFA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CFF4BA">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灰分</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63E9FA">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EEF6C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52F0E0">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79274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67AA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CB808A">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6E36C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造粒过程中无机杂质进一步分离，灰分要求严于破碎料</w:t>
                  </w:r>
                </w:p>
              </w:tc>
            </w:tr>
            <w:tr w14:paraId="125C7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A4D89F">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熔体流动速率</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(MFR)</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78145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g/10min</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140B10">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符合客户要求，波动范围</w:t>
                  </w: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0.5~8.0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230℃/2.16kg</w:t>
                  </w:r>
                  <w:r>
                    <w:rPr>
                      <w:rFonts w:hint="eastAsia" w:ascii="宋体" w:hAnsi="宋体" w:eastAsia="宋体" w:cs="宋体"/>
                      <w:i w:val="0"/>
                      <w:iCs w:val="0"/>
                      <w:color w:val="auto"/>
                      <w:kern w:val="0"/>
                      <w:sz w:val="21"/>
                      <w:szCs w:val="21"/>
                      <w:highlight w:val="none"/>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04E95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符合客户要求，波动范围</w:t>
                  </w: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0.2~20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190℃/2.16kg</w:t>
                  </w:r>
                  <w:r>
                    <w:rPr>
                      <w:rFonts w:hint="eastAsia" w:ascii="宋体" w:hAnsi="宋体" w:eastAsia="宋体" w:cs="宋体"/>
                      <w:i w:val="0"/>
                      <w:iCs w:val="0"/>
                      <w:color w:val="auto"/>
                      <w:kern w:val="0"/>
                      <w:sz w:val="21"/>
                      <w:szCs w:val="21"/>
                      <w:highlight w:val="none"/>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754F3A">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符合客户要求，波动范围</w:t>
                  </w: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1.0~15</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220℃/10kg</w:t>
                  </w:r>
                  <w:r>
                    <w:rPr>
                      <w:rFonts w:hint="eastAsia" w:ascii="宋体" w:hAnsi="宋体" w:eastAsia="宋体" w:cs="宋体"/>
                      <w:i w:val="0"/>
                      <w:iCs w:val="0"/>
                      <w:color w:val="auto"/>
                      <w:kern w:val="0"/>
                      <w:sz w:val="21"/>
                      <w:szCs w:val="21"/>
                      <w:highlight w:val="none"/>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9FB4B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符合客户要求，波动范围</w:t>
                  </w: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（通常</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2.0~20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200℃/5kg</w:t>
                  </w:r>
                  <w:r>
                    <w:rPr>
                      <w:rFonts w:hint="eastAsia" w:ascii="宋体" w:hAnsi="宋体" w:eastAsia="宋体" w:cs="宋体"/>
                      <w:i w:val="0"/>
                      <w:iCs w:val="0"/>
                      <w:color w:val="auto"/>
                      <w:kern w:val="0"/>
                      <w:sz w:val="21"/>
                      <w:szCs w:val="21"/>
                      <w:highlight w:val="none"/>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01C3E9">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符合客户要求，波动范围</w:t>
                  </w: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15~35</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235℃/2.16kg</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10~30</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275℃/5kg</w:t>
                  </w:r>
                  <w:r>
                    <w:rPr>
                      <w:rFonts w:hint="eastAsia" w:ascii="宋体" w:hAnsi="宋体" w:eastAsia="宋体" w:cs="宋体"/>
                      <w:i w:val="0"/>
                      <w:iCs w:val="0"/>
                      <w:color w:val="auto"/>
                      <w:kern w:val="0"/>
                      <w:sz w:val="21"/>
                      <w:szCs w:val="21"/>
                      <w:highlight w:val="none"/>
                      <w:u w:val="none"/>
                      <w:lang w:val="en-US" w:eastAsia="zh-CN"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6051E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3682</w:t>
                  </w:r>
                  <w:r>
                    <w:rPr>
                      <w:rFonts w:hint="eastAsia" w:ascii="宋体" w:hAnsi="宋体" w:eastAsia="宋体" w:cs="宋体"/>
                      <w:i w:val="0"/>
                      <w:iCs w:val="0"/>
                      <w:color w:val="auto"/>
                      <w:kern w:val="0"/>
                      <w:sz w:val="21"/>
                      <w:szCs w:val="21"/>
                      <w:highlight w:val="none"/>
                      <w:u w:val="none"/>
                      <w:lang w:val="en-US" w:eastAsia="zh-CN" w:bidi="ar"/>
                    </w:rPr>
                    <w:t>；造粒后</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MFR </w:t>
                  </w:r>
                  <w:r>
                    <w:rPr>
                      <w:rFonts w:hint="eastAsia" w:ascii="宋体" w:hAnsi="宋体" w:eastAsia="宋体" w:cs="宋体"/>
                      <w:i w:val="0"/>
                      <w:iCs w:val="0"/>
                      <w:color w:val="auto"/>
                      <w:kern w:val="0"/>
                      <w:sz w:val="21"/>
                      <w:szCs w:val="21"/>
                      <w:highlight w:val="none"/>
                      <w:u w:val="none"/>
                      <w:lang w:val="en-US" w:eastAsia="zh-CN" w:bidi="ar"/>
                    </w:rPr>
                    <w:t>稳定性是关键指标</w:t>
                  </w:r>
                </w:p>
              </w:tc>
            </w:tr>
            <w:tr w14:paraId="5175C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9119F3">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拉伸强度</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22248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MPa</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E9392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672E1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B3553B">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43FD6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158C7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≥42</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/≥52</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1FEB46">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1040</w:t>
                  </w:r>
                  <w:r>
                    <w:rPr>
                      <w:rFonts w:hint="eastAsia" w:ascii="宋体" w:hAnsi="宋体" w:eastAsia="宋体" w:cs="宋体"/>
                      <w:i w:val="0"/>
                      <w:iCs w:val="0"/>
                      <w:color w:val="auto"/>
                      <w:kern w:val="0"/>
                      <w:sz w:val="21"/>
                      <w:szCs w:val="21"/>
                      <w:highlight w:val="none"/>
                      <w:u w:val="none"/>
                      <w:lang w:val="en-US" w:eastAsia="zh-CN" w:bidi="ar"/>
                    </w:rPr>
                    <w:t>；造粒后性能略有恢复</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稳定，指标略高于破碎料</w:t>
                  </w:r>
                </w:p>
              </w:tc>
            </w:tr>
            <w:tr w14:paraId="5619E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8EA11C">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简支梁冲击强度（缺口）</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7E883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kJ/m²</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9AC9A2">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6A895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F9AFE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17735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666D62">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E6D4D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1043</w:t>
                  </w:r>
                  <w:r>
                    <w:rPr>
                      <w:rFonts w:hint="eastAsia" w:ascii="宋体" w:hAnsi="宋体" w:eastAsia="宋体" w:cs="宋体"/>
                      <w:i w:val="0"/>
                      <w:iCs w:val="0"/>
                      <w:color w:val="auto"/>
                      <w:kern w:val="0"/>
                      <w:sz w:val="21"/>
                      <w:szCs w:val="21"/>
                      <w:highlight w:val="none"/>
                      <w:u w:val="none"/>
                      <w:lang w:val="en-US" w:eastAsia="zh-CN" w:bidi="ar"/>
                    </w:rPr>
                    <w:t>；造粒后冲击性能更稳定，指标略高于破碎料</w:t>
                  </w:r>
                </w:p>
              </w:tc>
            </w:tr>
            <w:tr w14:paraId="6986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B6EBAB">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熔体质量流动速率偏差</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7CD72E">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35DB3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EAE85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BD25D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899380">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5FBB1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06DA7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批次间稳定性控制，造粒料关键质控项</w:t>
                  </w:r>
                </w:p>
              </w:tc>
            </w:tr>
            <w:tr w14:paraId="3A5D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231973">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密度</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58FB6E">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g/cm³</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856D5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0.90~0.92</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9AE15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0.94~0.96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HDPE</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/0.91~0.93</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LDPE</w:t>
                  </w:r>
                  <w:r>
                    <w:rPr>
                      <w:rFonts w:hint="eastAsia" w:ascii="宋体" w:hAnsi="宋体" w:eastAsia="宋体" w:cs="宋体"/>
                      <w:i w:val="0"/>
                      <w:iCs w:val="0"/>
                      <w:color w:val="auto"/>
                      <w:kern w:val="0"/>
                      <w:sz w:val="21"/>
                      <w:szCs w:val="21"/>
                      <w:highlight w:val="none"/>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CDEFA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1.03~1.06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0450D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1.04~1.06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6DA28E">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1.12~1.15</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/1.13~1.16</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PA66</w:t>
                  </w:r>
                  <w:r>
                    <w:rPr>
                      <w:rFonts w:hint="eastAsia" w:ascii="宋体" w:hAnsi="宋体" w:eastAsia="宋体" w:cs="宋体"/>
                      <w:i w:val="0"/>
                      <w:iCs w:val="0"/>
                      <w:color w:val="auto"/>
                      <w:kern w:val="0"/>
                      <w:sz w:val="21"/>
                      <w:szCs w:val="21"/>
                      <w:highlight w:val="none"/>
                      <w:u w:val="none"/>
                      <w:lang w:val="en-US" w:eastAsia="zh-CN" w:bidi="ar"/>
                    </w:rPr>
                    <w:t>）</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AAF336">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1033</w:t>
                  </w:r>
                  <w:r>
                    <w:rPr>
                      <w:rFonts w:hint="eastAsia" w:ascii="宋体" w:hAnsi="宋体" w:eastAsia="宋体" w:cs="宋体"/>
                      <w:i w:val="0"/>
                      <w:iCs w:val="0"/>
                      <w:color w:val="auto"/>
                      <w:kern w:val="0"/>
                      <w:sz w:val="21"/>
                      <w:szCs w:val="21"/>
                      <w:highlight w:val="none"/>
                      <w:u w:val="none"/>
                      <w:lang w:val="en-US" w:eastAsia="zh-CN" w:bidi="ar"/>
                    </w:rPr>
                    <w:t>，用于判断是否被其他塑料掺混</w:t>
                  </w:r>
                </w:p>
              </w:tc>
            </w:tr>
            <w:tr w14:paraId="0E7B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4A0936">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挥发分</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C75381">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C78A8">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57288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DB0475">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3ED1E4">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83F632">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≤0.15</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8041E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2914</w:t>
                  </w:r>
                  <w:r>
                    <w:rPr>
                      <w:rFonts w:hint="eastAsia" w:ascii="宋体" w:hAnsi="宋体" w:eastAsia="宋体" w:cs="宋体"/>
                      <w:i w:val="0"/>
                      <w:iCs w:val="0"/>
                      <w:color w:val="auto"/>
                      <w:kern w:val="0"/>
                      <w:sz w:val="21"/>
                      <w:szCs w:val="21"/>
                      <w:highlight w:val="none"/>
                      <w:u w:val="none"/>
                      <w:lang w:val="en-US" w:eastAsia="zh-CN" w:bidi="ar"/>
                    </w:rPr>
                    <w:t>，控制小分子残留，减少注塑时的烟、味</w:t>
                  </w:r>
                </w:p>
              </w:tc>
            </w:tr>
            <w:tr w14:paraId="1EC5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4E07AE">
                  <w:pPr>
                    <w:keepNext w:val="0"/>
                    <w:keepLines w:val="0"/>
                    <w:widowControl/>
                    <w:suppressLineNumbers w:val="0"/>
                    <w:spacing w:line="240" w:lineRule="auto"/>
                    <w:jc w:val="center"/>
                    <w:textAlignment w:val="center"/>
                    <w:rPr>
                      <w:rFonts w:hint="default" w:ascii="Times New Roman" w:hAnsi="Times New Roman" w:cs="Times New Roman" w:eastAsiaTheme="minorEastAsia"/>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执行标准</w:t>
                  </w:r>
                </w:p>
              </w:tc>
              <w:tc>
                <w:tcPr>
                  <w:tcW w:w="64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572EAD">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4DFF8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39804</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490AE6">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39199</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39804</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98CC8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39804</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F51053">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39804</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C910B7">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参照</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GB/T 37821</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GB/T 39804</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8B01C">
                  <w:pPr>
                    <w:keepNext w:val="0"/>
                    <w:keepLines w:val="0"/>
                    <w:widowControl/>
                    <w:suppressLineNumbers w:val="0"/>
                    <w:spacing w:line="240" w:lineRule="auto"/>
                    <w:jc w:val="center"/>
                    <w:textAlignment w:val="center"/>
                    <w:rPr>
                      <w:rFonts w:hint="default" w:ascii="Times New Roman" w:hAnsi="Times New Roman" w:cs="Times New Roman" w:eastAsiaTheme="minorEastAsia"/>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《再生塑料颗粒通用技术要求》</w:t>
                  </w:r>
                </w:p>
              </w:tc>
            </w:tr>
          </w:tbl>
          <w:p w14:paraId="29966524">
            <w:pPr>
              <w:pStyle w:val="20"/>
              <w:numPr>
                <w:ilvl w:val="3"/>
                <w:numId w:val="0"/>
              </w:numPr>
              <w:ind w:left="-960" w:firstLine="1440"/>
              <w:rPr>
                <w:color w:val="auto"/>
                <w:highlight w:val="none"/>
              </w:rPr>
            </w:pPr>
            <w:r>
              <w:rPr>
                <w:color w:val="auto"/>
                <w:szCs w:val="24"/>
                <w:highlight w:val="none"/>
              </w:rPr>
              <w:t>3、</w:t>
            </w:r>
            <w:r>
              <w:rPr>
                <w:color w:val="auto"/>
                <w:highlight w:val="none"/>
              </w:rPr>
              <w:t>原辅材料及用量</w:t>
            </w:r>
          </w:p>
          <w:p w14:paraId="0049648E">
            <w:pPr>
              <w:pStyle w:val="21"/>
              <w:numPr>
                <w:ilvl w:val="4"/>
                <w:numId w:val="0"/>
              </w:numPr>
              <w:ind w:left="-960" w:firstLine="1440"/>
              <w:rPr>
                <w:color w:val="auto"/>
                <w:kern w:val="2"/>
                <w:highlight w:val="none"/>
              </w:rPr>
            </w:pPr>
            <w:r>
              <w:rPr>
                <w:color w:val="auto"/>
                <w:kern w:val="2"/>
                <w:highlight w:val="none"/>
              </w:rPr>
              <w:t>（1）原辅材料用量</w:t>
            </w:r>
          </w:p>
          <w:p w14:paraId="3835F511">
            <w:pPr>
              <w:pStyle w:val="26"/>
              <w:ind w:firstLine="480"/>
              <w:rPr>
                <w:color w:val="auto"/>
                <w:highlight w:val="none"/>
              </w:rPr>
            </w:pPr>
            <w:r>
              <w:rPr>
                <w:rFonts w:hint="eastAsia"/>
                <w:color w:val="auto"/>
                <w:highlight w:val="none"/>
                <w:lang w:val="en-US" w:eastAsia="zh-CN"/>
              </w:rPr>
              <w:t>项目所用废塑料原料以日常洁净塑料制品为主，主要包含家电外壳、塑料凳、民用纯色塑料件等，原料均经过前期统一分拣、筛选处理，物料组分相对单一、洁净度较高。生产过程严格规范原料准入管理，不接纳属于危险废物类别、沾染有毒有害及腐蚀性污染物的废塑料，同时严禁购入大量混杂生活垃圾、厨余杂物、腐败废弃物的混合劣质杂塑料。原料进场前落实查验核查，依托前期分选基础，辅以进厂二次检查，持续剔除夹杂杂物、污染破损物料，从源头保证入料品质，规避外源污染物质带入生产环节，确保原料符合环保生产及污染防控管理要求。</w:t>
            </w:r>
            <w:r>
              <w:rPr>
                <w:color w:val="auto"/>
                <w:highlight w:val="none"/>
              </w:rPr>
              <w:t>原辅材料种类及年用量见下表。</w:t>
            </w:r>
          </w:p>
          <w:p w14:paraId="4AF0856F">
            <w:pPr>
              <w:pStyle w:val="112"/>
              <w:jc w:val="center"/>
              <w:rPr>
                <w:b/>
                <w:bCs/>
                <w:color w:val="auto"/>
                <w:sz w:val="21"/>
                <w:szCs w:val="21"/>
                <w:highlight w:val="none"/>
              </w:rPr>
            </w:pPr>
            <w:r>
              <w:rPr>
                <w:b/>
                <w:bCs/>
                <w:color w:val="auto"/>
                <w:sz w:val="21"/>
                <w:szCs w:val="21"/>
                <w:highlight w:val="none"/>
              </w:rPr>
              <w:t>原辅材料一览表</w:t>
            </w:r>
          </w:p>
          <w:tbl>
            <w:tblPr>
              <w:tblStyle w:val="49"/>
              <w:tblW w:w="498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
              <w:gridCol w:w="2183"/>
              <w:gridCol w:w="1237"/>
              <w:gridCol w:w="699"/>
              <w:gridCol w:w="553"/>
              <w:gridCol w:w="642"/>
              <w:gridCol w:w="1315"/>
              <w:gridCol w:w="1182"/>
              <w:gridCol w:w="1030"/>
            </w:tblGrid>
            <w:tr w14:paraId="5CBA3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8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序号</w:t>
                  </w: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1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名称</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03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年用量</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A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最大贮存量</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6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63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形态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F8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型号/规格</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22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使用环节</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5F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rPr>
                    <w:t>贮存位置</w:t>
                  </w:r>
                </w:p>
              </w:tc>
            </w:tr>
            <w:tr w14:paraId="28A2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E4F4">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14E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olor w:val="auto"/>
                      <w:sz w:val="21"/>
                      <w:szCs w:val="21"/>
                      <w:highlight w:val="none"/>
                      <w:lang w:val="en-US" w:eastAsia="zh-CN"/>
                    </w:rPr>
                    <w:t>混合料塑料毛料（含PP/ABS/PE/HPS/PA）</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4EC17">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i w:val="0"/>
                      <w:iCs w:val="0"/>
                      <w:color w:val="auto"/>
                      <w:sz w:val="21"/>
                      <w:szCs w:val="21"/>
                      <w:highlight w:val="none"/>
                      <w:u w:val="none"/>
                      <w:lang w:val="en-US"/>
                    </w:rPr>
                  </w:pPr>
                  <w:r>
                    <w:rPr>
                      <w:rFonts w:hint="eastAsia"/>
                      <w:color w:val="auto"/>
                      <w:sz w:val="21"/>
                      <w:szCs w:val="21"/>
                      <w:highlight w:val="none"/>
                    </w:rPr>
                    <w:t>100366.49</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77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1000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A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2B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固态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1066">
                  <w:pPr>
                    <w:keepNext w:val="0"/>
                    <w:keepLines w:val="0"/>
                    <w:pageBreakBefore w:val="0"/>
                    <w:widowControl/>
                    <w:suppressLineNumbers w:val="0"/>
                    <w:kinsoku/>
                    <w:wordWrap w:val="0"/>
                    <w:overflowPunct/>
                    <w:topLinePunct/>
                    <w:autoSpaceDE/>
                    <w:autoSpaceDN/>
                    <w:bidi w:val="0"/>
                    <w:adjustRightInd/>
                    <w:snapToGrid/>
                    <w:spacing w:before="0" w:beforeAutospacing="0" w:after="0" w:afterAutospacing="0" w:line="276"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混合料</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1D7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破碎清洗</w:t>
                  </w:r>
                  <w:r>
                    <w:rPr>
                      <w:rFonts w:hint="default" w:ascii="Times New Roman" w:hAnsi="Times New Roman" w:eastAsia="宋体" w:cs="Times New Roman"/>
                      <w:i w:val="0"/>
                      <w:iCs w:val="0"/>
                      <w:color w:val="auto"/>
                      <w:kern w:val="0"/>
                      <w:sz w:val="21"/>
                      <w:szCs w:val="21"/>
                      <w:highlight w:val="none"/>
                      <w:u w:val="none"/>
                      <w:lang w:val="en-US" w:eastAsia="zh-CN"/>
                    </w:rPr>
                    <w:t>车间</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7E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物料仓库（</w:t>
                  </w:r>
                  <w:r>
                    <w:rPr>
                      <w:rFonts w:hint="eastAsia" w:cs="Times New Roman"/>
                      <w:i w:val="0"/>
                      <w:iCs w:val="0"/>
                      <w:color w:val="auto"/>
                      <w:kern w:val="0"/>
                      <w:sz w:val="21"/>
                      <w:szCs w:val="21"/>
                      <w:highlight w:val="none"/>
                      <w:u w:val="none"/>
                      <w:lang w:val="en-US" w:eastAsia="zh-CN"/>
                    </w:rPr>
                    <w:t>4</w:t>
                  </w:r>
                  <w:r>
                    <w:rPr>
                      <w:rFonts w:hint="default" w:ascii="Times New Roman" w:hAnsi="Times New Roman" w:eastAsia="宋体" w:cs="Times New Roman"/>
                      <w:i w:val="0"/>
                      <w:iCs w:val="0"/>
                      <w:color w:val="auto"/>
                      <w:kern w:val="0"/>
                      <w:sz w:val="21"/>
                      <w:szCs w:val="21"/>
                      <w:highlight w:val="none"/>
                      <w:u w:val="none"/>
                      <w:lang w:val="en-US" w:eastAsia="zh-CN"/>
                    </w:rPr>
                    <w:t>#厂房）</w:t>
                  </w:r>
                </w:p>
              </w:tc>
            </w:tr>
            <w:tr w14:paraId="2AE94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4EEA">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BB68">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olor w:val="auto"/>
                      <w:sz w:val="21"/>
                      <w:szCs w:val="21"/>
                      <w:highlight w:val="none"/>
                      <w:lang w:val="en-US" w:eastAsia="zh-CN"/>
                    </w:rPr>
                    <w:t>烧碱</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81A7">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i w:val="0"/>
                      <w:iCs w:val="0"/>
                      <w:color w:val="auto"/>
                      <w:sz w:val="21"/>
                      <w:szCs w:val="21"/>
                      <w:highlight w:val="none"/>
                      <w:u w:val="none"/>
                      <w:lang w:val="en-US"/>
                    </w:rPr>
                  </w:pPr>
                  <w:r>
                    <w:rPr>
                      <w:rFonts w:hint="eastAsia"/>
                      <w:color w:val="auto"/>
                      <w:sz w:val="21"/>
                      <w:szCs w:val="21"/>
                      <w:highlight w:val="none"/>
                      <w:lang w:val="en-US" w:eastAsia="zh-CN"/>
                    </w:rPr>
                    <w:t>15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ADD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1.5</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C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35D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固</w:t>
                  </w:r>
                  <w:r>
                    <w:rPr>
                      <w:rFonts w:hint="default" w:ascii="Times New Roman" w:hAnsi="Times New Roman" w:eastAsia="宋体" w:cs="Times New Roman"/>
                      <w:i w:val="0"/>
                      <w:iCs w:val="0"/>
                      <w:color w:val="auto"/>
                      <w:kern w:val="0"/>
                      <w:sz w:val="21"/>
                      <w:szCs w:val="21"/>
                      <w:highlight w:val="none"/>
                      <w:u w:val="none"/>
                      <w:lang w:val="en-US" w:eastAsia="zh-CN"/>
                    </w:rPr>
                    <w:t>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28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50</w:t>
                  </w:r>
                  <w:r>
                    <w:rPr>
                      <w:rFonts w:hint="default" w:ascii="Times New Roman" w:hAnsi="Times New Roman" w:eastAsia="宋体" w:cs="Times New Roman"/>
                      <w:i w:val="0"/>
                      <w:iCs w:val="0"/>
                      <w:color w:val="auto"/>
                      <w:kern w:val="0"/>
                      <w:sz w:val="21"/>
                      <w:szCs w:val="21"/>
                      <w:highlight w:val="none"/>
                      <w:u w:val="none"/>
                      <w:lang w:val="en-US" w:eastAsia="zh-CN"/>
                    </w:rPr>
                    <w:t>kg/</w:t>
                  </w:r>
                  <w:r>
                    <w:rPr>
                      <w:rFonts w:hint="eastAsia" w:cs="Times New Roman"/>
                      <w:i w:val="0"/>
                      <w:iCs w:val="0"/>
                      <w:color w:val="auto"/>
                      <w:kern w:val="0"/>
                      <w:sz w:val="21"/>
                      <w:szCs w:val="21"/>
                      <w:highlight w:val="none"/>
                      <w:u w:val="none"/>
                      <w:lang w:val="en-US" w:eastAsia="zh-CN"/>
                    </w:rPr>
                    <w:t>袋</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09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破碎清洗</w:t>
                  </w:r>
                  <w:r>
                    <w:rPr>
                      <w:rFonts w:hint="default" w:ascii="Times New Roman" w:hAnsi="Times New Roman" w:eastAsia="宋体" w:cs="Times New Roman"/>
                      <w:i w:val="0"/>
                      <w:iCs w:val="0"/>
                      <w:color w:val="auto"/>
                      <w:kern w:val="0"/>
                      <w:sz w:val="21"/>
                      <w:szCs w:val="21"/>
                      <w:highlight w:val="none"/>
                      <w:u w:val="none"/>
                      <w:lang w:val="en-US" w:eastAsia="zh-CN"/>
                    </w:rPr>
                    <w:t>车间</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D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3#厂房</w:t>
                  </w:r>
                </w:p>
              </w:tc>
            </w:tr>
            <w:tr w14:paraId="4A304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2632">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9C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pH调整剂</w:t>
                  </w:r>
                </w:p>
                <w:p w14:paraId="3426DE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（硫酸70%）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5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rPr>
                    <w:t>28</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9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3</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F7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08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液态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0F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25kg/桶</w:t>
                  </w:r>
                </w:p>
              </w:tc>
              <w:tc>
                <w:tcPr>
                  <w:tcW w:w="6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42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自建污水处理站</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4B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自建污水处理站</w:t>
                  </w:r>
                </w:p>
              </w:tc>
            </w:tr>
            <w:tr w14:paraId="3C409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25FB">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5B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PAC</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F6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rPr>
                    <w:t>0.5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E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1</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C3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2E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固态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10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25kg/袋</w:t>
                  </w:r>
                </w:p>
              </w:tc>
              <w:tc>
                <w:tcPr>
                  <w:tcW w:w="6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44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113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170B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375BF">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E2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PAM</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D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02</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A0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0.1</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9F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B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固态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9BC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25kg/袋</w:t>
                  </w:r>
                </w:p>
              </w:tc>
              <w:tc>
                <w:tcPr>
                  <w:tcW w:w="6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15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C0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14C2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D189">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1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机油</w:t>
                  </w:r>
                </w:p>
                <w:p w14:paraId="7A0165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（润滑油）</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9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9</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3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9</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F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450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液态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28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200L/桶</w:t>
                  </w:r>
                </w:p>
              </w:tc>
              <w:tc>
                <w:tcPr>
                  <w:tcW w:w="6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E5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设备运行维护</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6B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rPr>
                    <w:t>3</w:t>
                  </w: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cs="Times New Roman"/>
                      <w:color w:val="auto"/>
                      <w:sz w:val="21"/>
                      <w:szCs w:val="21"/>
                      <w:highlight w:val="none"/>
                      <w:lang w:val="en-US" w:eastAsia="zh-CN"/>
                    </w:rPr>
                    <w:t>厂房</w:t>
                  </w:r>
                  <w:r>
                    <w:rPr>
                      <w:rFonts w:hint="default" w:ascii="Times New Roman" w:hAnsi="Times New Roman" w:cs="Times New Roman"/>
                      <w:i w:val="0"/>
                      <w:iCs w:val="0"/>
                      <w:color w:val="auto"/>
                      <w:kern w:val="0"/>
                      <w:sz w:val="21"/>
                      <w:szCs w:val="21"/>
                      <w:highlight w:val="none"/>
                      <w:u w:val="none"/>
                      <w:lang w:val="en-US" w:eastAsia="zh-CN"/>
                    </w:rPr>
                    <w:t>化学品仓</w:t>
                  </w:r>
                </w:p>
              </w:tc>
            </w:tr>
            <w:tr w14:paraId="69EA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E27F">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eastAsia="宋体" w:cs="Times New Roman"/>
                      <w:i w:val="0"/>
                      <w:iCs w:val="0"/>
                      <w:color w:val="auto"/>
                      <w:sz w:val="21"/>
                      <w:szCs w:val="21"/>
                      <w:highlight w:val="none"/>
                      <w:u w:val="none"/>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3A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rPr>
                    <w:t>柴油</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C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85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7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85</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05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5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液态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DE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200L/桶</w:t>
                  </w:r>
                </w:p>
              </w:tc>
              <w:tc>
                <w:tcPr>
                  <w:tcW w:w="6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D8F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2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177B0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EA0E">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cs="Times New Roman"/>
                      <w:i w:val="0"/>
                      <w:iCs w:val="0"/>
                      <w:color w:val="auto"/>
                      <w:kern w:val="0"/>
                      <w:sz w:val="21"/>
                      <w:szCs w:val="21"/>
                      <w:highlight w:val="none"/>
                      <w:u w:val="none"/>
                      <w:lang w:val="en-US" w:eastAsia="zh-CN"/>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4D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olor w:val="auto"/>
                      <w:sz w:val="21"/>
                      <w:szCs w:val="21"/>
                      <w:highlight w:val="none"/>
                    </w:rPr>
                    <w:t>复合净水剂</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60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0.5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EC3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0.1</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0F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F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固态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70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25kg/袋</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E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自建污水处理站</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069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rPr>
                    <w:t>自建污水处理站</w:t>
                  </w:r>
                </w:p>
              </w:tc>
            </w:tr>
            <w:tr w14:paraId="399F7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8509">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cs="Times New Roman"/>
                      <w:i w:val="0"/>
                      <w:iCs w:val="0"/>
                      <w:color w:val="auto"/>
                      <w:kern w:val="0"/>
                      <w:sz w:val="21"/>
                      <w:szCs w:val="21"/>
                      <w:highlight w:val="none"/>
                      <w:u w:val="none"/>
                      <w:lang w:val="en-US" w:eastAsia="zh-CN"/>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B2E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助剂</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EB04">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7935">
                  <w:pPr>
                    <w:widowControl/>
                    <w:spacing w:line="276" w:lineRule="auto"/>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w:t>
                  </w:r>
                  <w:r>
                    <w:rPr>
                      <w:rFonts w:hint="eastAsia"/>
                      <w:color w:val="auto"/>
                      <w:sz w:val="21"/>
                      <w:szCs w:val="21"/>
                      <w:highlight w:val="none"/>
                    </w:rPr>
                    <w:t>.5</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2164">
                  <w:pPr>
                    <w:widowControl/>
                    <w:spacing w:line="276" w:lineRule="auto"/>
                    <w:jc w:val="center"/>
                    <w:textAlignment w:val="center"/>
                    <w:rPr>
                      <w:rFonts w:hint="eastAsia" w:ascii="Times New Roman" w:hAnsi="Times New Roman" w:eastAsia="宋体" w:cs="Times New Roman"/>
                      <w:color w:val="auto"/>
                      <w:kern w:val="2"/>
                      <w:sz w:val="21"/>
                      <w:szCs w:val="21"/>
                      <w:highlight w:val="none"/>
                      <w:lang w:val="en-US" w:eastAsia="zh-CN" w:bidi="ar-SA"/>
                    </w:rPr>
                  </w:pPr>
                  <w:r>
                    <w:rPr>
                      <w:color w:val="auto"/>
                      <w:kern w:val="0"/>
                      <w:sz w:val="21"/>
                      <w:szCs w:val="21"/>
                      <w:highlight w:val="none"/>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DC259">
                  <w:pPr>
                    <w:widowControl/>
                    <w:spacing w:line="276"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color w:val="auto"/>
                      <w:kern w:val="0"/>
                      <w:sz w:val="21"/>
                      <w:szCs w:val="21"/>
                      <w:highlight w:val="none"/>
                    </w:rPr>
                    <w:t>液态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4421">
                  <w:pPr>
                    <w:widowControl/>
                    <w:spacing w:line="276"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color w:val="auto"/>
                      <w:kern w:val="0"/>
                      <w:sz w:val="21"/>
                      <w:szCs w:val="21"/>
                      <w:highlight w:val="none"/>
                    </w:rPr>
                    <w:t>25kg/桶</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AA6D">
                  <w:pPr>
                    <w:widowControl/>
                    <w:spacing w:line="276"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0"/>
                      <w:sz w:val="21"/>
                      <w:szCs w:val="21"/>
                      <w:highlight w:val="none"/>
                      <w:lang w:val="en-US" w:eastAsia="zh-CN"/>
                    </w:rPr>
                    <w:t>造粒</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D697B">
                  <w:pPr>
                    <w:widowControl/>
                    <w:spacing w:line="276"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4#厂房</w:t>
                  </w:r>
                </w:p>
              </w:tc>
            </w:tr>
            <w:tr w14:paraId="196E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5986">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0" w:firstLineChars="0"/>
                    <w:jc w:val="right"/>
                    <w:textAlignment w:val="center"/>
                    <w:rPr>
                      <w:rFonts w:hint="default" w:ascii="Times New Roman" w:hAnsi="Times New Roman" w:cs="Times New Roman"/>
                      <w:i w:val="0"/>
                      <w:iCs w:val="0"/>
                      <w:color w:val="auto"/>
                      <w:kern w:val="0"/>
                      <w:sz w:val="21"/>
                      <w:szCs w:val="21"/>
                      <w:highlight w:val="none"/>
                      <w:u w:val="none"/>
                      <w:lang w:val="en-US" w:eastAsia="zh-CN"/>
                    </w:rPr>
                  </w:pPr>
                </w:p>
              </w:tc>
              <w:tc>
                <w:tcPr>
                  <w:tcW w:w="1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8C9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色母粒</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AC0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AD80">
                  <w:pPr>
                    <w:widowControl/>
                    <w:spacing w:line="276" w:lineRule="auto"/>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0.1</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EE0D">
                  <w:pPr>
                    <w:widowControl/>
                    <w:spacing w:line="276" w:lineRule="auto"/>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2BFF5">
                  <w:pPr>
                    <w:widowControl/>
                    <w:spacing w:line="276" w:lineRule="auto"/>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固态</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819D">
                  <w:pPr>
                    <w:widowControl/>
                    <w:spacing w:line="276" w:lineRule="auto"/>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25kg/袋</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9892F">
                  <w:pPr>
                    <w:widowControl/>
                    <w:spacing w:line="276" w:lineRule="auto"/>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造粒</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80BE5">
                  <w:pPr>
                    <w:widowControl/>
                    <w:spacing w:line="276"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4#厂房</w:t>
                  </w:r>
                </w:p>
              </w:tc>
            </w:tr>
          </w:tbl>
          <w:p w14:paraId="1B3FA8BE">
            <w:pPr>
              <w:pStyle w:val="21"/>
              <w:numPr>
                <w:ilvl w:val="4"/>
                <w:numId w:val="0"/>
              </w:numPr>
              <w:ind w:firstLine="480" w:firstLineChars="200"/>
              <w:rPr>
                <w:color w:val="auto"/>
                <w:kern w:val="2"/>
                <w:highlight w:val="none"/>
              </w:rPr>
            </w:pPr>
            <w:r>
              <w:rPr>
                <w:color w:val="auto"/>
                <w:kern w:val="2"/>
                <w:highlight w:val="none"/>
              </w:rPr>
              <w:t>（2）部分原辅材料理化性质</w:t>
            </w:r>
          </w:p>
          <w:p w14:paraId="0CAFA5D6">
            <w:pPr>
              <w:pStyle w:val="112"/>
              <w:jc w:val="center"/>
              <w:rPr>
                <w:b/>
                <w:bCs/>
                <w:color w:val="auto"/>
                <w:sz w:val="21"/>
                <w:szCs w:val="21"/>
                <w:highlight w:val="none"/>
              </w:rPr>
            </w:pPr>
            <w:r>
              <w:rPr>
                <w:b/>
                <w:bCs/>
                <w:color w:val="auto"/>
                <w:sz w:val="21"/>
                <w:szCs w:val="21"/>
                <w:highlight w:val="none"/>
              </w:rPr>
              <w:t>原辅材料性质一览表</w:t>
            </w:r>
          </w:p>
          <w:tbl>
            <w:tblPr>
              <w:tblStyle w:val="49"/>
              <w:tblW w:w="9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1376"/>
              <w:gridCol w:w="6436"/>
              <w:gridCol w:w="1044"/>
            </w:tblGrid>
            <w:tr w14:paraId="2518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0" w:type="dxa"/>
                  <w:vAlign w:val="center"/>
                </w:tcPr>
                <w:p w14:paraId="098D7A5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序号</w:t>
                  </w:r>
                </w:p>
              </w:tc>
              <w:tc>
                <w:tcPr>
                  <w:tcW w:w="1376" w:type="dxa"/>
                  <w:vAlign w:val="center"/>
                </w:tcPr>
                <w:p w14:paraId="6E652E2D">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原辅材料</w:t>
                  </w:r>
                </w:p>
                <w:p w14:paraId="56A576CE">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名称</w:t>
                  </w:r>
                </w:p>
              </w:tc>
              <w:tc>
                <w:tcPr>
                  <w:tcW w:w="6436" w:type="dxa"/>
                  <w:vAlign w:val="center"/>
                </w:tcPr>
                <w:p w14:paraId="2132F4B0">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性质</w:t>
                  </w:r>
                </w:p>
              </w:tc>
              <w:tc>
                <w:tcPr>
                  <w:tcW w:w="1044" w:type="dxa"/>
                  <w:vAlign w:val="center"/>
                </w:tcPr>
                <w:p w14:paraId="5702B90D">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是否为危险化学品</w:t>
                  </w:r>
                </w:p>
              </w:tc>
            </w:tr>
            <w:tr w14:paraId="57B8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60" w:type="dxa"/>
                  <w:vAlign w:val="center"/>
                </w:tcPr>
                <w:p w14:paraId="43DF10C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w:t>
                  </w:r>
                </w:p>
              </w:tc>
              <w:tc>
                <w:tcPr>
                  <w:tcW w:w="1376" w:type="dxa"/>
                  <w:vAlign w:val="center"/>
                </w:tcPr>
                <w:p w14:paraId="0A5307F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聚丙烯（PP）</w:t>
                  </w:r>
                </w:p>
              </w:tc>
              <w:tc>
                <w:tcPr>
                  <w:tcW w:w="6436" w:type="dxa"/>
                  <w:vAlign w:val="center"/>
                </w:tcPr>
                <w:p w14:paraId="00B2A45A">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由丙烯聚合而成的高分子化合物，比重：0.9-0.91 g/cm</w:t>
                  </w:r>
                  <w:r>
                    <w:rPr>
                      <w:rFonts w:hint="default" w:ascii="Times New Roman" w:hAnsi="Times New Roman" w:eastAsia="宋体" w:cs="Times New Roman"/>
                      <w:b w:val="0"/>
                      <w:bCs/>
                      <w:color w:val="auto"/>
                      <w:highlight w:val="none"/>
                      <w:vertAlign w:val="superscript"/>
                    </w:rPr>
                    <w:t>3</w:t>
                  </w:r>
                  <w:r>
                    <w:rPr>
                      <w:rFonts w:hint="default" w:ascii="Times New Roman" w:hAnsi="Times New Roman" w:eastAsia="宋体" w:cs="Times New Roman"/>
                      <w:b w:val="0"/>
                      <w:bCs/>
                      <w:color w:val="auto"/>
                      <w:highlight w:val="none"/>
                    </w:rPr>
                    <w:t>，成型收缩率 1.0～2.5%，</w:t>
                  </w:r>
                  <w:r>
                    <w:rPr>
                      <w:rFonts w:hint="default" w:ascii="Times New Roman" w:hAnsi="Times New Roman" w:eastAsia="宋体" w:cs="Times New Roman"/>
                      <w:b w:val="0"/>
                      <w:bCs/>
                      <w:color w:val="auto"/>
                      <w:highlight w:val="none"/>
                      <w:lang w:eastAsia="zh-CN"/>
                    </w:rPr>
                    <w:t>溶解</w:t>
                  </w:r>
                  <w:r>
                    <w:rPr>
                      <w:rFonts w:hint="default" w:ascii="Times New Roman" w:hAnsi="Times New Roman" w:eastAsia="宋体" w:cs="Times New Roman"/>
                      <w:b w:val="0"/>
                      <w:bCs/>
                      <w:color w:val="auto"/>
                      <w:highlight w:val="none"/>
                    </w:rPr>
                    <w:t>温度：160～</w:t>
                  </w:r>
                  <w:r>
                    <w:rPr>
                      <w:rFonts w:hint="default" w:ascii="Times New Roman" w:hAnsi="Times New Roman" w:eastAsia="宋体" w:cs="Times New Roman"/>
                      <w:b w:val="0"/>
                      <w:bCs/>
                      <w:color w:val="auto"/>
                      <w:highlight w:val="none"/>
                      <w:lang w:val="en-US" w:eastAsia="zh-CN"/>
                    </w:rPr>
                    <w:t>175</w:t>
                  </w:r>
                  <w:r>
                    <w:rPr>
                      <w:rFonts w:hint="default" w:ascii="Times New Roman" w:hAnsi="Times New Roman" w:eastAsia="宋体" w:cs="Times New Roman"/>
                      <w:b w:val="0"/>
                      <w:bCs/>
                      <w:color w:val="auto"/>
                      <w:highlight w:val="none"/>
                    </w:rPr>
                    <w:t>℃，加工温度在 200-300℃左右较好，300℃</w:t>
                  </w:r>
                  <w:r>
                    <w:rPr>
                      <w:rFonts w:hint="default" w:ascii="Times New Roman" w:hAnsi="Times New Roman" w:eastAsia="宋体" w:cs="Times New Roman"/>
                      <w:b w:val="0"/>
                      <w:bCs/>
                      <w:color w:val="auto"/>
                      <w:highlight w:val="none"/>
                      <w:lang w:eastAsia="zh-CN"/>
                    </w:rPr>
                    <w:t>以上开始分解，</w:t>
                  </w:r>
                  <w:r>
                    <w:rPr>
                      <w:rFonts w:hint="default" w:ascii="Times New Roman" w:hAnsi="Times New Roman" w:eastAsia="宋体" w:cs="Times New Roman"/>
                      <w:b w:val="0"/>
                      <w:bCs/>
                      <w:color w:val="auto"/>
                      <w:highlight w:val="none"/>
                    </w:rPr>
                    <w:t>有良好的热稳定性（分解温度为310℃）。无嗅、无味。是常用树脂中最轻的一种。机械性能优良。耐热性良好，连续使用温度可达110-120℃。化学稳定性好，除强氧化剂外，与大多数化学药品不发生作用。耐水性特别好。电绝缘性优良。但易老化，低温下冲击强度较差。</w:t>
                  </w:r>
                </w:p>
              </w:tc>
              <w:tc>
                <w:tcPr>
                  <w:tcW w:w="1044" w:type="dxa"/>
                  <w:vAlign w:val="center"/>
                </w:tcPr>
                <w:p w14:paraId="33247421">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ascii="Times New Roman" w:hAnsi="Times New Roman" w:eastAsia="宋体" w:cs="Times New Roman"/>
                      <w:b w:val="0"/>
                      <w:bCs/>
                      <w:color w:val="auto"/>
                      <w:highlight w:val="none"/>
                      <w:lang w:eastAsia="zh-CN"/>
                    </w:rPr>
                  </w:pPr>
                  <w:r>
                    <w:rPr>
                      <w:rFonts w:hint="eastAsia" w:ascii="Times New Roman" w:hAnsi="Times New Roman" w:eastAsia="宋体" w:cs="Times New Roman"/>
                      <w:b w:val="0"/>
                      <w:bCs/>
                      <w:color w:val="auto"/>
                      <w:highlight w:val="none"/>
                      <w:lang w:val="en-US" w:eastAsia="zh-CN"/>
                    </w:rPr>
                    <w:t>否</w:t>
                  </w:r>
                </w:p>
              </w:tc>
            </w:tr>
            <w:tr w14:paraId="3999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60" w:type="dxa"/>
                  <w:vAlign w:val="center"/>
                </w:tcPr>
                <w:p w14:paraId="6E7AE066">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2</w:t>
                  </w:r>
                </w:p>
              </w:tc>
              <w:tc>
                <w:tcPr>
                  <w:tcW w:w="1376" w:type="dxa"/>
                  <w:vAlign w:val="center"/>
                </w:tcPr>
                <w:p w14:paraId="754BA5E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eastAsia="zh-CN"/>
                    </w:rPr>
                    <w:t>聚乙烯（</w:t>
                  </w:r>
                  <w:r>
                    <w:rPr>
                      <w:rFonts w:hint="default" w:ascii="Times New Roman" w:hAnsi="Times New Roman" w:eastAsia="宋体" w:cs="Times New Roman"/>
                      <w:b w:val="0"/>
                      <w:bCs/>
                      <w:color w:val="auto"/>
                      <w:highlight w:val="none"/>
                      <w:lang w:val="en-US" w:eastAsia="zh-CN"/>
                    </w:rPr>
                    <w:t>P</w:t>
                  </w:r>
                  <w:r>
                    <w:rPr>
                      <w:rFonts w:hint="eastAsia" w:eastAsia="宋体" w:cs="Times New Roman"/>
                      <w:b w:val="0"/>
                      <w:bCs/>
                      <w:color w:val="auto"/>
                      <w:highlight w:val="none"/>
                      <w:lang w:val="en-US" w:eastAsia="zh-CN"/>
                    </w:rPr>
                    <w:t>E</w:t>
                  </w:r>
                  <w:r>
                    <w:rPr>
                      <w:rFonts w:hint="default" w:ascii="Times New Roman" w:hAnsi="Times New Roman" w:eastAsia="宋体" w:cs="Times New Roman"/>
                      <w:b w:val="0"/>
                      <w:bCs/>
                      <w:color w:val="auto"/>
                      <w:highlight w:val="none"/>
                      <w:lang w:eastAsia="zh-CN"/>
                    </w:rPr>
                    <w:t>）</w:t>
                  </w:r>
                </w:p>
              </w:tc>
              <w:tc>
                <w:tcPr>
                  <w:tcW w:w="6436" w:type="dxa"/>
                  <w:vAlign w:val="center"/>
                </w:tcPr>
                <w:p w14:paraId="04F8827E">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为乳白色蜡状高分子有机物，密度 0.91～0.965 g/cm³，熔点 105～136℃，熔融指数 190℃/2.16kg 条件下为 0.2～20 g/10min；化学稳定性好，耐酸碱，吸水性极低，易燃，燃烧有石蜡味，热加工废气以烃类为主，无毒无腐蚀性。</w:t>
                  </w:r>
                </w:p>
              </w:tc>
              <w:tc>
                <w:tcPr>
                  <w:tcW w:w="1044" w:type="dxa"/>
                  <w:vAlign w:val="center"/>
                </w:tcPr>
                <w:p w14:paraId="3AE93A2F">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否</w:t>
                  </w:r>
                </w:p>
              </w:tc>
            </w:tr>
            <w:tr w14:paraId="1767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303096DC">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kern w:val="2"/>
                      <w:sz w:val="21"/>
                      <w:szCs w:val="22"/>
                      <w:highlight w:val="none"/>
                      <w:lang w:val="en-US" w:eastAsia="zh-CN" w:bidi="ar-SA"/>
                    </w:rPr>
                  </w:pPr>
                  <w:r>
                    <w:rPr>
                      <w:rFonts w:hint="eastAsia" w:ascii="Times New Roman" w:hAnsi="Times New Roman" w:eastAsia="宋体" w:cs="Times New Roman"/>
                      <w:b w:val="0"/>
                      <w:bCs/>
                      <w:color w:val="auto"/>
                      <w:highlight w:val="none"/>
                      <w:lang w:val="en-US" w:eastAsia="zh-CN"/>
                    </w:rPr>
                    <w:t>3</w:t>
                  </w:r>
                </w:p>
              </w:tc>
              <w:tc>
                <w:tcPr>
                  <w:tcW w:w="1376" w:type="dxa"/>
                  <w:vAlign w:val="center"/>
                </w:tcPr>
                <w:p w14:paraId="2BAAD30A">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聚丙烯腈-丁二烯-苯乙烯共聚物</w:t>
                  </w:r>
                </w:p>
                <w:p w14:paraId="1EAFE335">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eastAsia="zh-CN"/>
                    </w:rPr>
                    <w:t>（</w:t>
                  </w:r>
                  <w:r>
                    <w:rPr>
                      <w:rFonts w:hint="default" w:ascii="Times New Roman" w:hAnsi="Times New Roman" w:eastAsia="宋体" w:cs="Times New Roman"/>
                      <w:b w:val="0"/>
                      <w:bCs/>
                      <w:color w:val="auto"/>
                      <w:highlight w:val="none"/>
                      <w:lang w:val="en-US" w:eastAsia="zh-CN"/>
                    </w:rPr>
                    <w:t>ABS</w:t>
                  </w:r>
                  <w:r>
                    <w:rPr>
                      <w:rFonts w:hint="default" w:ascii="Times New Roman" w:hAnsi="Times New Roman" w:eastAsia="宋体" w:cs="Times New Roman"/>
                      <w:b w:val="0"/>
                      <w:bCs/>
                      <w:color w:val="auto"/>
                      <w:highlight w:val="none"/>
                      <w:lang w:eastAsia="zh-CN"/>
                    </w:rPr>
                    <w:t>）</w:t>
                  </w:r>
                </w:p>
              </w:tc>
              <w:tc>
                <w:tcPr>
                  <w:tcW w:w="6436" w:type="dxa"/>
                  <w:vAlign w:val="center"/>
                </w:tcPr>
                <w:p w14:paraId="33FAFD5C">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shd w:val="clear" w:color="auto" w:fill="auto"/>
                      <w:lang w:val="en-US" w:eastAsia="zh-CN"/>
                    </w:rPr>
                  </w:pPr>
                  <w:r>
                    <w:rPr>
                      <w:rFonts w:hint="default" w:ascii="Times New Roman" w:hAnsi="Times New Roman" w:eastAsia="宋体" w:cs="Times New Roman"/>
                      <w:b w:val="0"/>
                      <w:bCs/>
                      <w:color w:val="auto"/>
                      <w:highlight w:val="none"/>
                      <w:shd w:val="clear" w:color="auto" w:fill="auto"/>
                      <w:lang w:eastAsia="zh-CN"/>
                    </w:rPr>
                    <w:t>由丙烯腈、丁二烯、苯乙烯聚合而成，密度</w:t>
                  </w:r>
                  <w:r>
                    <w:rPr>
                      <w:rFonts w:hint="default" w:ascii="Times New Roman" w:hAnsi="Times New Roman" w:eastAsia="宋体" w:cs="Times New Roman"/>
                      <w:b w:val="0"/>
                      <w:bCs/>
                      <w:color w:val="auto"/>
                      <w:highlight w:val="none"/>
                      <w:shd w:val="clear" w:color="auto" w:fill="auto"/>
                      <w:lang w:val="en-US" w:eastAsia="zh-CN"/>
                    </w:rPr>
                    <w:t>1.1g/cm</w:t>
                  </w:r>
                  <w:r>
                    <w:rPr>
                      <w:rFonts w:hint="default" w:ascii="Times New Roman" w:hAnsi="Times New Roman" w:eastAsia="宋体" w:cs="Times New Roman"/>
                      <w:b w:val="0"/>
                      <w:bCs/>
                      <w:color w:val="auto"/>
                      <w:highlight w:val="none"/>
                      <w:shd w:val="clear" w:color="auto" w:fill="auto"/>
                      <w:vertAlign w:val="superscript"/>
                      <w:lang w:val="en-US" w:eastAsia="zh-CN"/>
                    </w:rPr>
                    <w:t>3</w:t>
                  </w:r>
                  <w:r>
                    <w:rPr>
                      <w:rFonts w:hint="default" w:ascii="Times New Roman" w:hAnsi="Times New Roman" w:eastAsia="宋体" w:cs="Times New Roman"/>
                      <w:b w:val="0"/>
                      <w:bCs/>
                      <w:color w:val="auto"/>
                      <w:highlight w:val="none"/>
                      <w:shd w:val="clear" w:color="auto" w:fill="auto"/>
                      <w:lang w:val="en-US" w:eastAsia="zh-CN"/>
                    </w:rPr>
                    <w:t>，熔融温度217~237℃，热解温度270℃。</w:t>
                  </w:r>
                  <w:r>
                    <w:rPr>
                      <w:rFonts w:hint="default" w:ascii="Times New Roman" w:hAnsi="Times New Roman" w:eastAsia="宋体" w:cs="Times New Roman"/>
                      <w:b w:val="0"/>
                      <w:bCs/>
                      <w:color w:val="auto"/>
                      <w:highlight w:val="none"/>
                      <w:shd w:val="clear" w:color="auto" w:fill="auto"/>
                      <w:lang w:val="en-US" w:eastAsia="zh-CN"/>
                    </w:rPr>
                    <w:fldChar w:fldCharType="begin"/>
                  </w:r>
                  <w:r>
                    <w:rPr>
                      <w:rFonts w:hint="default" w:ascii="Times New Roman" w:hAnsi="Times New Roman" w:eastAsia="宋体" w:cs="Times New Roman"/>
                      <w:b w:val="0"/>
                      <w:bCs/>
                      <w:color w:val="auto"/>
                      <w:highlight w:val="none"/>
                      <w:shd w:val="clear" w:color="auto" w:fill="auto"/>
                      <w:lang w:val="en-US" w:eastAsia="zh-CN"/>
                    </w:rPr>
                    <w:instrText xml:space="preserve"> HYPERLINK "https://baike.baidu.com/item/ABS%E6%A0%91%E8%84%82/4898776?fromModule=lemma_inlink" \t "https://baike.baidu.com/item/ABS%E6%9D%90%E6%96%99/_blank" </w:instrText>
                  </w:r>
                  <w:r>
                    <w:rPr>
                      <w:rFonts w:hint="default" w:ascii="Times New Roman" w:hAnsi="Times New Roman" w:eastAsia="宋体" w:cs="Times New Roman"/>
                      <w:b w:val="0"/>
                      <w:bCs/>
                      <w:color w:val="auto"/>
                      <w:highlight w:val="none"/>
                      <w:shd w:val="clear" w:color="auto" w:fill="auto"/>
                      <w:lang w:val="en-US" w:eastAsia="zh-CN"/>
                    </w:rPr>
                    <w:fldChar w:fldCharType="separate"/>
                  </w:r>
                  <w:r>
                    <w:rPr>
                      <w:rFonts w:hint="default" w:ascii="Times New Roman" w:hAnsi="Times New Roman" w:eastAsia="宋体" w:cs="Times New Roman"/>
                      <w:b w:val="0"/>
                      <w:bCs/>
                      <w:color w:val="auto"/>
                      <w:highlight w:val="none"/>
                      <w:shd w:val="clear" w:color="auto" w:fill="auto"/>
                      <w:lang w:val="en-US" w:eastAsia="zh-CN"/>
                    </w:rPr>
                    <w:t>ABS树脂</w:t>
                  </w:r>
                  <w:r>
                    <w:rPr>
                      <w:rFonts w:hint="default" w:ascii="Times New Roman" w:hAnsi="Times New Roman" w:eastAsia="宋体" w:cs="Times New Roman"/>
                      <w:b w:val="0"/>
                      <w:bCs/>
                      <w:color w:val="auto"/>
                      <w:highlight w:val="none"/>
                      <w:shd w:val="clear" w:color="auto" w:fill="auto"/>
                      <w:lang w:val="en-US" w:eastAsia="zh-CN"/>
                    </w:rPr>
                    <w:fldChar w:fldCharType="end"/>
                  </w:r>
                  <w:r>
                    <w:rPr>
                      <w:rFonts w:hint="default" w:ascii="Times New Roman" w:hAnsi="Times New Roman" w:eastAsia="宋体" w:cs="Times New Roman"/>
                      <w:b w:val="0"/>
                      <w:bCs/>
                      <w:color w:val="auto"/>
                      <w:highlight w:val="none"/>
                      <w:shd w:val="clear" w:color="auto" w:fill="auto"/>
                      <w:lang w:val="en-US" w:eastAsia="zh-CN"/>
                    </w:rPr>
                    <w:t>的最大应用领域是汽车、电子电器，建材及DIY制作领域。</w:t>
                  </w:r>
                  <w:r>
                    <w:rPr>
                      <w:rFonts w:hint="default" w:ascii="Times New Roman" w:hAnsi="Times New Roman" w:eastAsia="宋体" w:cs="Times New Roman"/>
                      <w:b w:val="0"/>
                      <w:bCs/>
                      <w:color w:val="auto"/>
                      <w:highlight w:val="none"/>
                      <w:shd w:val="clear" w:color="auto" w:fill="auto"/>
                      <w:lang w:val="en-US" w:eastAsia="zh-CN"/>
                    </w:rPr>
                    <w:fldChar w:fldCharType="begin"/>
                  </w:r>
                  <w:r>
                    <w:rPr>
                      <w:rFonts w:hint="default" w:ascii="Times New Roman" w:hAnsi="Times New Roman" w:eastAsia="宋体" w:cs="Times New Roman"/>
                      <w:b w:val="0"/>
                      <w:bCs/>
                      <w:color w:val="auto"/>
                      <w:highlight w:val="none"/>
                      <w:shd w:val="clear" w:color="auto" w:fill="auto"/>
                      <w:lang w:val="en-US" w:eastAsia="zh-CN"/>
                    </w:rPr>
                    <w:instrText xml:space="preserve"> HYPERLINK "https://baike.baidu.com/item/ABS%E5%B7%A5%E7%A8%8B%E5%A1%91%E6%96%99/9493120?fromModule=lemma_inlink" \t "https://baike.baidu.com/item/ABS%E6%9D%90%E6%96%99/_blank" </w:instrText>
                  </w:r>
                  <w:r>
                    <w:rPr>
                      <w:rFonts w:hint="default" w:ascii="Times New Roman" w:hAnsi="Times New Roman" w:eastAsia="宋体" w:cs="Times New Roman"/>
                      <w:b w:val="0"/>
                      <w:bCs/>
                      <w:color w:val="auto"/>
                      <w:highlight w:val="none"/>
                      <w:shd w:val="clear" w:color="auto" w:fill="auto"/>
                      <w:lang w:val="en-US" w:eastAsia="zh-CN"/>
                    </w:rPr>
                    <w:fldChar w:fldCharType="separate"/>
                  </w:r>
                  <w:r>
                    <w:rPr>
                      <w:rFonts w:hint="default" w:ascii="Times New Roman" w:hAnsi="Times New Roman" w:eastAsia="宋体" w:cs="Times New Roman"/>
                      <w:b w:val="0"/>
                      <w:bCs/>
                      <w:color w:val="auto"/>
                      <w:highlight w:val="none"/>
                      <w:shd w:val="clear" w:color="auto" w:fill="auto"/>
                      <w:lang w:val="en-US" w:eastAsia="zh-CN"/>
                    </w:rPr>
                    <w:t>ABS工程塑料</w:t>
                  </w:r>
                  <w:r>
                    <w:rPr>
                      <w:rFonts w:hint="default" w:ascii="Times New Roman" w:hAnsi="Times New Roman" w:eastAsia="宋体" w:cs="Times New Roman"/>
                      <w:b w:val="0"/>
                      <w:bCs/>
                      <w:color w:val="auto"/>
                      <w:highlight w:val="none"/>
                      <w:shd w:val="clear" w:color="auto" w:fill="auto"/>
                      <w:lang w:val="en-US" w:eastAsia="zh-CN"/>
                    </w:rPr>
                    <w:fldChar w:fldCharType="end"/>
                  </w:r>
                  <w:r>
                    <w:rPr>
                      <w:rFonts w:hint="default" w:ascii="Times New Roman" w:hAnsi="Times New Roman" w:eastAsia="宋体" w:cs="Times New Roman"/>
                      <w:b w:val="0"/>
                      <w:bCs/>
                      <w:color w:val="auto"/>
                      <w:highlight w:val="none"/>
                      <w:shd w:val="clear" w:color="auto" w:fill="auto"/>
                      <w:lang w:val="en-US" w:eastAsia="zh-CN"/>
                    </w:rPr>
                    <w:t>外观为不透明呈象牙色粒料，其制品可着成五颜六色，并具有高光泽度。ABS吸水率低，ABS同其他材料的结合性好，易于表面印刷、涂层和镀层处理。ABS的氧指数为18~20，属易燃聚合物，火焰呈黄色，有黑烟，并发出特殊的肉桂味。</w:t>
                  </w:r>
                </w:p>
              </w:tc>
              <w:tc>
                <w:tcPr>
                  <w:tcW w:w="1044" w:type="dxa"/>
                  <w:vAlign w:val="center"/>
                </w:tcPr>
                <w:p w14:paraId="0BC0F5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否</w:t>
                  </w:r>
                </w:p>
              </w:tc>
            </w:tr>
            <w:tr w14:paraId="0DE3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3CDCC020">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4</w:t>
                  </w:r>
                </w:p>
              </w:tc>
              <w:tc>
                <w:tcPr>
                  <w:tcW w:w="1376" w:type="dxa"/>
                  <w:vAlign w:val="center"/>
                </w:tcPr>
                <w:p w14:paraId="18B7972E">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eastAsia="zh-CN"/>
                    </w:rPr>
                    <w:t>pH调整剂（硫酸70%）</w:t>
                  </w:r>
                </w:p>
              </w:tc>
              <w:tc>
                <w:tcPr>
                  <w:tcW w:w="6436" w:type="dxa"/>
                  <w:vAlign w:val="center"/>
                </w:tcPr>
                <w:p w14:paraId="0C85A0C5">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eastAsia="zh-CN"/>
                    </w:rPr>
                  </w:pPr>
                  <w:r>
                    <w:rPr>
                      <w:rFonts w:hint="eastAsia" w:ascii="Times New Roman" w:hAnsi="Times New Roman" w:eastAsia="宋体" w:cs="Times New Roman"/>
                      <w:b w:val="0"/>
                      <w:bCs/>
                      <w:color w:val="auto"/>
                      <w:highlight w:val="none"/>
                      <w:lang w:val="en-US" w:eastAsia="zh-CN"/>
                    </w:rPr>
                    <w:t>主要含</w:t>
                  </w:r>
                  <w:r>
                    <w:rPr>
                      <w:rFonts w:hint="default" w:ascii="Times New Roman" w:hAnsi="Times New Roman" w:eastAsia="宋体" w:cs="Times New Roman"/>
                      <w:b w:val="0"/>
                      <w:bCs/>
                      <w:color w:val="auto"/>
                      <w:highlight w:val="none"/>
                      <w:lang w:eastAsia="zh-CN"/>
                    </w:rPr>
                    <w:t>硫酸70%</w:t>
                  </w:r>
                  <w:r>
                    <w:rPr>
                      <w:rFonts w:hint="eastAsia" w:ascii="Times New Roman" w:hAnsi="Times New Roman" w:eastAsia="宋体" w:cs="Times New Roman"/>
                      <w:b w:val="0"/>
                      <w:bCs/>
                      <w:color w:val="auto"/>
                      <w:highlight w:val="none"/>
                      <w:lang w:eastAsia="zh-CN"/>
                    </w:rPr>
                    <w:t>、</w:t>
                  </w:r>
                  <w:r>
                    <w:rPr>
                      <w:rFonts w:hint="default" w:ascii="Times New Roman" w:hAnsi="Times New Roman" w:eastAsia="宋体" w:cs="Times New Roman"/>
                      <w:b w:val="0"/>
                      <w:bCs/>
                      <w:color w:val="auto"/>
                      <w:highlight w:val="none"/>
                      <w:lang w:eastAsia="zh-CN"/>
                    </w:rPr>
                    <w:t>水30%</w:t>
                  </w:r>
                  <w:r>
                    <w:rPr>
                      <w:rFonts w:hint="eastAsia" w:ascii="Times New Roman" w:hAnsi="Times New Roman" w:eastAsia="宋体" w:cs="Times New Roman"/>
                      <w:b w:val="0"/>
                      <w:bCs/>
                      <w:color w:val="auto"/>
                      <w:highlight w:val="none"/>
                      <w:lang w:eastAsia="zh-CN"/>
                    </w:rPr>
                    <w:t>，</w:t>
                  </w:r>
                  <w:r>
                    <w:rPr>
                      <w:rFonts w:hint="default" w:ascii="Times New Roman" w:hAnsi="Times New Roman" w:cs="Times New Roman"/>
                      <w:b w:val="0"/>
                      <w:bCs/>
                      <w:color w:val="auto"/>
                      <w:kern w:val="2"/>
                      <w:highlight w:val="none"/>
                    </w:rPr>
                    <w:t>化学式H</w:t>
                  </w:r>
                  <w:r>
                    <w:rPr>
                      <w:rFonts w:hint="default" w:ascii="Times New Roman" w:hAnsi="Times New Roman" w:cs="Times New Roman"/>
                      <w:b w:val="0"/>
                      <w:bCs/>
                      <w:color w:val="auto"/>
                      <w:kern w:val="2"/>
                      <w:highlight w:val="none"/>
                      <w:vertAlign w:val="subscript"/>
                    </w:rPr>
                    <w:t>2</w:t>
                  </w:r>
                  <w:r>
                    <w:rPr>
                      <w:rFonts w:hint="default" w:ascii="Times New Roman" w:hAnsi="Times New Roman" w:cs="Times New Roman"/>
                      <w:b w:val="0"/>
                      <w:bCs/>
                      <w:color w:val="auto"/>
                      <w:kern w:val="2"/>
                      <w:highlight w:val="none"/>
                    </w:rPr>
                    <w:t>SO</w:t>
                  </w:r>
                  <w:r>
                    <w:rPr>
                      <w:rFonts w:hint="default" w:ascii="Times New Roman" w:hAnsi="Times New Roman" w:cs="Times New Roman"/>
                      <w:b w:val="0"/>
                      <w:bCs/>
                      <w:color w:val="auto"/>
                      <w:kern w:val="2"/>
                      <w:highlight w:val="none"/>
                      <w:vertAlign w:val="subscript"/>
                    </w:rPr>
                    <w:t>4</w:t>
                  </w:r>
                  <w:r>
                    <w:rPr>
                      <w:rFonts w:hint="default" w:ascii="Times New Roman" w:hAnsi="Times New Roman" w:cs="Times New Roman"/>
                      <w:b w:val="0"/>
                      <w:bCs/>
                      <w:color w:val="auto"/>
                      <w:kern w:val="2"/>
                      <w:highlight w:val="none"/>
                    </w:rPr>
                    <w:t>，是一种活泼的二元无机强酸。无水硫酸为无色油状液体，密度为1.84g/cm</w:t>
                  </w:r>
                  <w:r>
                    <w:rPr>
                      <w:rFonts w:hint="default" w:ascii="Times New Roman" w:hAnsi="Times New Roman" w:cs="Times New Roman"/>
                      <w:b w:val="0"/>
                      <w:bCs/>
                      <w:color w:val="auto"/>
                      <w:kern w:val="2"/>
                      <w:highlight w:val="none"/>
                      <w:vertAlign w:val="superscript"/>
                    </w:rPr>
                    <w:t>3</w:t>
                  </w:r>
                  <w:r>
                    <w:rPr>
                      <w:rFonts w:hint="default" w:ascii="Times New Roman" w:hAnsi="Times New Roman" w:cs="Times New Roman"/>
                      <w:b w:val="0"/>
                      <w:bCs/>
                      <w:color w:val="auto"/>
                      <w:kern w:val="2"/>
                      <w:highlight w:val="none"/>
                    </w:rPr>
                    <w:t>，熔点10.4℃，沸点338℃；具有强烈的腐蚀性和氧化性，能和许多金属发生反应，高浓度时有强烈吸水性，可用作脱水剂，碳化含碳水化合物的物质；与水混合时，亦会放出大量热能。</w:t>
                  </w:r>
                </w:p>
              </w:tc>
              <w:tc>
                <w:tcPr>
                  <w:tcW w:w="1044" w:type="dxa"/>
                  <w:vAlign w:val="center"/>
                </w:tcPr>
                <w:p w14:paraId="69DDDCD0">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rPr>
                  </w:pPr>
                  <w:r>
                    <w:rPr>
                      <w:rFonts w:hint="eastAsia" w:ascii="Times New Roman" w:hAnsi="Times New Roman" w:cs="Times New Roman"/>
                      <w:b w:val="0"/>
                      <w:bCs/>
                      <w:color w:val="auto"/>
                      <w:kern w:val="2"/>
                      <w:highlight w:val="none"/>
                      <w:lang w:val="en-US" w:eastAsia="zh-CN"/>
                    </w:rPr>
                    <w:t>是，具有</w:t>
                  </w:r>
                  <w:r>
                    <w:rPr>
                      <w:rFonts w:hint="default" w:ascii="Times New Roman" w:hAnsi="Times New Roman" w:cs="Times New Roman"/>
                      <w:b w:val="0"/>
                      <w:bCs/>
                      <w:color w:val="auto"/>
                      <w:kern w:val="2"/>
                      <w:highlight w:val="none"/>
                    </w:rPr>
                    <w:t>强烈的腐蚀性和氧化性</w:t>
                  </w:r>
                </w:p>
              </w:tc>
            </w:tr>
            <w:tr w14:paraId="198D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2EE07E2B">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5</w:t>
                  </w:r>
                </w:p>
              </w:tc>
              <w:tc>
                <w:tcPr>
                  <w:tcW w:w="1376" w:type="dxa"/>
                  <w:vAlign w:val="center"/>
                </w:tcPr>
                <w:p w14:paraId="1E5948A8">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PAC</w:t>
                  </w:r>
                </w:p>
              </w:tc>
              <w:tc>
                <w:tcPr>
                  <w:tcW w:w="6436" w:type="dxa"/>
                  <w:vAlign w:val="center"/>
                </w:tcPr>
                <w:p w14:paraId="6DC0E2AC">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both"/>
                    <w:rPr>
                      <w:rFonts w:hint="default" w:ascii="Times New Roman" w:hAnsi="Times New Roman" w:eastAsia="宋体" w:cs="Times New Roman"/>
                      <w:b w:val="0"/>
                      <w:bCs/>
                      <w:color w:val="auto"/>
                      <w:kern w:val="2"/>
                      <w:highlight w:val="none"/>
                    </w:rPr>
                  </w:pPr>
                  <w:r>
                    <w:rPr>
                      <w:rFonts w:hint="default" w:ascii="Times New Roman" w:hAnsi="Times New Roman" w:cs="Times New Roman"/>
                      <w:color w:val="auto"/>
                      <w:kern w:val="2"/>
                      <w:highlight w:val="none"/>
                    </w:rPr>
                    <w:t>颜色呈黄色或淡黄色、深褐色、深灰色树脂状固体。该产品有较强的架桥吸附性能，在水解过程中，伴随发生凝聚，吸附和沉淀等物理化学过程。聚合氯化铝与传统无机混凝剂的根本区别在于传统无机混凝剂为低分子结晶盐，而聚合氯化铝的结构由形态多变的多元羧基络合物组成，絮凝沉淀速度快，适用pH值范围宽，对管道设备无腐蚀性，净水效果明显，能有效</w:t>
                  </w:r>
                  <w:r>
                    <w:rPr>
                      <w:rFonts w:hint="default" w:ascii="Times New Roman" w:hAnsi="Times New Roman" w:cs="Times New Roman"/>
                      <w:color w:val="auto"/>
                      <w:kern w:val="2"/>
                      <w:highlight w:val="none"/>
                      <w:lang w:eastAsia="zh-CN"/>
                    </w:rPr>
                    <w:t>去</w:t>
                  </w:r>
                  <w:r>
                    <w:rPr>
                      <w:rFonts w:hint="default" w:ascii="Times New Roman" w:hAnsi="Times New Roman" w:cs="Times New Roman"/>
                      <w:color w:val="auto"/>
                      <w:kern w:val="2"/>
                      <w:highlight w:val="none"/>
                    </w:rPr>
                    <w:t>除水中色质SS、COD、BOD及砷、汞等重金属离子，该产品广泛用于饮用水、工业用水和污水处理领域</w:t>
                  </w:r>
                </w:p>
              </w:tc>
              <w:tc>
                <w:tcPr>
                  <w:tcW w:w="1044" w:type="dxa"/>
                  <w:vAlign w:val="center"/>
                </w:tcPr>
                <w:p w14:paraId="32A47A0C">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否</w:t>
                  </w:r>
                </w:p>
              </w:tc>
            </w:tr>
            <w:tr w14:paraId="7AF9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69F78D06">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6</w:t>
                  </w:r>
                </w:p>
              </w:tc>
              <w:tc>
                <w:tcPr>
                  <w:tcW w:w="1376" w:type="dxa"/>
                  <w:vAlign w:val="center"/>
                </w:tcPr>
                <w:p w14:paraId="66E2A627">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PAM</w:t>
                  </w:r>
                </w:p>
              </w:tc>
              <w:tc>
                <w:tcPr>
                  <w:tcW w:w="6436" w:type="dxa"/>
                  <w:vAlign w:val="center"/>
                </w:tcPr>
                <w:p w14:paraId="58C15C37">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both"/>
                    <w:rPr>
                      <w:rFonts w:hint="default" w:ascii="Times New Roman" w:hAnsi="Times New Roman" w:eastAsia="宋体" w:cs="Times New Roman"/>
                      <w:b w:val="0"/>
                      <w:bCs/>
                      <w:color w:val="auto"/>
                      <w:kern w:val="2"/>
                      <w:highlight w:val="none"/>
                    </w:rPr>
                  </w:pPr>
                  <w:r>
                    <w:rPr>
                      <w:rFonts w:hint="default" w:ascii="Times New Roman" w:hAnsi="Times New Roman" w:cs="Times New Roman"/>
                      <w:color w:val="auto"/>
                      <w:kern w:val="2"/>
                      <w:highlight w:val="none"/>
                    </w:rPr>
                    <w:t>聚丙烯酰胺（PAM）是一种线型高分子聚合物，化学式为</w:t>
                  </w:r>
                  <w:r>
                    <w:rPr>
                      <w:rFonts w:hint="default" w:ascii="Times New Roman" w:hAnsi="Times New Roman" w:cs="Times New Roman"/>
                      <w:color w:val="auto"/>
                      <w:kern w:val="2"/>
                      <w:highlight w:val="none"/>
                      <w:lang w:eastAsia="zh-CN"/>
                    </w:rPr>
                    <w:t>（</w:t>
                  </w:r>
                  <w:r>
                    <w:rPr>
                      <w:rFonts w:hint="default" w:ascii="Times New Roman" w:hAnsi="Times New Roman" w:cs="Times New Roman"/>
                      <w:color w:val="auto"/>
                      <w:kern w:val="2"/>
                      <w:highlight w:val="none"/>
                    </w:rPr>
                    <w:t>C</w:t>
                  </w:r>
                  <w:r>
                    <w:rPr>
                      <w:rFonts w:hint="default" w:ascii="Times New Roman" w:hAnsi="Times New Roman" w:cs="Times New Roman"/>
                      <w:color w:val="auto"/>
                      <w:kern w:val="2"/>
                      <w:highlight w:val="none"/>
                      <w:vertAlign w:val="subscript"/>
                    </w:rPr>
                    <w:t>3</w:t>
                  </w:r>
                  <w:r>
                    <w:rPr>
                      <w:rFonts w:hint="default" w:ascii="Times New Roman" w:hAnsi="Times New Roman" w:cs="Times New Roman"/>
                      <w:color w:val="auto"/>
                      <w:kern w:val="2"/>
                      <w:highlight w:val="none"/>
                    </w:rPr>
                    <w:t>H</w:t>
                  </w:r>
                  <w:r>
                    <w:rPr>
                      <w:rFonts w:hint="default" w:ascii="Times New Roman" w:hAnsi="Times New Roman" w:cs="Times New Roman"/>
                      <w:color w:val="auto"/>
                      <w:kern w:val="2"/>
                      <w:highlight w:val="none"/>
                      <w:vertAlign w:val="subscript"/>
                    </w:rPr>
                    <w:t>5</w:t>
                  </w:r>
                  <w:r>
                    <w:rPr>
                      <w:rFonts w:hint="default" w:ascii="Times New Roman" w:hAnsi="Times New Roman" w:cs="Times New Roman"/>
                      <w:color w:val="auto"/>
                      <w:kern w:val="2"/>
                      <w:highlight w:val="none"/>
                    </w:rPr>
                    <w:t>NO</w:t>
                  </w:r>
                  <w:r>
                    <w:rPr>
                      <w:rFonts w:hint="default" w:ascii="Times New Roman" w:hAnsi="Times New Roman" w:cs="Times New Roman"/>
                      <w:color w:val="auto"/>
                      <w:kern w:val="2"/>
                      <w:highlight w:val="none"/>
                      <w:lang w:eastAsia="zh-CN"/>
                    </w:rPr>
                    <w:t>）</w:t>
                  </w:r>
                  <w:r>
                    <w:rPr>
                      <w:rFonts w:hint="default" w:ascii="Times New Roman" w:hAnsi="Times New Roman" w:cs="Times New Roman"/>
                      <w:color w:val="auto"/>
                      <w:kern w:val="2"/>
                      <w:highlight w:val="none"/>
                    </w:rPr>
                    <w:t>n。在常温下为坚硬的玻璃态固体，产品有胶液、胶乳和白色粉粒、半透明珠粒和薄片等。热稳定性良好。能以任意比例溶于水，水溶液为均匀透明的液体。长期存放后会因聚合物缓慢</w:t>
                  </w:r>
                  <w:r>
                    <w:rPr>
                      <w:rFonts w:hint="default" w:ascii="Times New Roman" w:hAnsi="Times New Roman" w:cs="Times New Roman"/>
                      <w:color w:val="auto"/>
                      <w:kern w:val="2"/>
                      <w:highlight w:val="none"/>
                      <w:lang w:val="en-US" w:eastAsia="zh-CN"/>
                    </w:rPr>
                    <w:t>地</w:t>
                  </w:r>
                  <w:r>
                    <w:rPr>
                      <w:rFonts w:hint="default" w:ascii="Times New Roman" w:hAnsi="Times New Roman" w:cs="Times New Roman"/>
                      <w:color w:val="auto"/>
                      <w:kern w:val="2"/>
                      <w:highlight w:val="none"/>
                    </w:rPr>
                    <w:t>降解而使溶液粘度下降，特别是在贮运条件较差时更为明显。聚丙烯酰胺可作为润滑剂、悬浮剂、粘土稳定剂、驱油剂、降失水剂和增稠剂使用</w:t>
                  </w:r>
                </w:p>
              </w:tc>
              <w:tc>
                <w:tcPr>
                  <w:tcW w:w="1044" w:type="dxa"/>
                  <w:vAlign w:val="center"/>
                </w:tcPr>
                <w:p w14:paraId="4007377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否</w:t>
                  </w:r>
                </w:p>
              </w:tc>
            </w:tr>
            <w:tr w14:paraId="7F2F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1B8191E8">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7</w:t>
                  </w:r>
                </w:p>
              </w:tc>
              <w:tc>
                <w:tcPr>
                  <w:tcW w:w="1376" w:type="dxa"/>
                  <w:vAlign w:val="center"/>
                </w:tcPr>
                <w:p w14:paraId="321F69DE">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烧碱</w:t>
                  </w:r>
                </w:p>
              </w:tc>
              <w:tc>
                <w:tcPr>
                  <w:tcW w:w="6436" w:type="dxa"/>
                  <w:vAlign w:val="center"/>
                </w:tcPr>
                <w:p w14:paraId="77F8526C">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both"/>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物理性质</w:t>
                  </w:r>
                  <w:r>
                    <w:rPr>
                      <w:rFonts w:hint="eastAsia" w:cs="Times New Roman"/>
                      <w:color w:val="auto"/>
                      <w:kern w:val="2"/>
                      <w:highlight w:val="none"/>
                      <w:lang w:eastAsia="zh-CN"/>
                    </w:rPr>
                    <w:t>：</w:t>
                  </w:r>
                  <w:r>
                    <w:rPr>
                      <w:rFonts w:hint="default" w:ascii="Times New Roman" w:hAnsi="Times New Roman" w:cs="Times New Roman"/>
                      <w:color w:val="auto"/>
                      <w:kern w:val="2"/>
                      <w:highlight w:val="none"/>
                    </w:rPr>
                    <w:t>密度：2.130 g/cm³</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熔点：318.4℃(591 K)</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 xml:space="preserve">沸点：1390 ℃ (1663 K) </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 xml:space="preserve">蒸气压：24.5mmHg( 25°C) </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 xml:space="preserve">饱和蒸气压：0.13 Kpa（739℃） </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外观：白色结晶性粉末</w:t>
                  </w:r>
                  <w:r>
                    <w:rPr>
                      <w:rFonts w:hint="eastAsia" w:cs="Times New Roman"/>
                      <w:color w:val="auto"/>
                      <w:kern w:val="2"/>
                      <w:highlight w:val="none"/>
                      <w:lang w:val="en-US" w:eastAsia="zh-CN"/>
                    </w:rPr>
                    <w:t xml:space="preserve"> </w:t>
                  </w:r>
                  <w:r>
                    <w:rPr>
                      <w:rFonts w:hint="default" w:ascii="Times New Roman" w:hAnsi="Times New Roman" w:cs="Times New Roman"/>
                      <w:color w:val="auto"/>
                      <w:kern w:val="2"/>
                      <w:highlight w:val="none"/>
                    </w:rPr>
                    <w:t xml:space="preserve">溶解性：易溶于水、乙醇、甘油，不溶于丙酮、乙醚 </w:t>
                  </w:r>
                </w:p>
                <w:p w14:paraId="52F4FE23">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both"/>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化学性质</w:t>
                  </w:r>
                  <w:r>
                    <w:rPr>
                      <w:rFonts w:hint="eastAsia" w:cs="Times New Roman"/>
                      <w:color w:val="auto"/>
                      <w:kern w:val="2"/>
                      <w:highlight w:val="none"/>
                      <w:lang w:eastAsia="zh-CN"/>
                    </w:rPr>
                    <w:t>：</w:t>
                  </w:r>
                  <w:r>
                    <w:rPr>
                      <w:rFonts w:hint="default" w:ascii="Times New Roman" w:hAnsi="Times New Roman" w:cs="Times New Roman"/>
                      <w:color w:val="auto"/>
                      <w:kern w:val="2"/>
                      <w:highlight w:val="none"/>
                    </w:rPr>
                    <w:t>氢氧化钠对纤维、皮肤、玻璃、陶瓷等有腐蚀作用，溶解或浓溶液稀释时会放出热量；与无机酸发生中和反应也能产生大量热，生成相应的盐类；与金属铝和锌、非金属硼和硅等反应放出氢；与氯、溴、碘等卤素发生歧化反应。能从水溶液中沉淀金属离子成为氢氧化物；能使油脂发生皂化反应，生成相应的有机酸的钠盐和醇，这是去除织物上的油污的原理</w:t>
                  </w:r>
                </w:p>
              </w:tc>
              <w:tc>
                <w:tcPr>
                  <w:tcW w:w="1044" w:type="dxa"/>
                  <w:vAlign w:val="center"/>
                </w:tcPr>
                <w:p w14:paraId="2E469174">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是</w:t>
                  </w:r>
                </w:p>
              </w:tc>
            </w:tr>
            <w:tr w14:paraId="672A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52EE5FD8">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eastAsia="宋体" w:cs="Times New Roman"/>
                      <w:b w:val="0"/>
                      <w:bCs/>
                      <w:color w:val="auto"/>
                      <w:highlight w:val="none"/>
                      <w:lang w:val="en-US" w:eastAsia="zh-CN"/>
                    </w:rPr>
                  </w:pPr>
                  <w:r>
                    <w:rPr>
                      <w:rFonts w:hint="eastAsia" w:eastAsia="宋体" w:cs="Times New Roman"/>
                      <w:b w:val="0"/>
                      <w:bCs/>
                      <w:color w:val="auto"/>
                      <w:highlight w:val="none"/>
                      <w:lang w:val="en-US" w:eastAsia="zh-CN"/>
                    </w:rPr>
                    <w:t>8</w:t>
                  </w:r>
                </w:p>
              </w:tc>
              <w:tc>
                <w:tcPr>
                  <w:tcW w:w="1376" w:type="dxa"/>
                  <w:shd w:val="clear" w:color="auto" w:fill="auto"/>
                  <w:vAlign w:val="center"/>
                </w:tcPr>
                <w:p w14:paraId="009AB7E5">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eastAsia="宋体" w:cs="Times New Roman"/>
                      <w:b w:val="0"/>
                      <w:bCs/>
                      <w:color w:val="auto"/>
                      <w:kern w:val="0"/>
                      <w:sz w:val="21"/>
                      <w:szCs w:val="21"/>
                      <w:highlight w:val="none"/>
                      <w:lang w:val="en-US" w:eastAsia="zh-CN" w:bidi="ar-SA"/>
                    </w:rPr>
                    <w:t>高抗冲聚苯乙烯（HIPS）</w:t>
                  </w:r>
                </w:p>
              </w:tc>
              <w:tc>
                <w:tcPr>
                  <w:tcW w:w="6436" w:type="dxa"/>
                  <w:shd w:val="clear" w:color="auto" w:fill="auto"/>
                  <w:vAlign w:val="center"/>
                </w:tcPr>
                <w:p w14:paraId="3BD01592">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bidi="ar-SA"/>
                    </w:rPr>
                    <w:t>HIPS相对密度为1.04~1.06，热变形温度70~84℃。HIPS的拉伸强度约为15~30MPa，伸长率为35~60%。随温度的降低、应变速率的增加而增加，有点像橡胶增韧体系。HIPS的性质有点像黏弹性固体，当暴露在恒定拉伸应力下会产生蠕变。蠕变随分子量的升高而降低，并通常随橡胶含量的升高而增加。HIPS的蠕变行为强烈依赖于平均分子量(Mw)。弯曲强度为29.4~50 MPa，冲击强度0.09~0.16N/M，维卡软化点84~100℃，熔体指数为2~9g/10min。HIPS部件的耐热性依赖于它们的形状、生产条件、热源类型和加热持续时间，也受HIPS级别的影响。</w:t>
                  </w:r>
                </w:p>
              </w:tc>
              <w:tc>
                <w:tcPr>
                  <w:tcW w:w="1044" w:type="dxa"/>
                  <w:shd w:val="clear" w:color="auto" w:fill="auto"/>
                  <w:vAlign w:val="center"/>
                </w:tcPr>
                <w:p w14:paraId="04E1D61D">
                  <w:pPr>
                    <w:pStyle w:val="97"/>
                    <w:snapToGrid w:val="0"/>
                    <w:spacing w:line="240" w:lineRule="auto"/>
                    <w:rPr>
                      <w:rFonts w:hint="eastAsia" w:ascii="Times New Roman" w:hAnsi="Times New Roman" w:eastAsia="宋体" w:cs="Times New Roman"/>
                      <w:b w:val="0"/>
                      <w:bCs/>
                      <w:color w:val="auto"/>
                      <w:kern w:val="0"/>
                      <w:sz w:val="21"/>
                      <w:szCs w:val="21"/>
                      <w:highlight w:val="none"/>
                      <w:lang w:val="en-US" w:eastAsia="zh-CN" w:bidi="ar-SA"/>
                    </w:rPr>
                  </w:pPr>
                  <w:r>
                    <w:rPr>
                      <w:rFonts w:hint="eastAsia" w:eastAsia="宋体"/>
                      <w:b w:val="0"/>
                      <w:bCs/>
                      <w:color w:val="auto"/>
                      <w:kern w:val="2"/>
                      <w:highlight w:val="none"/>
                      <w:lang w:val="en-US" w:eastAsia="zh-CN"/>
                    </w:rPr>
                    <w:t>否</w:t>
                  </w:r>
                </w:p>
              </w:tc>
            </w:tr>
            <w:tr w14:paraId="3E6C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6D465AFA">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eastAsia="宋体" w:cs="Times New Roman"/>
                      <w:b w:val="0"/>
                      <w:bCs/>
                      <w:color w:val="auto"/>
                      <w:highlight w:val="none"/>
                      <w:lang w:val="en-US" w:eastAsia="zh-CN"/>
                    </w:rPr>
                  </w:pPr>
                  <w:r>
                    <w:rPr>
                      <w:rFonts w:hint="eastAsia" w:eastAsia="宋体" w:cs="Times New Roman"/>
                      <w:b w:val="0"/>
                      <w:bCs/>
                      <w:color w:val="auto"/>
                      <w:highlight w:val="none"/>
                      <w:lang w:val="en-US" w:eastAsia="zh-CN"/>
                    </w:rPr>
                    <w:t>9</w:t>
                  </w:r>
                </w:p>
              </w:tc>
              <w:tc>
                <w:tcPr>
                  <w:tcW w:w="1376" w:type="dxa"/>
                  <w:shd w:val="clear" w:color="auto" w:fill="auto"/>
                  <w:vAlign w:val="center"/>
                </w:tcPr>
                <w:p w14:paraId="0B2CA8F1">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highlight w:val="none"/>
                      <w:lang w:eastAsia="zh-CN"/>
                    </w:rPr>
                    <w:t>增韧剂</w:t>
                  </w:r>
                </w:p>
              </w:tc>
              <w:tc>
                <w:tcPr>
                  <w:tcW w:w="6436" w:type="dxa"/>
                  <w:shd w:val="clear" w:color="auto" w:fill="auto"/>
                  <w:vAlign w:val="center"/>
                </w:tcPr>
                <w:p w14:paraId="3E1A80DB">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新宋体" w:cs="Times New Roman"/>
                      <w:b/>
                      <w:bCs/>
                      <w:color w:val="auto"/>
                      <w:kern w:val="2"/>
                      <w:sz w:val="21"/>
                      <w:szCs w:val="21"/>
                      <w:highlight w:val="none"/>
                      <w:lang w:val="en-US" w:eastAsia="zh-CN" w:bidi="ar-SA"/>
                    </w:rPr>
                  </w:pPr>
                  <w:r>
                    <w:rPr>
                      <w:rFonts w:hint="default" w:ascii="Times New Roman" w:hAnsi="Times New Roman" w:eastAsia="宋体" w:cs="Times New Roman"/>
                      <w:b w:val="0"/>
                      <w:bCs/>
                      <w:color w:val="auto"/>
                      <w:highlight w:val="none"/>
                    </w:rPr>
                    <w:t>增韧剂（toughener）是指能增加胶黏剂膜层柔韧性的物质。某些热固性树脂胶黏剂，如环氧树脂、酚醛树脂和不饱和聚酯树脂胶黏剂固化后伸长率低，脆性较大，当粘接部位承受外力时很容易产生裂纹，并迅速扩展，导致胶层开裂，不耐疲劳，不能作为结构粘接之用。因此，必须设法降低脆性，增大韧性，提高承载强度。凡能减低脆性，增加韧性，而又不影响胶黏剂其他主要性能的物质称为增韧剂。</w:t>
                  </w:r>
                </w:p>
              </w:tc>
              <w:tc>
                <w:tcPr>
                  <w:tcW w:w="1044" w:type="dxa"/>
                  <w:shd w:val="clear" w:color="auto" w:fill="auto"/>
                  <w:vAlign w:val="center"/>
                </w:tcPr>
                <w:p w14:paraId="7101C05F">
                  <w:pPr>
                    <w:pStyle w:val="97"/>
                    <w:snapToGrid w:val="0"/>
                    <w:spacing w:line="240" w:lineRule="auto"/>
                    <w:rPr>
                      <w:rFonts w:hint="eastAsia" w:ascii="Times New Roman" w:hAnsi="Times New Roman" w:eastAsia="宋体" w:cs="Times New Roman"/>
                      <w:b w:val="0"/>
                      <w:bCs/>
                      <w:color w:val="auto"/>
                      <w:kern w:val="0"/>
                      <w:sz w:val="21"/>
                      <w:szCs w:val="21"/>
                      <w:highlight w:val="none"/>
                      <w:lang w:val="en-US" w:eastAsia="zh-CN" w:bidi="ar-SA"/>
                    </w:rPr>
                  </w:pPr>
                  <w:r>
                    <w:rPr>
                      <w:rFonts w:hint="eastAsia" w:eastAsia="宋体"/>
                      <w:b w:val="0"/>
                      <w:bCs/>
                      <w:color w:val="auto"/>
                      <w:highlight w:val="none"/>
                    </w:rPr>
                    <w:t>否</w:t>
                  </w:r>
                </w:p>
              </w:tc>
            </w:tr>
            <w:tr w14:paraId="7386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5F85C6A6">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eastAsia="宋体" w:cs="Times New Roman"/>
                      <w:b w:val="0"/>
                      <w:bCs/>
                      <w:color w:val="auto"/>
                      <w:highlight w:val="none"/>
                      <w:lang w:val="en-US" w:eastAsia="zh-CN"/>
                    </w:rPr>
                  </w:pPr>
                  <w:r>
                    <w:rPr>
                      <w:rFonts w:hint="eastAsia" w:eastAsia="宋体" w:cs="Times New Roman"/>
                      <w:b w:val="0"/>
                      <w:bCs/>
                      <w:color w:val="auto"/>
                      <w:highlight w:val="none"/>
                      <w:lang w:val="en-US" w:eastAsia="zh-CN"/>
                    </w:rPr>
                    <w:t>10</w:t>
                  </w:r>
                </w:p>
              </w:tc>
              <w:tc>
                <w:tcPr>
                  <w:tcW w:w="1376" w:type="dxa"/>
                  <w:shd w:val="clear" w:color="auto" w:fill="auto"/>
                  <w:vAlign w:val="center"/>
                </w:tcPr>
                <w:p w14:paraId="4C375C9A">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highlight w:val="none"/>
                      <w:lang w:eastAsia="zh-CN"/>
                    </w:rPr>
                    <w:t>色母粒</w:t>
                  </w:r>
                </w:p>
              </w:tc>
              <w:tc>
                <w:tcPr>
                  <w:tcW w:w="6436" w:type="dxa"/>
                  <w:shd w:val="clear" w:color="auto" w:fill="auto"/>
                  <w:vAlign w:val="center"/>
                </w:tcPr>
                <w:p w14:paraId="59EFFA6C">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highlight w:val="none"/>
                      <w:lang w:eastAsia="zh-CN"/>
                    </w:rPr>
                    <w:t>是一种新型高分子材料专用着色剂，亦称颜料制备物，</w:t>
                  </w:r>
                  <w:r>
                    <w:rPr>
                      <w:rFonts w:hint="default" w:ascii="Times New Roman" w:hAnsi="Times New Roman" w:eastAsia="宋体" w:cs="Times New Roman"/>
                      <w:b w:val="0"/>
                      <w:bCs/>
                      <w:color w:val="auto"/>
                      <w:highlight w:val="none"/>
                      <w:lang w:val="en-US" w:eastAsia="zh-CN"/>
                    </w:rPr>
                    <w:t>为粒装</w:t>
                  </w:r>
                  <w:r>
                    <w:rPr>
                      <w:rFonts w:hint="default" w:ascii="Times New Roman" w:hAnsi="Times New Roman" w:eastAsia="宋体" w:cs="Times New Roman"/>
                      <w:b w:val="0"/>
                      <w:bCs/>
                      <w:color w:val="auto"/>
                      <w:highlight w:val="none"/>
                      <w:lang w:eastAsia="zh-CN"/>
                    </w:rPr>
                    <w:t>。色母主要用在塑料上，由颜料或燃料、载体和添加剂三种基本要素组成，是把超常量的颜料均匀载附于树脂之中而制得的聚集体，可称颜料浓缩物，所以它的着色力高于颜料本身。加工时用少量色母料和未着色树脂掺混，就可达到设计颜料浓度的着色树脂或制品。</w:t>
                  </w:r>
                </w:p>
              </w:tc>
              <w:tc>
                <w:tcPr>
                  <w:tcW w:w="1044" w:type="dxa"/>
                  <w:shd w:val="clear" w:color="auto" w:fill="auto"/>
                  <w:vAlign w:val="center"/>
                </w:tcPr>
                <w:p w14:paraId="51975138">
                  <w:pPr>
                    <w:pStyle w:val="97"/>
                    <w:snapToGrid w:val="0"/>
                    <w:spacing w:line="240" w:lineRule="auto"/>
                    <w:rPr>
                      <w:rFonts w:hint="eastAsia" w:ascii="Times New Roman" w:hAnsi="Times New Roman" w:eastAsia="宋体" w:cs="Times New Roman"/>
                      <w:b w:val="0"/>
                      <w:bCs/>
                      <w:color w:val="auto"/>
                      <w:kern w:val="0"/>
                      <w:sz w:val="21"/>
                      <w:szCs w:val="21"/>
                      <w:highlight w:val="none"/>
                      <w:lang w:val="en-US" w:eastAsia="zh-CN" w:bidi="ar-SA"/>
                    </w:rPr>
                  </w:pPr>
                  <w:r>
                    <w:rPr>
                      <w:rFonts w:hint="eastAsia" w:eastAsia="宋体"/>
                      <w:b w:val="0"/>
                      <w:bCs/>
                      <w:color w:val="auto"/>
                      <w:highlight w:val="none"/>
                    </w:rPr>
                    <w:t>否</w:t>
                  </w:r>
                </w:p>
              </w:tc>
            </w:tr>
            <w:tr w14:paraId="4FA2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60" w:type="dxa"/>
                  <w:vAlign w:val="center"/>
                </w:tcPr>
                <w:p w14:paraId="70911790">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eastAsia="宋体" w:cs="Times New Roman"/>
                      <w:b w:val="0"/>
                      <w:bCs/>
                      <w:color w:val="auto"/>
                      <w:highlight w:val="none"/>
                      <w:lang w:val="en-US" w:eastAsia="zh-CN"/>
                    </w:rPr>
                  </w:pPr>
                  <w:r>
                    <w:rPr>
                      <w:rFonts w:hint="eastAsia" w:eastAsia="宋体" w:cs="Times New Roman"/>
                      <w:b w:val="0"/>
                      <w:bCs/>
                      <w:color w:val="auto"/>
                      <w:highlight w:val="none"/>
                      <w:lang w:val="en-US" w:eastAsia="zh-CN"/>
                    </w:rPr>
                    <w:t>11</w:t>
                  </w:r>
                </w:p>
              </w:tc>
              <w:tc>
                <w:tcPr>
                  <w:tcW w:w="1376" w:type="dxa"/>
                  <w:shd w:val="clear" w:color="auto" w:fill="auto"/>
                  <w:vAlign w:val="center"/>
                </w:tcPr>
                <w:p w14:paraId="3A3D5D3E">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PA</w:t>
                  </w:r>
                </w:p>
              </w:tc>
              <w:tc>
                <w:tcPr>
                  <w:tcW w:w="6436" w:type="dxa"/>
                  <w:shd w:val="clear" w:color="auto" w:fill="auto"/>
                  <w:vAlign w:val="center"/>
                </w:tcPr>
                <w:p w14:paraId="49C43205">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eastAsia="zh-CN"/>
                    </w:rPr>
                    <w:t>熔点：PA6 约 220-225 ℃，PA66 约 255-265 ℃，结晶度较高的品种熔点更高 。玻璃化转变温度（Tg）：约 45-70 ℃，在 Tg 以上表现出较强的分子链运动性 [8]。热分解温度：300 ℃以上，说明其热稳定性优良[10]。溶解性：PA6溶于甲酸、苯酚、间甲酚、浓硫酸、二甲基甲酰胺等，不溶于乙醇、乙醚、丙酮、醋酸乙酯、烃类；PA66可溶乙酸和酚类化合物</w:t>
                  </w:r>
                </w:p>
              </w:tc>
              <w:tc>
                <w:tcPr>
                  <w:tcW w:w="1044" w:type="dxa"/>
                  <w:shd w:val="clear" w:color="auto" w:fill="auto"/>
                  <w:vAlign w:val="center"/>
                </w:tcPr>
                <w:p w14:paraId="18C5DEA0">
                  <w:pPr>
                    <w:pStyle w:val="97"/>
                    <w:snapToGrid w:val="0"/>
                    <w:spacing w:line="240" w:lineRule="auto"/>
                    <w:rPr>
                      <w:rFonts w:hint="default" w:eastAsia="宋体"/>
                      <w:b w:val="0"/>
                      <w:bCs/>
                      <w:color w:val="auto"/>
                      <w:highlight w:val="none"/>
                      <w:lang w:val="en-US" w:eastAsia="zh-CN"/>
                    </w:rPr>
                  </w:pPr>
                  <w:r>
                    <w:rPr>
                      <w:rFonts w:hint="eastAsia" w:eastAsia="宋体"/>
                      <w:b w:val="0"/>
                      <w:bCs/>
                      <w:color w:val="auto"/>
                      <w:highlight w:val="none"/>
                      <w:lang w:val="en-US" w:eastAsia="zh-CN"/>
                    </w:rPr>
                    <w:t>否</w:t>
                  </w:r>
                </w:p>
              </w:tc>
            </w:tr>
          </w:tbl>
          <w:p w14:paraId="1A47B8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原料来源控制：</w:t>
            </w:r>
          </w:p>
          <w:p w14:paraId="50AA09A2">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1.建立可靠的供应商网络</w:t>
            </w:r>
          </w:p>
          <w:p w14:paraId="7D57342D">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寻找有良好声誉和资质的供应商，他们应能提供稳定的废塑料供应，并具备合法的经营许可和相关证明。</w:t>
            </w:r>
          </w:p>
          <w:p w14:paraId="17F90904">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2.审核供应商的资质和信誉</w:t>
            </w:r>
          </w:p>
          <w:p w14:paraId="44BFFE5A">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要求供应商提供营业执照、环保许可证等相关证件，核实其合法性和合规性。</w:t>
            </w:r>
          </w:p>
          <w:p w14:paraId="04B516F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3.实施质量检测</w:t>
            </w:r>
          </w:p>
          <w:p w14:paraId="4463810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在接收废塑料原料时，进行严格的质量检测。可以采用物理、化学等检测方法，评估废塑料的纯度、成分、污染物含量等指标。</w:t>
            </w:r>
          </w:p>
          <w:p w14:paraId="725D87B1">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建立质量标准和验收程序，不符合标准的原料予以拒收。</w:t>
            </w:r>
          </w:p>
          <w:p w14:paraId="69BAC384">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4. 追溯原料来源</w:t>
            </w:r>
          </w:p>
          <w:p w14:paraId="764B2239">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对于来源不明或可疑的废塑料，要进行进一步的调查和核实。</w:t>
            </w:r>
          </w:p>
          <w:p w14:paraId="0C875E3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5. 加强现场考察</w:t>
            </w:r>
          </w:p>
          <w:p w14:paraId="43138F1B">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定期对供应商的场地进行实地考察，了解其收集、储存和处理废塑料的流程和设施，确保符合环保和质量要求。</w:t>
            </w:r>
          </w:p>
          <w:p w14:paraId="6AD24BF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6. 遵循法律法规</w:t>
            </w:r>
          </w:p>
          <w:p w14:paraId="50856FE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熟悉并严格遵守国家和地区关于废塑料进口、回收和利用的法律法规，确保原料来源合法合规。</w:t>
            </w:r>
          </w:p>
          <w:p w14:paraId="79C50378">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7. 建立信息管理系统</w:t>
            </w:r>
          </w:p>
          <w:p w14:paraId="6ECA4482">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记录废塑料原料的来源、质量检测结果、供应商信息等，以便进行追溯和管理</w:t>
            </w:r>
          </w:p>
          <w:p w14:paraId="03F3C648">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8. 培训与教育</w:t>
            </w:r>
          </w:p>
          <w:p w14:paraId="24205C8F">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对采购人员进行培训，使其了解废塑料市场的动态、质量标准和法律法规，提高采购的专业水平和风险意识。</w:t>
            </w:r>
          </w:p>
          <w:p w14:paraId="2BE323AE">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通过以上措施的综合实施，可以有效地把控废塑料原料的来源，保证废塑料回收利用的质量和合法性。</w:t>
            </w:r>
          </w:p>
          <w:p w14:paraId="4A85CEFA">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生产过程控制：</w:t>
            </w:r>
          </w:p>
          <w:p w14:paraId="2AAAC317">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 原料筛选与分类：对</w:t>
            </w:r>
            <w:r>
              <w:rPr>
                <w:rFonts w:hint="eastAsia" w:cs="Times New Roman"/>
                <w:color w:val="auto"/>
                <w:kern w:val="2"/>
                <w:sz w:val="24"/>
                <w:szCs w:val="24"/>
                <w:highlight w:val="none"/>
                <w:lang w:val="en-US" w:eastAsia="zh-CN" w:bidi="ar-SA"/>
              </w:rPr>
              <w:t>外购</w:t>
            </w:r>
            <w:r>
              <w:rPr>
                <w:rFonts w:hint="default" w:ascii="Times New Roman" w:hAnsi="Times New Roman" w:eastAsia="宋体" w:cs="Times New Roman"/>
                <w:color w:val="auto"/>
                <w:kern w:val="2"/>
                <w:sz w:val="24"/>
                <w:szCs w:val="24"/>
                <w:highlight w:val="none"/>
                <w:lang w:val="en-US" w:eastAsia="zh-CN" w:bidi="ar-SA"/>
              </w:rPr>
              <w:t>的废塑料</w:t>
            </w:r>
            <w:r>
              <w:rPr>
                <w:rFonts w:hint="eastAsia" w:cs="Times New Roman"/>
                <w:color w:val="auto"/>
                <w:kern w:val="2"/>
                <w:sz w:val="24"/>
                <w:szCs w:val="24"/>
                <w:highlight w:val="none"/>
                <w:lang w:val="en-US" w:eastAsia="zh-CN" w:bidi="ar-SA"/>
              </w:rPr>
              <w:t>毛料</w:t>
            </w:r>
            <w:r>
              <w:rPr>
                <w:rFonts w:hint="default" w:ascii="Times New Roman" w:hAnsi="Times New Roman" w:eastAsia="宋体" w:cs="Times New Roman"/>
                <w:color w:val="auto"/>
                <w:kern w:val="2"/>
                <w:sz w:val="24"/>
                <w:szCs w:val="24"/>
                <w:highlight w:val="none"/>
                <w:lang w:val="en-US" w:eastAsia="zh-CN" w:bidi="ar-SA"/>
              </w:rPr>
              <w:t>进</w:t>
            </w:r>
            <w:r>
              <w:rPr>
                <w:rFonts w:hint="eastAsia" w:cs="Times New Roman"/>
                <w:color w:val="auto"/>
                <w:kern w:val="2"/>
                <w:sz w:val="24"/>
                <w:szCs w:val="24"/>
                <w:highlight w:val="none"/>
                <w:lang w:val="en-US" w:eastAsia="zh-CN" w:bidi="ar-SA"/>
              </w:rPr>
              <w:t>一步</w:t>
            </w:r>
            <w:r>
              <w:rPr>
                <w:rFonts w:hint="default" w:ascii="Times New Roman" w:hAnsi="Times New Roman" w:eastAsia="宋体" w:cs="Times New Roman"/>
                <w:color w:val="auto"/>
                <w:kern w:val="2"/>
                <w:sz w:val="24"/>
                <w:szCs w:val="24"/>
                <w:highlight w:val="none"/>
                <w:lang w:val="en-US" w:eastAsia="zh-CN" w:bidi="ar-SA"/>
              </w:rPr>
              <w:t>严格筛选和分类，去除杂质、异物和不适合加工的塑料品种，以保证原料的质量和一致性。</w:t>
            </w:r>
          </w:p>
          <w:p w14:paraId="4FDAAB50">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 xml:space="preserve"> 质量检测：在生产过程中定期进行质量检测，包括塑料的物理性能（如熔点、拉伸强度等）、化学成分等，及时发现和解决质量问题。</w:t>
            </w:r>
          </w:p>
          <w:p w14:paraId="1207B7D2">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 设备维护与校准：定期维护和校准生产设备，确保设备的正常运行和加工精度，减少因设备故障导致的质量波动。</w:t>
            </w:r>
          </w:p>
          <w:p w14:paraId="713CB926">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4. 工艺参数控制：严格控制加工过程中的温度、压力、挤出速度、搅拌速度等工艺参数，以获得稳定的产品质量。</w:t>
            </w:r>
          </w:p>
          <w:p w14:paraId="251CD6F8">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5. 环境保护：确保生产过程中的废气、废水和固体废物得到妥善处理，符合环保法规要求，减少对环境的污染。</w:t>
            </w:r>
          </w:p>
          <w:p w14:paraId="3C1CE860">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6. 人员培训：对操作人员进行培训，使其熟悉生产工艺和质量控制要求，提高操作技能和质量意识。</w:t>
            </w:r>
          </w:p>
          <w:p w14:paraId="1A33B374">
            <w:pPr>
              <w:keepNext w:val="0"/>
              <w:keepLines w:val="0"/>
              <w:widowControl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7. 安全管理：加强安全生产管理，制定并执行安全操作规程，防止事故发生，同时实现可持续和环保的生产。</w:t>
            </w:r>
          </w:p>
          <w:p w14:paraId="1B4F439B">
            <w:pPr>
              <w:pStyle w:val="20"/>
              <w:numPr>
                <w:ilvl w:val="3"/>
                <w:numId w:val="0"/>
              </w:numPr>
              <w:ind w:left="-960" w:firstLine="1440"/>
              <w:rPr>
                <w:color w:val="auto"/>
                <w:highlight w:val="none"/>
              </w:rPr>
            </w:pPr>
            <w:r>
              <w:rPr>
                <w:color w:val="auto"/>
                <w:szCs w:val="24"/>
                <w:highlight w:val="none"/>
              </w:rPr>
              <w:t>4、</w:t>
            </w:r>
            <w:r>
              <w:rPr>
                <w:color w:val="auto"/>
                <w:highlight w:val="none"/>
              </w:rPr>
              <w:t>生产设备</w:t>
            </w:r>
          </w:p>
          <w:p w14:paraId="72B183E8">
            <w:pPr>
              <w:pStyle w:val="26"/>
              <w:ind w:firstLine="480"/>
              <w:rPr>
                <w:color w:val="auto"/>
                <w:highlight w:val="none"/>
              </w:rPr>
            </w:pPr>
            <w:r>
              <w:rPr>
                <w:color w:val="auto"/>
                <w:highlight w:val="none"/>
              </w:rPr>
              <w:t>本项目</w:t>
            </w:r>
            <w:r>
              <w:rPr>
                <w:rFonts w:hint="eastAsia"/>
                <w:color w:val="auto"/>
                <w:highlight w:val="none"/>
                <w:lang w:val="en-US" w:eastAsia="zh-CN"/>
              </w:rPr>
              <w:t>年产破碎塑料</w:t>
            </w:r>
            <w:r>
              <w:rPr>
                <w:rFonts w:hint="eastAsia"/>
                <w:color w:val="auto"/>
                <w:highlight w:val="none"/>
              </w:rPr>
              <w:t>（主要为</w:t>
            </w:r>
            <w:r>
              <w:rPr>
                <w:rFonts w:hint="eastAsia" w:hAnsi="宋体"/>
                <w:color w:val="auto"/>
                <w:highlight w:val="none"/>
              </w:rPr>
              <w:t>PP/PE/ABS</w:t>
            </w:r>
            <w:r>
              <w:rPr>
                <w:rFonts w:hint="eastAsia" w:hAnsi="宋体"/>
                <w:color w:val="auto"/>
                <w:highlight w:val="none"/>
                <w:lang w:val="en-US" w:eastAsia="zh-CN"/>
              </w:rPr>
              <w:t>/HIPS/PA</w:t>
            </w:r>
            <w:r>
              <w:rPr>
                <w:rFonts w:hint="eastAsia"/>
                <w:color w:val="auto"/>
                <w:highlight w:val="none"/>
              </w:rPr>
              <w:t>）</w:t>
            </w:r>
            <w:r>
              <w:rPr>
                <w:rFonts w:hint="eastAsia"/>
                <w:color w:val="auto"/>
                <w:highlight w:val="none"/>
                <w:lang w:val="en-US" w:eastAsia="zh-CN"/>
              </w:rPr>
              <w:t>100000吨（其中约7万吨破碎塑料直接外售，约3万</w:t>
            </w:r>
            <w:r>
              <w:rPr>
                <w:rFonts w:hint="eastAsia"/>
                <w:color w:val="auto"/>
                <w:highlight w:val="none"/>
              </w:rPr>
              <w:t>吨</w:t>
            </w:r>
            <w:r>
              <w:rPr>
                <w:rFonts w:hint="eastAsia"/>
                <w:color w:val="auto"/>
                <w:highlight w:val="none"/>
                <w:lang w:val="en-US" w:eastAsia="zh-CN"/>
              </w:rPr>
              <w:t>进一步加工成塑料颗粒外售）</w:t>
            </w:r>
            <w:r>
              <w:rPr>
                <w:rFonts w:hint="eastAsia"/>
                <w:color w:val="auto"/>
                <w:highlight w:val="none"/>
              </w:rPr>
              <w:t>，年工作时间330天，实行一天3班制，则项目</w:t>
            </w:r>
            <w:r>
              <w:rPr>
                <w:rFonts w:hint="eastAsia"/>
                <w:color w:val="auto"/>
                <w:highlight w:val="none"/>
                <w:lang w:val="en-US" w:eastAsia="zh-CN"/>
              </w:rPr>
              <w:t>破碎清洗分选线</w:t>
            </w:r>
            <w:r>
              <w:rPr>
                <w:rFonts w:hint="eastAsia"/>
                <w:color w:val="auto"/>
                <w:highlight w:val="none"/>
              </w:rPr>
              <w:t>生产能力为</w:t>
            </w:r>
            <w:r>
              <w:rPr>
                <w:rFonts w:hint="eastAsia"/>
                <w:color w:val="auto"/>
                <w:highlight w:val="none"/>
                <w:lang w:val="en-US" w:eastAsia="zh-CN"/>
              </w:rPr>
              <w:t>12.63</w:t>
            </w:r>
            <w:r>
              <w:rPr>
                <w:rFonts w:hint="eastAsia"/>
                <w:color w:val="auto"/>
                <w:highlight w:val="none"/>
              </w:rPr>
              <w:t>t/h</w:t>
            </w:r>
            <w:r>
              <w:rPr>
                <w:rFonts w:hint="eastAsia"/>
                <w:color w:val="auto"/>
                <w:highlight w:val="none"/>
                <w:lang w:eastAsia="zh-CN"/>
              </w:rPr>
              <w:t>，</w:t>
            </w:r>
            <w:r>
              <w:rPr>
                <w:rFonts w:hint="eastAsia"/>
                <w:color w:val="auto"/>
                <w:highlight w:val="none"/>
                <w:lang w:val="en-US" w:eastAsia="zh-CN"/>
              </w:rPr>
              <w:t>造粒线</w:t>
            </w:r>
            <w:r>
              <w:rPr>
                <w:rFonts w:hint="eastAsia"/>
                <w:color w:val="auto"/>
                <w:highlight w:val="none"/>
              </w:rPr>
              <w:t>生产能力为</w:t>
            </w:r>
            <w:r>
              <w:rPr>
                <w:rFonts w:hint="eastAsia"/>
                <w:color w:val="auto"/>
                <w:highlight w:val="none"/>
                <w:lang w:val="en-US" w:eastAsia="zh-CN"/>
              </w:rPr>
              <w:t>3.85</w:t>
            </w:r>
            <w:r>
              <w:rPr>
                <w:rFonts w:hint="eastAsia"/>
                <w:color w:val="auto"/>
                <w:highlight w:val="none"/>
              </w:rPr>
              <w:t>t/h。根据建设单位提供资料，项目购置与产能相匹配的生产设备，</w:t>
            </w:r>
            <w:r>
              <w:rPr>
                <w:color w:val="auto"/>
                <w:highlight w:val="none"/>
              </w:rPr>
              <w:t>生产设备</w:t>
            </w:r>
            <w:r>
              <w:rPr>
                <w:rFonts w:hint="eastAsia"/>
                <w:color w:val="auto"/>
                <w:highlight w:val="none"/>
              </w:rPr>
              <w:t>型号与产能分析详</w:t>
            </w:r>
            <w:r>
              <w:rPr>
                <w:color w:val="auto"/>
                <w:highlight w:val="none"/>
              </w:rPr>
              <w:t>见下表。</w:t>
            </w:r>
          </w:p>
          <w:p w14:paraId="2D2C074E">
            <w:pPr>
              <w:pStyle w:val="112"/>
              <w:jc w:val="center"/>
              <w:rPr>
                <w:b/>
                <w:bCs/>
                <w:color w:val="auto"/>
                <w:sz w:val="21"/>
                <w:szCs w:val="21"/>
                <w:highlight w:val="none"/>
              </w:rPr>
            </w:pPr>
            <w:r>
              <w:rPr>
                <w:b/>
                <w:bCs/>
                <w:color w:val="auto"/>
                <w:sz w:val="21"/>
                <w:szCs w:val="21"/>
                <w:highlight w:val="none"/>
              </w:rPr>
              <w:t>生产设备一览表</w:t>
            </w:r>
          </w:p>
          <w:tbl>
            <w:tblPr>
              <w:tblStyle w:val="49"/>
              <w:tblW w:w="9055" w:type="dxa"/>
              <w:tblInd w:w="0" w:type="dxa"/>
              <w:tblLayout w:type="autofit"/>
              <w:tblCellMar>
                <w:top w:w="0" w:type="dxa"/>
                <w:left w:w="108" w:type="dxa"/>
                <w:bottom w:w="0" w:type="dxa"/>
                <w:right w:w="108" w:type="dxa"/>
              </w:tblCellMar>
            </w:tblPr>
            <w:tblGrid>
              <w:gridCol w:w="570"/>
              <w:gridCol w:w="1014"/>
              <w:gridCol w:w="601"/>
              <w:gridCol w:w="754"/>
              <w:gridCol w:w="895"/>
              <w:gridCol w:w="751"/>
              <w:gridCol w:w="1131"/>
              <w:gridCol w:w="1027"/>
              <w:gridCol w:w="1406"/>
              <w:gridCol w:w="906"/>
            </w:tblGrid>
            <w:tr w14:paraId="659AAFB4">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3EB0">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序号</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2DB9">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设备名称</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7B9">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数量</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3B9B">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规格型号</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9B6A">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生产能力 (t/h)</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DEAE">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总能力 (t/h)</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5D5F">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是否满足</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E2F5">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备注说明</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D675">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用途</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0896">
                  <w:pPr>
                    <w:widowControl/>
                    <w:spacing w:line="240" w:lineRule="atLeast"/>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rPr>
                    <w:t>摆放位置</w:t>
                  </w:r>
                </w:p>
              </w:tc>
            </w:tr>
            <w:tr w14:paraId="5FFF91E9">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E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1</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A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锤破机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E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2台</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B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B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93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A4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12.63</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2A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粗碎，可并联运行</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61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粗糙锤破塑料</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03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4号厂房</w:t>
                  </w:r>
                </w:p>
              </w:tc>
            </w:tr>
            <w:tr w14:paraId="2000ECE9">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1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2</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2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破碎机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D2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6台</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B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0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9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0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12.63</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C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细碎主力设备</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3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精细破碎塑料（其中1台用于干法破碎）</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EA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4号厂房</w:t>
                  </w:r>
                </w:p>
              </w:tc>
            </w:tr>
            <w:tr w14:paraId="291351B8">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1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3</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F1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洗料整套设备</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A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4套</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67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B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F7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4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8.1</w:t>
                  </w:r>
                  <w:r>
                    <w:rPr>
                      <w:rFonts w:hint="default" w:ascii="Times New Roman" w:hAnsi="Times New Roman" w:cs="Times New Roman"/>
                      <w:b w:val="0"/>
                      <w:bCs w:val="0"/>
                      <w:color w:val="auto"/>
                      <w:kern w:val="0"/>
                      <w:sz w:val="21"/>
                      <w:szCs w:val="21"/>
                      <w:highlight w:val="none"/>
                    </w:rPr>
                    <w:t>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1B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含清洗+脱水甩干</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3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清洗塑料，含甩干功能</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E9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4号厂房</w:t>
                  </w:r>
                </w:p>
              </w:tc>
            </w:tr>
            <w:tr w14:paraId="06B1F496">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8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4</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B5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硅胶机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2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12个</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6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BD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8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85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12.63</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F7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单台小，但数量多</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34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分选硅胶杂质</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85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2号厂房</w:t>
                  </w:r>
                </w:p>
              </w:tc>
            </w:tr>
            <w:tr w14:paraId="3738F1A8">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6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5</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BE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静电分选机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03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4套</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F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8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A5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48</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59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both"/>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12.63</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09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分离金属/非金属</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C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分选杂质塑料种类</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0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2号厂房</w:t>
                  </w:r>
                </w:p>
              </w:tc>
            </w:tr>
            <w:tr w14:paraId="7E5C58B8">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B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6</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A1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材质分选机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CF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2套</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F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A1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eastAsia" w:cs="Times New Roman"/>
                      <w:i w:val="0"/>
                      <w:iCs w:val="0"/>
                      <w:color w:val="auto"/>
                      <w:kern w:val="0"/>
                      <w:sz w:val="21"/>
                      <w:szCs w:val="21"/>
                      <w:highlight w:val="none"/>
                      <w:u w:val="none"/>
                      <w:lang w:val="en-US" w:eastAsia="zh-CN"/>
                    </w:rPr>
                    <w:t>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3A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rPr>
                    <w:t>16</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87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12.63</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15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B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分选塑料种类</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0D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2号厂房</w:t>
                  </w:r>
                </w:p>
              </w:tc>
            </w:tr>
            <w:tr w14:paraId="1A25C59D">
              <w:tblPrEx>
                <w:tblCellMar>
                  <w:top w:w="0" w:type="dxa"/>
                  <w:left w:w="108" w:type="dxa"/>
                  <w:bottom w:w="0" w:type="dxa"/>
                  <w:right w:w="108" w:type="dxa"/>
                </w:tblCellMar>
              </w:tblPrEx>
              <w:trPr>
                <w:trHeight w:val="765"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043B">
                  <w:pPr>
                    <w:widowControl/>
                    <w:spacing w:line="240" w:lineRule="atLeast"/>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kern w:val="0"/>
                      <w:sz w:val="21"/>
                      <w:szCs w:val="21"/>
                      <w:highlight w:val="none"/>
                      <w:lang w:val="en-US" w:eastAsia="zh-CN"/>
                    </w:rPr>
                    <w:t>7</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CE97">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造粒</w:t>
                  </w:r>
                  <w:r>
                    <w:rPr>
                      <w:rFonts w:hint="default" w:ascii="Times New Roman" w:hAnsi="Times New Roman" w:cs="Times New Roman"/>
                      <w:color w:val="auto"/>
                      <w:kern w:val="0"/>
                      <w:sz w:val="21"/>
                      <w:szCs w:val="21"/>
                      <w:highlight w:val="none"/>
                    </w:rPr>
                    <w:t>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F6FE">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w:t>
                  </w:r>
                  <w:r>
                    <w:rPr>
                      <w:rFonts w:hint="default" w:ascii="Times New Roman" w:hAnsi="Times New Roman" w:cs="Times New Roman"/>
                      <w:color w:val="auto"/>
                      <w:kern w:val="0"/>
                      <w:sz w:val="21"/>
                      <w:szCs w:val="21"/>
                      <w:highlight w:val="none"/>
                      <w:lang w:val="en-US" w:eastAsia="zh-CN"/>
                    </w:rPr>
                    <w:t>0</w:t>
                  </w:r>
                  <w:r>
                    <w:rPr>
                      <w:rFonts w:hint="default" w:ascii="Times New Roman" w:hAnsi="Times New Roman" w:cs="Times New Roman"/>
                      <w:color w:val="auto"/>
                      <w:kern w:val="0"/>
                      <w:sz w:val="21"/>
                      <w:szCs w:val="21"/>
                      <w:highlight w:val="none"/>
                    </w:rPr>
                    <w:t>台</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BD7B">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4</w:t>
                  </w:r>
                  <w:r>
                    <w:rPr>
                      <w:rFonts w:hint="default" w:ascii="Times New Roman" w:hAnsi="Times New Roman" w:cs="Times New Roman"/>
                      <w:color w:val="auto"/>
                      <w:kern w:val="0"/>
                      <w:sz w:val="21"/>
                      <w:szCs w:val="21"/>
                      <w:highlight w:val="none"/>
                    </w:rPr>
                    <w:t>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2E9C">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0.42</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0739">
                  <w:pPr>
                    <w:widowControl/>
                    <w:spacing w:line="240" w:lineRule="atLeas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8.4</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D0C1">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b w:val="0"/>
                      <w:bCs w:val="0"/>
                      <w:color w:val="auto"/>
                      <w:kern w:val="0"/>
                      <w:sz w:val="21"/>
                      <w:szCs w:val="21"/>
                      <w:highlight w:val="none"/>
                    </w:rPr>
                    <w:t>≥</w:t>
                  </w:r>
                  <w:r>
                    <w:rPr>
                      <w:rFonts w:hint="eastAsia" w:cs="Times New Roman"/>
                      <w:b w:val="0"/>
                      <w:bCs w:val="0"/>
                      <w:color w:val="auto"/>
                      <w:kern w:val="0"/>
                      <w:sz w:val="21"/>
                      <w:szCs w:val="21"/>
                      <w:highlight w:val="none"/>
                      <w:lang w:val="en-US" w:eastAsia="zh-CN"/>
                    </w:rPr>
                    <w:t>3.85</w:t>
                  </w:r>
                  <w:r>
                    <w:rPr>
                      <w:rFonts w:hint="default" w:ascii="Times New Roman" w:hAnsi="Times New Roman" w:cs="Times New Roman"/>
                      <w:b w:val="0"/>
                      <w:bCs w:val="0"/>
                      <w:color w:val="auto"/>
                      <w:kern w:val="0"/>
                      <w:sz w:val="21"/>
                      <w:szCs w:val="21"/>
                      <w:highlight w:val="none"/>
                    </w:rPr>
                    <w:t xml:space="preserve"> t/h</w:t>
                  </w:r>
                  <w:r>
                    <w:rPr>
                      <w:rFonts w:hint="default" w:ascii="Times New Roman" w:hAnsi="Times New Roman" w:eastAsia="宋体" w:cs="Times New Roman"/>
                      <w:b w:val="0"/>
                      <w:bCs w:val="0"/>
                      <w:i w:val="0"/>
                      <w:iCs w:val="0"/>
                      <w:color w:val="auto"/>
                      <w:kern w:val="0"/>
                      <w:sz w:val="21"/>
                      <w:szCs w:val="21"/>
                      <w:highlight w:val="none"/>
                      <w:u w:val="none"/>
                      <w:lang w:val="en-US" w:eastAsia="zh-CN"/>
                    </w:rPr>
                    <w:t xml:space="preserve"> </w:t>
                  </w:r>
                  <w:r>
                    <w:rPr>
                      <w:rFonts w:hint="default" w:ascii="Times New Roman" w:hAnsi="Times New Roman" w:cs="Times New Roman"/>
                      <w:b w:val="0"/>
                      <w:bCs w:val="0"/>
                      <w:i w:val="0"/>
                      <w:iCs w:val="0"/>
                      <w:color w:val="auto"/>
                      <w:kern w:val="0"/>
                      <w:sz w:val="21"/>
                      <w:szCs w:val="21"/>
                      <w:highlight w:val="none"/>
                      <w:u w:val="none"/>
                      <w:lang w:val="en-US" w:eastAsia="zh-CN"/>
                    </w:rPr>
                    <w:t>，</w:t>
                  </w:r>
                  <w:r>
                    <w:rPr>
                      <w:rFonts w:hint="default" w:ascii="Times New Roman" w:hAnsi="Times New Roman" w:eastAsia="宋体" w:cs="Times New Roman"/>
                      <w:b w:val="0"/>
                      <w:bCs w:val="0"/>
                      <w:i w:val="0"/>
                      <w:iCs w:val="0"/>
                      <w:color w:val="auto"/>
                      <w:kern w:val="0"/>
                      <w:sz w:val="21"/>
                      <w:szCs w:val="21"/>
                      <w:highlight w:val="none"/>
                      <w:u w:val="none"/>
                      <w:lang w:val="en-US" w:eastAsia="zh-CN"/>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A960">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造粒</w:t>
                  </w:r>
                  <w:r>
                    <w:rPr>
                      <w:rFonts w:hint="default" w:ascii="Times New Roman" w:hAnsi="Times New Roman" w:cs="Times New Roman"/>
                      <w:color w:val="auto"/>
                      <w:kern w:val="0"/>
                      <w:sz w:val="21"/>
                      <w:szCs w:val="21"/>
                      <w:highlight w:val="none"/>
                    </w:rPr>
                    <w:t>，可并联运行</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0E74">
                  <w:pPr>
                    <w:widowControl/>
                    <w:spacing w:line="240" w:lineRule="atLeas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造粒</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CD28">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3#</w:t>
                  </w:r>
                  <w:r>
                    <w:rPr>
                      <w:rFonts w:hint="default" w:ascii="Times New Roman" w:hAnsi="Times New Roman" w:cs="Times New Roman"/>
                      <w:color w:val="auto"/>
                      <w:kern w:val="0"/>
                      <w:sz w:val="21"/>
                      <w:szCs w:val="21"/>
                      <w:highlight w:val="none"/>
                    </w:rPr>
                    <w:t>厂房</w:t>
                  </w:r>
                </w:p>
              </w:tc>
            </w:tr>
            <w:tr w14:paraId="522913BD">
              <w:tblPrEx>
                <w:tblCellMar>
                  <w:top w:w="0" w:type="dxa"/>
                  <w:left w:w="108" w:type="dxa"/>
                  <w:bottom w:w="0" w:type="dxa"/>
                  <w:right w:w="108" w:type="dxa"/>
                </w:tblCellMar>
              </w:tblPrEx>
              <w:trPr>
                <w:trHeight w:val="1268"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3A47">
                  <w:pPr>
                    <w:widowControl/>
                    <w:spacing w:line="240" w:lineRule="atLeas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8</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68B4">
                  <w:pPr>
                    <w:widowControl/>
                    <w:spacing w:line="240" w:lineRule="atLeas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冷却塔</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D5BC">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2座</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C770">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58EA">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A9F4">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32</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351C">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D5F9">
                  <w:pPr>
                    <w:widowControl/>
                    <w:spacing w:line="240" w:lineRule="atLeast"/>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kern w:val="0"/>
                      <w:sz w:val="21"/>
                      <w:szCs w:val="21"/>
                      <w:highlight w:val="none"/>
                      <w:lang w:val="en-US" w:eastAsia="zh-CN"/>
                    </w:rPr>
                    <w:t>冷却</w:t>
                  </w:r>
                </w:p>
              </w:tc>
              <w:tc>
                <w:tcPr>
                  <w:tcW w:w="14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C2EC">
                  <w:pPr>
                    <w:widowControl/>
                    <w:spacing w:line="240" w:lineRule="atLeast"/>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循环冷却水塔，废气喷淋塔</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4A46">
                  <w:pPr>
                    <w:widowControl/>
                    <w:spacing w:line="240" w:lineRule="atLeast"/>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rPr>
                    <w:t>3#</w:t>
                  </w:r>
                  <w:r>
                    <w:rPr>
                      <w:rFonts w:hint="default" w:ascii="Times New Roman" w:hAnsi="Times New Roman" w:cs="Times New Roman"/>
                      <w:color w:val="auto"/>
                      <w:kern w:val="0"/>
                      <w:sz w:val="21"/>
                      <w:szCs w:val="21"/>
                      <w:highlight w:val="none"/>
                    </w:rPr>
                    <w:t>厂房</w:t>
                  </w:r>
                </w:p>
              </w:tc>
            </w:tr>
          </w:tbl>
          <w:p w14:paraId="0A8344BF">
            <w:pPr>
              <w:pStyle w:val="69"/>
              <w:ind w:firstLine="420" w:firstLineChars="200"/>
              <w:jc w:val="left"/>
              <w:rPr>
                <w:rFonts w:ascii="Times New Roman"/>
                <w:b/>
                <w:bCs/>
                <w:color w:val="auto"/>
                <w:sz w:val="21"/>
                <w:szCs w:val="21"/>
                <w:highlight w:val="none"/>
              </w:rPr>
            </w:pPr>
            <w:r>
              <w:rPr>
                <w:rFonts w:hint="eastAsia"/>
                <w:color w:val="auto"/>
                <w:highlight w:val="none"/>
              </w:rPr>
              <w:t>本项目为连续生产线，所以制约产能的机器为</w:t>
            </w:r>
            <w:r>
              <w:rPr>
                <w:rFonts w:hint="eastAsia"/>
                <w:color w:val="auto"/>
                <w:highlight w:val="none"/>
                <w:lang w:val="en-US" w:eastAsia="zh-CN"/>
              </w:rPr>
              <w:t>造粒</w:t>
            </w:r>
            <w:r>
              <w:rPr>
                <w:rFonts w:hint="eastAsia"/>
                <w:color w:val="auto"/>
                <w:highlight w:val="none"/>
              </w:rPr>
              <w:t>机。</w:t>
            </w:r>
          </w:p>
          <w:p w14:paraId="0C4119CE">
            <w:pPr>
              <w:pStyle w:val="20"/>
              <w:numPr>
                <w:ilvl w:val="3"/>
                <w:numId w:val="0"/>
              </w:numPr>
              <w:ind w:left="480"/>
              <w:rPr>
                <w:color w:val="auto"/>
                <w:highlight w:val="none"/>
              </w:rPr>
            </w:pPr>
            <w:r>
              <w:rPr>
                <w:color w:val="auto"/>
                <w:sz w:val="21"/>
                <w:szCs w:val="21"/>
                <w:highlight w:val="none"/>
              </w:rPr>
              <w:t>5</w:t>
            </w:r>
            <w:r>
              <w:rPr>
                <w:color w:val="auto"/>
                <w:highlight w:val="none"/>
              </w:rPr>
              <w:t>、劳动定员和工作制度</w:t>
            </w:r>
          </w:p>
          <w:p w14:paraId="5F60DFD1">
            <w:pPr>
              <w:pStyle w:val="123"/>
              <w:adjustRightInd w:val="0"/>
              <w:snapToGrid w:val="0"/>
              <w:spacing w:before="0" w:beforeLines="0"/>
              <w:ind w:firstLine="420"/>
              <w:rPr>
                <w:rFonts w:hint="default" w:eastAsia="宋体"/>
                <w:color w:val="auto"/>
                <w:highlight w:val="none"/>
                <w:lang w:val="en-US" w:eastAsia="zh-CN"/>
              </w:rPr>
            </w:pPr>
            <w:r>
              <w:rPr>
                <w:rFonts w:hint="eastAsia"/>
                <w:color w:val="auto"/>
                <w:highlight w:val="none"/>
                <w:lang w:val="en-US" w:eastAsia="zh-CN"/>
              </w:rPr>
              <w:t>本</w:t>
            </w:r>
            <w:r>
              <w:rPr>
                <w:rFonts w:hint="eastAsia" w:cs="Times New Roman"/>
                <w:color w:val="auto"/>
                <w:szCs w:val="21"/>
                <w:highlight w:val="none"/>
                <w:lang w:val="en-US" w:eastAsia="zh-CN"/>
              </w:rPr>
              <w:t>项目劳动定员100人，在厂内食宿，每天三班制，每班8小时，年工作330天</w:t>
            </w:r>
            <w:r>
              <w:rPr>
                <w:rFonts w:cs="Times New Roman"/>
                <w:color w:val="auto"/>
                <w:szCs w:val="21"/>
                <w:highlight w:val="none"/>
              </w:rPr>
              <w:t>。</w:t>
            </w:r>
          </w:p>
          <w:p w14:paraId="356B6E07">
            <w:pPr>
              <w:pStyle w:val="112"/>
              <w:jc w:val="center"/>
              <w:rPr>
                <w:b/>
                <w:bCs/>
                <w:color w:val="auto"/>
                <w:sz w:val="21"/>
                <w:szCs w:val="21"/>
                <w:highlight w:val="none"/>
              </w:rPr>
            </w:pPr>
            <w:r>
              <w:rPr>
                <w:b/>
                <w:bCs/>
                <w:color w:val="auto"/>
                <w:sz w:val="21"/>
                <w:szCs w:val="21"/>
                <w:highlight w:val="none"/>
              </w:rPr>
              <w:t>劳动定员与工作制度一览表</w:t>
            </w:r>
          </w:p>
          <w:tbl>
            <w:tblPr>
              <w:tblStyle w:val="4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9"/>
              <w:gridCol w:w="3914"/>
              <w:gridCol w:w="1789"/>
              <w:gridCol w:w="1784"/>
            </w:tblGrid>
            <w:tr w14:paraId="60BF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atLeast"/>
                <w:jc w:val="center"/>
              </w:trPr>
              <w:tc>
                <w:tcPr>
                  <w:tcW w:w="964" w:type="pct"/>
                  <w:vAlign w:val="center"/>
                </w:tcPr>
                <w:p w14:paraId="01B668C9">
                  <w:pPr>
                    <w:pStyle w:val="64"/>
                    <w:rPr>
                      <w:b/>
                      <w:bCs/>
                      <w:color w:val="auto"/>
                      <w:kern w:val="2"/>
                      <w:highlight w:val="none"/>
                    </w:rPr>
                  </w:pPr>
                  <w:r>
                    <w:rPr>
                      <w:b/>
                      <w:bCs/>
                      <w:color w:val="auto"/>
                      <w:kern w:val="2"/>
                      <w:highlight w:val="none"/>
                    </w:rPr>
                    <w:t>指标</w:t>
                  </w:r>
                </w:p>
              </w:tc>
              <w:tc>
                <w:tcPr>
                  <w:tcW w:w="2109" w:type="pct"/>
                  <w:vAlign w:val="center"/>
                </w:tcPr>
                <w:p w14:paraId="228A3C73">
                  <w:pPr>
                    <w:pStyle w:val="64"/>
                    <w:rPr>
                      <w:b/>
                      <w:bCs/>
                      <w:color w:val="auto"/>
                      <w:kern w:val="2"/>
                      <w:highlight w:val="none"/>
                    </w:rPr>
                  </w:pPr>
                  <w:r>
                    <w:rPr>
                      <w:b/>
                      <w:bCs/>
                      <w:color w:val="auto"/>
                      <w:kern w:val="2"/>
                      <w:highlight w:val="none"/>
                    </w:rPr>
                    <w:t>内容</w:t>
                  </w:r>
                </w:p>
              </w:tc>
              <w:tc>
                <w:tcPr>
                  <w:tcW w:w="964" w:type="pct"/>
                  <w:vAlign w:val="center"/>
                </w:tcPr>
                <w:p w14:paraId="24BAF144">
                  <w:pPr>
                    <w:pStyle w:val="64"/>
                    <w:rPr>
                      <w:b/>
                      <w:bCs/>
                      <w:color w:val="auto"/>
                      <w:kern w:val="2"/>
                      <w:highlight w:val="none"/>
                    </w:rPr>
                  </w:pPr>
                  <w:r>
                    <w:rPr>
                      <w:b/>
                      <w:bCs/>
                      <w:color w:val="auto"/>
                      <w:kern w:val="2"/>
                      <w:highlight w:val="none"/>
                    </w:rPr>
                    <w:t>指标</w:t>
                  </w:r>
                </w:p>
              </w:tc>
              <w:tc>
                <w:tcPr>
                  <w:tcW w:w="961" w:type="pct"/>
                  <w:vAlign w:val="center"/>
                </w:tcPr>
                <w:p w14:paraId="24CB7E3C">
                  <w:pPr>
                    <w:pStyle w:val="64"/>
                    <w:rPr>
                      <w:b/>
                      <w:bCs/>
                      <w:color w:val="auto"/>
                      <w:kern w:val="2"/>
                      <w:highlight w:val="none"/>
                    </w:rPr>
                  </w:pPr>
                  <w:r>
                    <w:rPr>
                      <w:b/>
                      <w:bCs/>
                      <w:color w:val="auto"/>
                      <w:kern w:val="2"/>
                      <w:highlight w:val="none"/>
                    </w:rPr>
                    <w:t>内容</w:t>
                  </w:r>
                </w:p>
              </w:tc>
            </w:tr>
            <w:tr w14:paraId="06776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964" w:type="pct"/>
                  <w:vAlign w:val="center"/>
                </w:tcPr>
                <w:p w14:paraId="6C9587DE">
                  <w:pPr>
                    <w:pStyle w:val="64"/>
                    <w:rPr>
                      <w:b/>
                      <w:bCs/>
                      <w:color w:val="auto"/>
                      <w:kern w:val="2"/>
                      <w:highlight w:val="none"/>
                    </w:rPr>
                  </w:pPr>
                  <w:r>
                    <w:rPr>
                      <w:b/>
                      <w:bCs/>
                      <w:color w:val="auto"/>
                      <w:kern w:val="2"/>
                      <w:highlight w:val="none"/>
                    </w:rPr>
                    <w:t>劳动定员</w:t>
                  </w:r>
                </w:p>
              </w:tc>
              <w:tc>
                <w:tcPr>
                  <w:tcW w:w="2109" w:type="pct"/>
                  <w:vAlign w:val="center"/>
                </w:tcPr>
                <w:p w14:paraId="773BC9D6">
                  <w:pPr>
                    <w:pStyle w:val="64"/>
                    <w:spacing w:line="360" w:lineRule="auto"/>
                    <w:rPr>
                      <w:color w:val="auto"/>
                      <w:kern w:val="2"/>
                      <w:highlight w:val="none"/>
                    </w:rPr>
                  </w:pPr>
                  <w:r>
                    <w:rPr>
                      <w:rFonts w:hint="eastAsia"/>
                      <w:color w:val="auto"/>
                      <w:kern w:val="2"/>
                      <w:highlight w:val="none"/>
                      <w:lang w:val="en-US" w:eastAsia="zh-CN"/>
                    </w:rPr>
                    <w:t>10</w:t>
                  </w:r>
                  <w:r>
                    <w:rPr>
                      <w:rFonts w:hint="eastAsia"/>
                      <w:color w:val="auto"/>
                      <w:kern w:val="2"/>
                      <w:highlight w:val="none"/>
                    </w:rPr>
                    <w:t>0</w:t>
                  </w:r>
                  <w:r>
                    <w:rPr>
                      <w:color w:val="auto"/>
                      <w:kern w:val="2"/>
                      <w:highlight w:val="none"/>
                    </w:rPr>
                    <w:t>人</w:t>
                  </w:r>
                </w:p>
              </w:tc>
              <w:tc>
                <w:tcPr>
                  <w:tcW w:w="964" w:type="pct"/>
                  <w:vAlign w:val="center"/>
                </w:tcPr>
                <w:p w14:paraId="25738C87">
                  <w:pPr>
                    <w:pStyle w:val="64"/>
                    <w:rPr>
                      <w:b/>
                      <w:bCs/>
                      <w:color w:val="auto"/>
                      <w:kern w:val="2"/>
                      <w:highlight w:val="none"/>
                    </w:rPr>
                  </w:pPr>
                  <w:r>
                    <w:rPr>
                      <w:b/>
                      <w:bCs/>
                      <w:color w:val="auto"/>
                      <w:kern w:val="2"/>
                      <w:highlight w:val="none"/>
                    </w:rPr>
                    <w:t>食宿安排</w:t>
                  </w:r>
                </w:p>
              </w:tc>
              <w:tc>
                <w:tcPr>
                  <w:tcW w:w="961" w:type="pct"/>
                  <w:vAlign w:val="center"/>
                </w:tcPr>
                <w:p w14:paraId="2A64055C">
                  <w:pPr>
                    <w:pStyle w:val="64"/>
                    <w:rPr>
                      <w:color w:val="auto"/>
                      <w:kern w:val="2"/>
                      <w:highlight w:val="none"/>
                    </w:rPr>
                  </w:pPr>
                  <w:r>
                    <w:rPr>
                      <w:color w:val="auto"/>
                      <w:kern w:val="2"/>
                      <w:highlight w:val="none"/>
                    </w:rPr>
                    <w:t>提供</w:t>
                  </w:r>
                  <w:r>
                    <w:rPr>
                      <w:rFonts w:hint="eastAsia"/>
                      <w:color w:val="auto"/>
                      <w:kern w:val="2"/>
                      <w:highlight w:val="none"/>
                    </w:rPr>
                    <w:t>食</w:t>
                  </w:r>
                  <w:r>
                    <w:rPr>
                      <w:color w:val="auto"/>
                      <w:kern w:val="2"/>
                      <w:highlight w:val="none"/>
                    </w:rPr>
                    <w:t>宿</w:t>
                  </w:r>
                </w:p>
              </w:tc>
            </w:tr>
            <w:tr w14:paraId="1ECAE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atLeast"/>
                <w:jc w:val="center"/>
              </w:trPr>
              <w:tc>
                <w:tcPr>
                  <w:tcW w:w="964" w:type="pct"/>
                  <w:vAlign w:val="center"/>
                </w:tcPr>
                <w:p w14:paraId="6593E70D">
                  <w:pPr>
                    <w:pStyle w:val="64"/>
                    <w:rPr>
                      <w:b/>
                      <w:bCs/>
                      <w:color w:val="auto"/>
                      <w:kern w:val="2"/>
                      <w:highlight w:val="none"/>
                    </w:rPr>
                  </w:pPr>
                  <w:r>
                    <w:rPr>
                      <w:b/>
                      <w:bCs/>
                      <w:color w:val="auto"/>
                      <w:kern w:val="2"/>
                      <w:highlight w:val="none"/>
                    </w:rPr>
                    <w:t>工作时间</w:t>
                  </w:r>
                </w:p>
              </w:tc>
              <w:tc>
                <w:tcPr>
                  <w:tcW w:w="2109" w:type="pct"/>
                  <w:vAlign w:val="center"/>
                </w:tcPr>
                <w:p w14:paraId="3E2BC602">
                  <w:pPr>
                    <w:pStyle w:val="64"/>
                    <w:rPr>
                      <w:color w:val="auto"/>
                      <w:kern w:val="2"/>
                      <w:highlight w:val="none"/>
                    </w:rPr>
                  </w:pPr>
                  <w:r>
                    <w:rPr>
                      <w:color w:val="auto"/>
                      <w:kern w:val="2"/>
                      <w:highlight w:val="none"/>
                    </w:rPr>
                    <w:t>每年3</w:t>
                  </w:r>
                  <w:r>
                    <w:rPr>
                      <w:rFonts w:hint="eastAsia"/>
                      <w:color w:val="auto"/>
                      <w:kern w:val="2"/>
                      <w:highlight w:val="none"/>
                    </w:rPr>
                    <w:t>3</w:t>
                  </w:r>
                  <w:r>
                    <w:rPr>
                      <w:color w:val="auto"/>
                      <w:kern w:val="2"/>
                      <w:highlight w:val="none"/>
                    </w:rPr>
                    <w:t>0日，每</w:t>
                  </w:r>
                  <w:r>
                    <w:rPr>
                      <w:rFonts w:hint="eastAsia"/>
                      <w:color w:val="auto"/>
                      <w:kern w:val="2"/>
                      <w:highlight w:val="none"/>
                    </w:rPr>
                    <w:t>班</w:t>
                  </w:r>
                  <w:r>
                    <w:rPr>
                      <w:color w:val="auto"/>
                      <w:kern w:val="2"/>
                      <w:highlight w:val="none"/>
                    </w:rPr>
                    <w:t>8小时</w:t>
                  </w:r>
                </w:p>
              </w:tc>
              <w:tc>
                <w:tcPr>
                  <w:tcW w:w="964" w:type="pct"/>
                  <w:vAlign w:val="center"/>
                </w:tcPr>
                <w:p w14:paraId="669CA37D">
                  <w:pPr>
                    <w:pStyle w:val="64"/>
                    <w:rPr>
                      <w:b/>
                      <w:bCs/>
                      <w:color w:val="auto"/>
                      <w:kern w:val="2"/>
                      <w:highlight w:val="none"/>
                    </w:rPr>
                  </w:pPr>
                  <w:r>
                    <w:rPr>
                      <w:b/>
                      <w:bCs/>
                      <w:color w:val="auto"/>
                      <w:kern w:val="2"/>
                      <w:highlight w:val="none"/>
                    </w:rPr>
                    <w:t>夜间生产</w:t>
                  </w:r>
                </w:p>
              </w:tc>
              <w:tc>
                <w:tcPr>
                  <w:tcW w:w="961" w:type="pct"/>
                  <w:vAlign w:val="center"/>
                </w:tcPr>
                <w:p w14:paraId="2643A262">
                  <w:pPr>
                    <w:pStyle w:val="64"/>
                    <w:rPr>
                      <w:color w:val="auto"/>
                      <w:kern w:val="2"/>
                      <w:highlight w:val="none"/>
                    </w:rPr>
                  </w:pPr>
                  <w:r>
                    <w:rPr>
                      <w:rFonts w:hint="eastAsia"/>
                      <w:color w:val="auto"/>
                      <w:kern w:val="2"/>
                      <w:highlight w:val="none"/>
                    </w:rPr>
                    <w:t>有</w:t>
                  </w:r>
                </w:p>
              </w:tc>
            </w:tr>
            <w:tr w14:paraId="54277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964" w:type="pct"/>
                  <w:vAlign w:val="center"/>
                </w:tcPr>
                <w:p w14:paraId="36330516">
                  <w:pPr>
                    <w:pStyle w:val="64"/>
                    <w:rPr>
                      <w:b/>
                      <w:bCs/>
                      <w:color w:val="auto"/>
                      <w:kern w:val="2"/>
                      <w:highlight w:val="none"/>
                    </w:rPr>
                  </w:pPr>
                  <w:r>
                    <w:rPr>
                      <w:b/>
                      <w:bCs/>
                      <w:color w:val="auto"/>
                      <w:kern w:val="2"/>
                      <w:highlight w:val="none"/>
                    </w:rPr>
                    <w:t>工作班制</w:t>
                  </w:r>
                </w:p>
              </w:tc>
              <w:tc>
                <w:tcPr>
                  <w:tcW w:w="2109" w:type="pct"/>
                  <w:vAlign w:val="center"/>
                </w:tcPr>
                <w:p w14:paraId="3A989189">
                  <w:pPr>
                    <w:pStyle w:val="64"/>
                    <w:rPr>
                      <w:color w:val="auto"/>
                      <w:kern w:val="2"/>
                      <w:highlight w:val="none"/>
                    </w:rPr>
                  </w:pPr>
                  <w:r>
                    <w:rPr>
                      <w:rFonts w:hint="eastAsia"/>
                      <w:color w:val="auto"/>
                      <w:kern w:val="2"/>
                      <w:highlight w:val="none"/>
                    </w:rPr>
                    <w:t>三</w:t>
                  </w:r>
                  <w:r>
                    <w:rPr>
                      <w:color w:val="auto"/>
                      <w:kern w:val="2"/>
                      <w:highlight w:val="none"/>
                    </w:rPr>
                    <w:t>班制</w:t>
                  </w:r>
                </w:p>
              </w:tc>
              <w:tc>
                <w:tcPr>
                  <w:tcW w:w="964" w:type="pct"/>
                  <w:vAlign w:val="center"/>
                </w:tcPr>
                <w:p w14:paraId="507FCA25">
                  <w:pPr>
                    <w:pStyle w:val="64"/>
                    <w:rPr>
                      <w:color w:val="auto"/>
                      <w:kern w:val="2"/>
                      <w:highlight w:val="none"/>
                    </w:rPr>
                  </w:pPr>
                  <w:r>
                    <w:rPr>
                      <w:color w:val="auto"/>
                      <w:kern w:val="2"/>
                      <w:highlight w:val="none"/>
                    </w:rPr>
                    <w:t>/</w:t>
                  </w:r>
                </w:p>
              </w:tc>
              <w:tc>
                <w:tcPr>
                  <w:tcW w:w="961" w:type="pct"/>
                  <w:vAlign w:val="center"/>
                </w:tcPr>
                <w:p w14:paraId="42B443AC">
                  <w:pPr>
                    <w:pStyle w:val="64"/>
                    <w:rPr>
                      <w:color w:val="auto"/>
                      <w:kern w:val="2"/>
                      <w:highlight w:val="none"/>
                    </w:rPr>
                  </w:pPr>
                  <w:r>
                    <w:rPr>
                      <w:color w:val="auto"/>
                      <w:kern w:val="2"/>
                      <w:highlight w:val="none"/>
                    </w:rPr>
                    <w:t>/</w:t>
                  </w:r>
                </w:p>
              </w:tc>
            </w:tr>
          </w:tbl>
          <w:p w14:paraId="2AB23416">
            <w:pPr>
              <w:pStyle w:val="20"/>
              <w:numPr>
                <w:ilvl w:val="3"/>
                <w:numId w:val="0"/>
              </w:numPr>
              <w:ind w:left="480"/>
              <w:rPr>
                <w:color w:val="auto"/>
                <w:highlight w:val="none"/>
              </w:rPr>
            </w:pPr>
            <w:r>
              <w:rPr>
                <w:color w:val="auto"/>
                <w:highlight w:val="none"/>
              </w:rPr>
              <w:t>6、能源和资源消耗</w:t>
            </w:r>
          </w:p>
          <w:p w14:paraId="7E2F915F">
            <w:pPr>
              <w:pStyle w:val="21"/>
              <w:numPr>
                <w:ilvl w:val="4"/>
                <w:numId w:val="0"/>
              </w:numPr>
              <w:ind w:left="-960" w:firstLine="1440"/>
              <w:rPr>
                <w:color w:val="auto"/>
                <w:kern w:val="2"/>
                <w:szCs w:val="32"/>
                <w:highlight w:val="none"/>
              </w:rPr>
            </w:pPr>
            <w:r>
              <w:rPr>
                <w:color w:val="auto"/>
                <w:kern w:val="2"/>
                <w:szCs w:val="32"/>
                <w:highlight w:val="none"/>
              </w:rPr>
              <w:t>（1）供电</w:t>
            </w:r>
          </w:p>
          <w:p w14:paraId="7087289E">
            <w:pPr>
              <w:keepNext w:val="0"/>
              <w:keepLines w:val="0"/>
              <w:suppressLineNumbers w:val="0"/>
              <w:adjustRightInd w:val="0"/>
              <w:spacing w:before="0" w:beforeAutospacing="0" w:after="0" w:afterAutospacing="0"/>
              <w:ind w:left="0" w:right="0" w:firstLine="480" w:firstLineChars="200"/>
              <w:rPr>
                <w:rFonts w:hint="default" w:ascii="Times New Roman" w:hAnsi="Times New Roman" w:cs="Times New Roman"/>
                <w:color w:val="auto"/>
                <w:highlight w:val="none"/>
              </w:rPr>
            </w:pPr>
            <w:r>
              <w:rPr>
                <w:color w:val="auto"/>
                <w:highlight w:val="none"/>
              </w:rPr>
              <w:t>本项目用电由市政供电网提供，年用电量约</w:t>
            </w:r>
            <w:r>
              <w:rPr>
                <w:rFonts w:hint="eastAsia"/>
                <w:color w:val="auto"/>
                <w:highlight w:val="none"/>
                <w:lang w:val="en-US" w:eastAsia="zh-CN"/>
              </w:rPr>
              <w:t>25</w:t>
            </w:r>
            <w:r>
              <w:rPr>
                <w:color w:val="auto"/>
                <w:highlight w:val="none"/>
              </w:rPr>
              <w:t>0万千瓦·时，</w:t>
            </w:r>
            <w:r>
              <w:rPr>
                <w:rFonts w:hint="default" w:ascii="Times New Roman" w:hAnsi="Times New Roman" w:cs="Times New Roman"/>
                <w:color w:val="auto"/>
                <w:highlight w:val="none"/>
              </w:rPr>
              <w:t>设备用发电机</w:t>
            </w:r>
            <w:r>
              <w:rPr>
                <w:rFonts w:hint="eastAsia" w:cs="Times New Roman"/>
                <w:color w:val="auto"/>
                <w:highlight w:val="none"/>
                <w:lang w:val="en-US" w:eastAsia="zh-CN"/>
              </w:rPr>
              <w:t>1台，功率为120kW</w:t>
            </w:r>
            <w:r>
              <w:rPr>
                <w:rFonts w:hint="default" w:ascii="Times New Roman" w:hAnsi="Times New Roman" w:cs="Times New Roman"/>
                <w:color w:val="auto"/>
                <w:highlight w:val="none"/>
              </w:rPr>
              <w:t>。</w:t>
            </w:r>
          </w:p>
          <w:p w14:paraId="4CED2D9E">
            <w:pPr>
              <w:pStyle w:val="21"/>
              <w:numPr>
                <w:ilvl w:val="4"/>
                <w:numId w:val="0"/>
              </w:numPr>
              <w:ind w:left="-960" w:firstLine="1440"/>
              <w:rPr>
                <w:color w:val="auto"/>
                <w:kern w:val="2"/>
                <w:highlight w:val="none"/>
              </w:rPr>
            </w:pPr>
            <w:r>
              <w:rPr>
                <w:color w:val="auto"/>
                <w:kern w:val="2"/>
                <w:highlight w:val="none"/>
              </w:rPr>
              <w:t>（2）给水</w:t>
            </w:r>
          </w:p>
          <w:p w14:paraId="54880D2C">
            <w:pPr>
              <w:adjustRightInd w:val="0"/>
              <w:ind w:firstLine="480" w:firstLineChars="200"/>
              <w:rPr>
                <w:color w:val="auto"/>
                <w:highlight w:val="none"/>
              </w:rPr>
            </w:pPr>
            <w:r>
              <w:rPr>
                <w:color w:val="auto"/>
                <w:highlight w:val="none"/>
              </w:rPr>
              <w:t>本项目营运期用水主要为生活用水和生产用水，废水产生主要为生活污水和生产废水。</w:t>
            </w:r>
          </w:p>
          <w:p w14:paraId="6BA0FDEE">
            <w:pPr>
              <w:pStyle w:val="26"/>
              <w:ind w:firstLine="480"/>
              <w:rPr>
                <w:rFonts w:hint="default" w:eastAsia="宋体"/>
                <w:color w:val="auto"/>
                <w:highlight w:val="none"/>
                <w:lang w:val="en-US" w:eastAsia="zh-CN"/>
              </w:rPr>
            </w:pPr>
            <w:r>
              <w:rPr>
                <w:color w:val="auto"/>
                <w:highlight w:val="none"/>
              </w:rPr>
              <w:t>①生活用水：</w:t>
            </w: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设置</w:t>
            </w:r>
            <w:r>
              <w:rPr>
                <w:rFonts w:hint="default" w:ascii="Times New Roman" w:hAnsi="Times New Roman" w:cs="Times New Roman"/>
                <w:color w:val="auto"/>
                <w:highlight w:val="none"/>
              </w:rPr>
              <w:t>职工宿舍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设</w:t>
            </w:r>
            <w:r>
              <w:rPr>
                <w:rFonts w:hint="eastAsia" w:cs="Times New Roman"/>
                <w:color w:val="auto"/>
                <w:highlight w:val="none"/>
                <w:lang w:val="en-US" w:eastAsia="zh-CN"/>
              </w:rPr>
              <w:t>有</w:t>
            </w:r>
            <w:r>
              <w:rPr>
                <w:rFonts w:hint="default" w:ascii="Times New Roman" w:hAnsi="Times New Roman" w:cs="Times New Roman"/>
                <w:color w:val="auto"/>
                <w:highlight w:val="none"/>
                <w:lang w:val="en-US" w:eastAsia="zh-CN"/>
              </w:rPr>
              <w:t>食堂</w:t>
            </w:r>
            <w:r>
              <w:rPr>
                <w:rFonts w:hint="default" w:ascii="Times New Roman" w:hAnsi="Times New Roman" w:cs="Times New Roman"/>
                <w:color w:val="auto"/>
                <w:highlight w:val="none"/>
              </w:rPr>
              <w:t>，劳动定员</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人，</w:t>
            </w:r>
            <w:r>
              <w:rPr>
                <w:rFonts w:hint="default" w:ascii="Times New Roman" w:hAnsi="Times New Roman" w:eastAsia="宋体" w:cs="Times New Roman"/>
                <w:bCs/>
                <w:color w:val="auto"/>
                <w:kern w:val="2"/>
                <w:sz w:val="24"/>
                <w:szCs w:val="24"/>
                <w:highlight w:val="none"/>
                <w:lang w:val="en-US" w:eastAsia="zh-CN" w:bidi="ar-SA"/>
              </w:rPr>
              <w:t>项目员工生活用水量参考广东省《用水定额第三部分：生活》（DB44/T1461.3-2021），员工参照表A.1中国家机构-国家行政机构-办公楼-</w:t>
            </w:r>
            <w:r>
              <w:rPr>
                <w:rFonts w:hint="eastAsia" w:cs="Times New Roman"/>
                <w:bCs/>
                <w:color w:val="auto"/>
                <w:kern w:val="2"/>
                <w:sz w:val="24"/>
                <w:szCs w:val="24"/>
                <w:highlight w:val="none"/>
                <w:lang w:val="en-US" w:eastAsia="zh-CN" w:bidi="ar-SA"/>
              </w:rPr>
              <w:t>有</w:t>
            </w:r>
            <w:r>
              <w:rPr>
                <w:rFonts w:hint="default" w:ascii="Times New Roman" w:hAnsi="Times New Roman" w:eastAsia="宋体" w:cs="Times New Roman"/>
                <w:bCs/>
                <w:color w:val="auto"/>
                <w:kern w:val="2"/>
                <w:sz w:val="24"/>
                <w:szCs w:val="24"/>
                <w:highlight w:val="none"/>
                <w:lang w:val="en-US" w:eastAsia="zh-CN" w:bidi="ar-SA"/>
              </w:rPr>
              <w:t>食堂和浴室</w:t>
            </w:r>
            <w:r>
              <w:rPr>
                <w:rFonts w:hint="eastAsia" w:eastAsia="宋体" w:cs="Times New Roman"/>
                <w:bCs/>
                <w:color w:val="auto"/>
                <w:kern w:val="2"/>
                <w:sz w:val="24"/>
                <w:szCs w:val="24"/>
                <w:highlight w:val="none"/>
                <w:lang w:val="en-US" w:eastAsia="zh-CN" w:bidi="ar-SA"/>
              </w:rPr>
              <w:t>通用</w:t>
            </w:r>
            <w:r>
              <w:rPr>
                <w:rFonts w:hint="default" w:ascii="Times New Roman" w:hAnsi="Times New Roman" w:eastAsia="宋体" w:cs="Times New Roman"/>
                <w:bCs/>
                <w:color w:val="auto"/>
                <w:kern w:val="2"/>
                <w:sz w:val="24"/>
                <w:szCs w:val="24"/>
                <w:highlight w:val="none"/>
                <w:lang w:val="en-US" w:eastAsia="zh-CN" w:bidi="ar-SA"/>
              </w:rPr>
              <w:t>值定额</w:t>
            </w:r>
            <w:r>
              <w:rPr>
                <w:rFonts w:hint="eastAsia" w:eastAsia="宋体" w:cs="Times New Roman"/>
                <w:bCs/>
                <w:color w:val="auto"/>
                <w:kern w:val="2"/>
                <w:sz w:val="24"/>
                <w:szCs w:val="24"/>
                <w:highlight w:val="none"/>
                <w:lang w:val="en-US" w:eastAsia="zh-CN" w:bidi="ar-SA"/>
              </w:rPr>
              <w:t>38</w:t>
            </w:r>
            <w:r>
              <w:rPr>
                <w:rFonts w:hint="default" w:ascii="Times New Roman" w:hAnsi="Times New Roman" w:eastAsia="宋体" w:cs="Times New Roman"/>
                <w:bCs/>
                <w:color w:val="auto"/>
                <w:kern w:val="2"/>
                <w:sz w:val="24"/>
                <w:szCs w:val="24"/>
                <w:highlight w:val="none"/>
                <w:lang w:val="en-US" w:eastAsia="zh-CN" w:bidi="ar-SA"/>
              </w:rPr>
              <w:t>m</w:t>
            </w:r>
            <w:r>
              <w:rPr>
                <w:rFonts w:hint="default" w:ascii="Times New Roman" w:hAnsi="Times New Roman" w:eastAsia="宋体" w:cs="Times New Roman"/>
                <w:bCs/>
                <w:color w:val="auto"/>
                <w:kern w:val="2"/>
                <w:sz w:val="24"/>
                <w:szCs w:val="24"/>
                <w:highlight w:val="none"/>
                <w:vertAlign w:val="superscript"/>
                <w:lang w:val="en-US" w:eastAsia="zh-CN" w:bidi="ar-SA"/>
              </w:rPr>
              <w:t>3</w:t>
            </w:r>
            <w:r>
              <w:rPr>
                <w:rFonts w:hint="default" w:ascii="Times New Roman" w:hAnsi="Times New Roman" w:eastAsia="宋体" w:cs="Times New Roman"/>
                <w:bCs/>
                <w:color w:val="auto"/>
                <w:kern w:val="2"/>
                <w:sz w:val="24"/>
                <w:szCs w:val="24"/>
                <w:highlight w:val="none"/>
                <w:lang w:val="en-US" w:eastAsia="zh-CN" w:bidi="ar-SA"/>
              </w:rPr>
              <w:t>/（人·a）计算，项目年运行</w:t>
            </w:r>
            <w:r>
              <w:rPr>
                <w:rFonts w:hint="eastAsia" w:eastAsia="宋体" w:cs="Times New Roman"/>
                <w:bCs/>
                <w:color w:val="auto"/>
                <w:kern w:val="2"/>
                <w:sz w:val="24"/>
                <w:szCs w:val="24"/>
                <w:highlight w:val="none"/>
                <w:lang w:val="en-US" w:eastAsia="zh-CN" w:bidi="ar-SA"/>
              </w:rPr>
              <w:t>330</w:t>
            </w:r>
            <w:r>
              <w:rPr>
                <w:rFonts w:hint="default" w:ascii="Times New Roman" w:hAnsi="Times New Roman" w:eastAsia="宋体" w:cs="Times New Roman"/>
                <w:bCs/>
                <w:color w:val="auto"/>
                <w:kern w:val="2"/>
                <w:sz w:val="24"/>
                <w:szCs w:val="24"/>
                <w:highlight w:val="none"/>
                <w:lang w:val="en-US" w:eastAsia="zh-CN" w:bidi="ar-SA"/>
              </w:rPr>
              <w:t>天，</w:t>
            </w:r>
            <w:r>
              <w:rPr>
                <w:rFonts w:hint="default" w:ascii="Times New Roman" w:hAnsi="Times New Roman" w:eastAsia="宋体" w:cs="Times New Roman"/>
                <w:b w:val="0"/>
                <w:bCs/>
                <w:color w:val="auto"/>
                <w:kern w:val="2"/>
                <w:sz w:val="24"/>
                <w:szCs w:val="24"/>
                <w:highlight w:val="none"/>
                <w:u w:val="none"/>
                <w:lang w:val="en-US" w:eastAsia="zh-CN" w:bidi="ar-SA"/>
              </w:rPr>
              <w:t>则项目生活用水总量为</w:t>
            </w:r>
            <w:r>
              <w:rPr>
                <w:rFonts w:hint="eastAsia" w:eastAsia="宋体" w:cs="Times New Roman"/>
                <w:b w:val="0"/>
                <w:bCs/>
                <w:color w:val="auto"/>
                <w:kern w:val="2"/>
                <w:sz w:val="24"/>
                <w:szCs w:val="24"/>
                <w:highlight w:val="none"/>
                <w:u w:val="none"/>
                <w:lang w:val="en-US" w:eastAsia="zh-CN" w:bidi="ar-SA"/>
              </w:rPr>
              <w:t>3800</w:t>
            </w:r>
            <w:r>
              <w:rPr>
                <w:rFonts w:hint="default" w:ascii="Times New Roman" w:hAnsi="Times New Roman" w:eastAsia="宋体" w:cs="Times New Roman"/>
                <w:b w:val="0"/>
                <w:bCs/>
                <w:color w:val="auto"/>
                <w:kern w:val="2"/>
                <w:sz w:val="24"/>
                <w:szCs w:val="24"/>
                <w:highlight w:val="none"/>
                <w:u w:val="none"/>
                <w:lang w:val="en-US" w:eastAsia="zh-CN" w:bidi="ar-SA"/>
              </w:rPr>
              <w:t xml:space="preserve"> m</w:t>
            </w:r>
            <w:r>
              <w:rPr>
                <w:rFonts w:hint="default" w:ascii="Times New Roman" w:hAnsi="Times New Roman" w:eastAsia="宋体" w:cs="Times New Roman"/>
                <w:b w:val="0"/>
                <w:bCs/>
                <w:color w:val="auto"/>
                <w:kern w:val="2"/>
                <w:sz w:val="24"/>
                <w:szCs w:val="24"/>
                <w:highlight w:val="none"/>
                <w:u w:val="none"/>
                <w:vertAlign w:val="superscript"/>
                <w:lang w:val="en-US" w:eastAsia="zh-CN" w:bidi="ar-SA"/>
              </w:rPr>
              <w:t>3</w:t>
            </w:r>
            <w:r>
              <w:rPr>
                <w:rFonts w:hint="default" w:ascii="Times New Roman" w:hAnsi="Times New Roman" w:eastAsia="宋体" w:cs="Times New Roman"/>
                <w:b w:val="0"/>
                <w:bCs/>
                <w:color w:val="auto"/>
                <w:kern w:val="2"/>
                <w:sz w:val="24"/>
                <w:szCs w:val="24"/>
                <w:highlight w:val="none"/>
                <w:u w:val="none"/>
                <w:lang w:val="en-US" w:eastAsia="zh-CN" w:bidi="ar-SA"/>
              </w:rPr>
              <w:t>/a（</w:t>
            </w:r>
            <w:r>
              <w:rPr>
                <w:rFonts w:hint="eastAsia" w:eastAsia="宋体" w:cs="Times New Roman"/>
                <w:b w:val="0"/>
                <w:bCs/>
                <w:color w:val="auto"/>
                <w:kern w:val="2"/>
                <w:sz w:val="24"/>
                <w:szCs w:val="24"/>
                <w:highlight w:val="none"/>
                <w:u w:val="none"/>
                <w:lang w:val="en-US" w:eastAsia="zh-CN" w:bidi="ar-SA"/>
              </w:rPr>
              <w:t>11</w:t>
            </w:r>
            <w:r>
              <w:rPr>
                <w:rFonts w:hint="default" w:ascii="Times New Roman" w:hAnsi="Times New Roman" w:eastAsia="宋体" w:cs="Times New Roman"/>
                <w:b w:val="0"/>
                <w:bCs/>
                <w:color w:val="auto"/>
                <w:kern w:val="2"/>
                <w:sz w:val="24"/>
                <w:szCs w:val="24"/>
                <w:highlight w:val="none"/>
                <w:u w:val="none"/>
                <w:lang w:val="en-US" w:eastAsia="zh-CN" w:bidi="ar-SA"/>
              </w:rPr>
              <w:t>.5</w:t>
            </w:r>
            <w:r>
              <w:rPr>
                <w:rFonts w:hint="eastAsia" w:eastAsia="宋体" w:cs="Times New Roman"/>
                <w:b w:val="0"/>
                <w:bCs/>
                <w:color w:val="auto"/>
                <w:kern w:val="2"/>
                <w:sz w:val="24"/>
                <w:szCs w:val="24"/>
                <w:highlight w:val="none"/>
                <w:u w:val="none"/>
                <w:lang w:val="en-US" w:eastAsia="zh-CN" w:bidi="ar-SA"/>
              </w:rPr>
              <w:t>2</w:t>
            </w:r>
            <w:r>
              <w:rPr>
                <w:rFonts w:hint="default" w:ascii="Times New Roman" w:hAnsi="Times New Roman" w:eastAsia="宋体" w:cs="Times New Roman"/>
                <w:b w:val="0"/>
                <w:bCs/>
                <w:color w:val="auto"/>
                <w:kern w:val="2"/>
                <w:sz w:val="24"/>
                <w:szCs w:val="24"/>
                <w:highlight w:val="none"/>
                <w:u w:val="none"/>
                <w:lang w:val="en-US" w:eastAsia="zh-CN" w:bidi="ar-SA"/>
              </w:rPr>
              <w:t xml:space="preserve"> m</w:t>
            </w:r>
            <w:r>
              <w:rPr>
                <w:rFonts w:hint="default" w:ascii="Times New Roman" w:hAnsi="Times New Roman" w:eastAsia="宋体" w:cs="Times New Roman"/>
                <w:b w:val="0"/>
                <w:bCs/>
                <w:color w:val="auto"/>
                <w:kern w:val="2"/>
                <w:sz w:val="24"/>
                <w:szCs w:val="24"/>
                <w:highlight w:val="none"/>
                <w:u w:val="none"/>
                <w:vertAlign w:val="superscript"/>
                <w:lang w:val="en-US" w:eastAsia="zh-CN" w:bidi="ar-SA"/>
              </w:rPr>
              <w:t>3</w:t>
            </w:r>
            <w:r>
              <w:rPr>
                <w:rFonts w:hint="default" w:ascii="Times New Roman" w:hAnsi="Times New Roman" w:eastAsia="宋体" w:cs="Times New Roman"/>
                <w:b w:val="0"/>
                <w:bCs/>
                <w:color w:val="auto"/>
                <w:kern w:val="2"/>
                <w:sz w:val="24"/>
                <w:szCs w:val="24"/>
                <w:highlight w:val="none"/>
                <w:u w:val="none"/>
                <w:lang w:val="en-US" w:eastAsia="zh-CN" w:bidi="ar-SA"/>
              </w:rPr>
              <w:t>/d）</w:t>
            </w:r>
            <w:r>
              <w:rPr>
                <w:rFonts w:hint="default" w:ascii="Times New Roman" w:hAnsi="Times New Roman" w:eastAsia="宋体" w:cs="Times New Roman"/>
                <w:bCs/>
                <w:color w:val="auto"/>
                <w:kern w:val="2"/>
                <w:sz w:val="24"/>
                <w:szCs w:val="24"/>
                <w:highlight w:val="none"/>
                <w:u w:val="none"/>
                <w:lang w:val="en-US" w:eastAsia="zh-CN" w:bidi="ar-SA"/>
              </w:rPr>
              <w:t>。</w:t>
            </w:r>
          </w:p>
          <w:p w14:paraId="5E9AB165">
            <w:pPr>
              <w:widowControl/>
              <w:ind w:firstLine="480" w:firstLineChars="200"/>
              <w:jc w:val="left"/>
              <w:rPr>
                <w:rFonts w:hint="eastAsia"/>
                <w:color w:val="auto"/>
                <w:highlight w:val="none"/>
              </w:rPr>
            </w:pPr>
            <w:r>
              <w:rPr>
                <w:color w:val="auto"/>
                <w:highlight w:val="none"/>
              </w:rPr>
              <w:t>②生产用水：本项目生产用水</w:t>
            </w:r>
            <w:r>
              <w:rPr>
                <w:rFonts w:hint="eastAsia"/>
                <w:color w:val="auto"/>
                <w:highlight w:val="none"/>
              </w:rPr>
              <w:t>主要</w:t>
            </w:r>
            <w:r>
              <w:rPr>
                <w:color w:val="auto"/>
                <w:highlight w:val="none"/>
              </w:rPr>
              <w:t>为</w:t>
            </w:r>
            <w:r>
              <w:rPr>
                <w:rFonts w:hint="eastAsia"/>
                <w:color w:val="auto"/>
                <w:highlight w:val="none"/>
                <w:lang w:val="en-US" w:eastAsia="zh-CN"/>
              </w:rPr>
              <w:t>洗料用水、造粒</w:t>
            </w:r>
            <w:r>
              <w:rPr>
                <w:rFonts w:hint="eastAsia"/>
                <w:color w:val="auto"/>
                <w:highlight w:val="none"/>
              </w:rPr>
              <w:t>冷却用水</w:t>
            </w:r>
            <w:r>
              <w:rPr>
                <w:rFonts w:hint="eastAsia"/>
                <w:color w:val="auto"/>
                <w:highlight w:val="none"/>
                <w:lang w:val="en-US" w:eastAsia="zh-CN"/>
              </w:rPr>
              <w:t>、废气处理设施喷淋用水和电捕焦油器清洗用水</w:t>
            </w:r>
            <w:r>
              <w:rPr>
                <w:rFonts w:hint="eastAsia"/>
                <w:color w:val="auto"/>
                <w:highlight w:val="none"/>
              </w:rPr>
              <w:t>。</w:t>
            </w:r>
          </w:p>
          <w:p w14:paraId="70A2B7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0" w:firstLineChars="200"/>
              <w:jc w:val="left"/>
              <w:textAlignment w:val="auto"/>
              <w:rPr>
                <w:rFonts w:hint="eastAsia"/>
                <w:color w:val="auto"/>
                <w:highlight w:val="none"/>
              </w:rPr>
            </w:pPr>
            <w:r>
              <w:rPr>
                <w:rFonts w:hint="eastAsia" w:cs="Times New Roman"/>
                <w:b/>
                <w:bCs/>
                <w:color w:val="auto"/>
                <w:sz w:val="24"/>
                <w:szCs w:val="24"/>
                <w:highlight w:val="none"/>
                <w:lang w:val="en-US" w:eastAsia="zh-CN"/>
              </w:rPr>
              <w:t>废塑料洗料用水：</w:t>
            </w:r>
            <w:r>
              <w:rPr>
                <w:rFonts w:hint="default" w:ascii="Times New Roman" w:hAnsi="Times New Roman" w:eastAsia="宋体" w:cs="Times New Roman"/>
                <w:color w:val="auto"/>
                <w:sz w:val="24"/>
                <w:szCs w:val="24"/>
                <w:highlight w:val="none"/>
                <w:lang w:val="en-US" w:eastAsia="zh-CN"/>
              </w:rPr>
              <w:t>根据《排放源统计调查产排污核算方法和系数手册》中“4220 非金属废料和碎屑加工处理行业系数表”废PS、ABS、PE、PP类湿法破碎+清洗工业废水量为1.0吨/吨-原料，</w:t>
            </w:r>
            <w:r>
              <w:rPr>
                <w:rFonts w:hint="eastAsia" w:ascii="Times New Roman" w:hAnsi="Times New Roman" w:cs="Times New Roman"/>
                <w:color w:val="auto"/>
                <w:sz w:val="24"/>
                <w:szCs w:val="24"/>
                <w:highlight w:val="none"/>
                <w:lang w:val="en-US" w:eastAsia="zh-CN"/>
              </w:rPr>
              <w:t>废</w:t>
            </w:r>
            <w:r>
              <w:rPr>
                <w:rFonts w:hint="eastAsia" w:cs="Times New Roman"/>
                <w:color w:val="auto"/>
                <w:sz w:val="24"/>
                <w:szCs w:val="24"/>
                <w:highlight w:val="none"/>
                <w:lang w:val="en-US" w:eastAsia="zh-CN"/>
              </w:rPr>
              <w:t>PE、</w:t>
            </w:r>
            <w:r>
              <w:rPr>
                <w:rFonts w:hint="eastAsia" w:ascii="Times New Roman" w:hAnsi="Times New Roman" w:cs="Times New Roman"/>
                <w:color w:val="auto"/>
                <w:sz w:val="24"/>
                <w:szCs w:val="24"/>
                <w:highlight w:val="none"/>
                <w:lang w:val="en-US" w:eastAsia="zh-CN"/>
              </w:rPr>
              <w:t>PA、HIPS参照此执行，</w:t>
            </w:r>
            <w:r>
              <w:rPr>
                <w:rFonts w:hint="eastAsia" w:ascii="Times New Roman" w:hAnsi="Times New Roman" w:eastAsia="宋体" w:cs="Times New Roman"/>
                <w:color w:val="auto"/>
                <w:sz w:val="24"/>
                <w:szCs w:val="24"/>
                <w:highlight w:val="none"/>
                <w:lang w:val="en-US" w:eastAsia="zh-CN"/>
              </w:rPr>
              <w:t>项目混合料塑料毛料</w:t>
            </w:r>
            <w:r>
              <w:rPr>
                <w:rFonts w:hint="eastAsia" w:cs="Times New Roman"/>
                <w:color w:val="auto"/>
                <w:sz w:val="24"/>
                <w:szCs w:val="24"/>
                <w:highlight w:val="none"/>
                <w:lang w:val="en-US" w:eastAsia="zh-CN"/>
              </w:rPr>
              <w:t>仅部分需要清洗，塑料毛料（主要含PP/ABS/PE/HIPS/PA）</w:t>
            </w:r>
            <w:r>
              <w:rPr>
                <w:rFonts w:hint="eastAsia" w:ascii="Times New Roman" w:hAnsi="Times New Roman" w:eastAsia="宋体" w:cs="Times New Roman"/>
                <w:color w:val="auto"/>
                <w:sz w:val="24"/>
                <w:szCs w:val="24"/>
                <w:highlight w:val="none"/>
                <w:lang w:val="en-US" w:eastAsia="zh-CN"/>
              </w:rPr>
              <w:t>年清洗量为</w:t>
            </w:r>
            <w:r>
              <w:rPr>
                <w:rFonts w:hint="eastAsia" w:cs="Times New Roman"/>
                <w:color w:val="auto"/>
                <w:sz w:val="24"/>
                <w:szCs w:val="24"/>
                <w:highlight w:val="none"/>
                <w:lang w:val="en-US" w:eastAsia="zh-CN"/>
              </w:rPr>
              <w:t>64125</w:t>
            </w:r>
            <w:r>
              <w:rPr>
                <w:rFonts w:hint="eastAsia" w:ascii="Times New Roman" w:hAnsi="Times New Roman" w:eastAsia="宋体" w:cs="Times New Roman"/>
                <w:color w:val="auto"/>
                <w:sz w:val="24"/>
                <w:szCs w:val="24"/>
                <w:highlight w:val="none"/>
                <w:lang w:val="en-US" w:eastAsia="zh-CN"/>
              </w:rPr>
              <w:t>吨</w:t>
            </w:r>
            <w:r>
              <w:rPr>
                <w:rFonts w:hint="eastAsia" w:cs="Times New Roman"/>
                <w:color w:val="auto"/>
                <w:sz w:val="24"/>
                <w:szCs w:val="24"/>
                <w:highlight w:val="none"/>
                <w:lang w:val="en-US" w:eastAsia="zh-CN"/>
              </w:rPr>
              <w:t>，洗料废水产生量为64125吨。洗料用水损耗率按90%计</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则项目洗料总用水量为71250吨（包含循环水）。根据建设单位提供资料，</w:t>
            </w:r>
            <w:r>
              <w:rPr>
                <w:rFonts w:hint="eastAsia" w:cs="Times New Roman"/>
                <w:color w:val="auto"/>
                <w:highlight w:val="none"/>
                <w:lang w:eastAsia="zh-CN"/>
              </w:rPr>
              <w:t>洗料废水</w:t>
            </w:r>
            <w:r>
              <w:rPr>
                <w:rFonts w:hint="default" w:ascii="Times New Roman" w:hAnsi="Times New Roman" w:cs="Times New Roman"/>
                <w:color w:val="auto"/>
                <w:highlight w:val="none"/>
              </w:rPr>
              <w:t>经自建污水处理站处理</w:t>
            </w:r>
            <w:r>
              <w:rPr>
                <w:rFonts w:hint="eastAsia" w:cs="Times New Roman"/>
                <w:color w:val="auto"/>
                <w:highlight w:val="none"/>
                <w:lang w:val="en-US" w:eastAsia="zh-CN"/>
              </w:rPr>
              <w:t>达标后</w:t>
            </w:r>
            <w:r>
              <w:rPr>
                <w:rFonts w:hint="eastAsia" w:cs="Times New Roman"/>
                <w:color w:val="auto"/>
                <w:sz w:val="24"/>
                <w:szCs w:val="24"/>
                <w:highlight w:val="none"/>
                <w:lang w:val="en-US" w:eastAsia="zh-CN"/>
              </w:rPr>
              <w:t>回用于清洗工序</w:t>
            </w:r>
            <w:r>
              <w:rPr>
                <w:rFonts w:hint="eastAsia" w:cs="Times New Roman"/>
                <w:color w:val="auto"/>
                <w:highlight w:val="none"/>
                <w:lang w:val="en-US" w:eastAsia="zh-CN"/>
              </w:rPr>
              <w:t>，仅少量外排，以防止污染物积累。</w:t>
            </w:r>
            <w:r>
              <w:rPr>
                <w:rFonts w:hint="eastAsia" w:ascii="Times New Roman" w:hAnsi="Times New Roman" w:eastAsia="宋体" w:cs="Times New Roman"/>
                <w:color w:val="auto"/>
                <w:highlight w:val="none"/>
                <w:lang w:val="en-US" w:eastAsia="zh-CN"/>
              </w:rPr>
              <w:t>本项目洗料工序采用连续化湿法清洗工艺，设计清洗能力</w:t>
            </w:r>
            <w:r>
              <w:rPr>
                <w:rFonts w:hint="eastAsia" w:cs="Times New Roman"/>
                <w:color w:val="auto"/>
                <w:highlight w:val="none"/>
                <w:lang w:val="en-US" w:eastAsia="zh-CN"/>
              </w:rPr>
              <w:t>约8</w:t>
            </w:r>
            <w:r>
              <w:rPr>
                <w:rFonts w:hint="eastAsia" w:ascii="Times New Roman" w:hAnsi="Times New Roman" w:eastAsia="宋体" w:cs="Times New Roman"/>
                <w:color w:val="auto"/>
                <w:highlight w:val="none"/>
                <w:lang w:val="en-US" w:eastAsia="zh-CN"/>
              </w:rPr>
              <w:t xml:space="preserve"> 吨废塑料/小时，24 小时连续运行，</w:t>
            </w:r>
            <w:r>
              <w:rPr>
                <w:rFonts w:hint="eastAsia" w:cs="Times New Roman"/>
                <w:color w:val="auto"/>
                <w:highlight w:val="none"/>
                <w:lang w:val="en-US" w:eastAsia="zh-CN"/>
              </w:rPr>
              <w:t>平均每天有187.02m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/d（约8t/h）回用于生产</w:t>
            </w:r>
            <w:r>
              <w:rPr>
                <w:rFonts w:hint="eastAsia" w:ascii="Times New Roman" w:hAnsi="Times New Roman" w:eastAsia="宋体" w:cs="Times New Roman"/>
                <w:color w:val="auto"/>
                <w:highlight w:val="none"/>
                <w:lang w:val="en-US" w:eastAsia="zh-CN"/>
              </w:rPr>
              <w:t>。</w:t>
            </w:r>
          </w:p>
          <w:p w14:paraId="44AA3A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0" w:firstLineChars="200"/>
              <w:jc w:val="left"/>
              <w:textAlignment w:val="auto"/>
              <w:rPr>
                <w:rFonts w:hint="eastAsia" w:eastAsia="宋体" w:cs="Times New Roman"/>
                <w:color w:val="auto"/>
                <w:highlight w:val="none"/>
                <w:vertAlign w:val="baseline"/>
                <w:lang w:val="en-US" w:eastAsia="zh-CN"/>
              </w:rPr>
            </w:pPr>
            <w:r>
              <w:rPr>
                <w:rFonts w:hint="eastAsia" w:cs="Times New Roman"/>
                <w:color w:val="auto"/>
                <w:highlight w:val="none"/>
                <w:lang w:val="en-US" w:eastAsia="zh-CN"/>
              </w:rPr>
              <w:t>项目设1个循环水池</w:t>
            </w:r>
            <w:r>
              <w:rPr>
                <w:rFonts w:hint="eastAsia" w:ascii="Times New Roman" w:hAnsi="Times New Roman" w:eastAsia="宋体" w:cs="Times New Roman"/>
                <w:color w:val="auto"/>
                <w:highlight w:val="none"/>
                <w:lang w:val="en-US" w:eastAsia="zh-CN"/>
              </w:rPr>
              <w:t>总容积约60m</w:t>
            </w:r>
            <w:r>
              <w:rPr>
                <w:rFonts w:hint="eastAsia" w:ascii="Times New Roman" w:hAnsi="Times New Roman" w:eastAsia="宋体" w:cs="Times New Roman"/>
                <w:color w:val="auto"/>
                <w:highlight w:val="none"/>
                <w:vertAlign w:val="superscript"/>
                <w:lang w:val="en-US" w:eastAsia="zh-CN"/>
              </w:rPr>
              <w:t>3</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5.0 m（长）× 4.0 m（宽）× 3.0 m（高） )，可储存约6 小时的回用水量。该水池用于暂存污水处理站出水，并稳定供应闷料、浮选及湿法破碎等工序回用需求。池内设液位自动控制系统，高液位时多余水量通过溢流管排入园区污水管网</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根据项目运行经验，每天的外</w:t>
            </w:r>
            <w:r>
              <w:rPr>
                <w:rFonts w:hint="eastAsia" w:cs="Times New Roman"/>
                <w:color w:val="auto"/>
                <w:highlight w:val="none"/>
                <w:lang w:val="en-US" w:eastAsia="zh-CN"/>
              </w:rPr>
              <w:t>排废水量按设计清洗能力8t即可满足生产要求，考虑生产的波动，全年外排废水按约为9m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/d</w:t>
            </w:r>
            <w:r>
              <w:rPr>
                <w:rFonts w:hint="eastAsia" w:cs="Times New Roman"/>
                <w:color w:val="auto"/>
                <w:highlight w:val="none"/>
                <w:lang w:val="en-US" w:eastAsia="zh-CN"/>
              </w:rPr>
              <w:t>（2970t/a）</w:t>
            </w:r>
            <w:r>
              <w:rPr>
                <w:rFonts w:hint="eastAsia"/>
                <w:color w:val="auto"/>
                <w:highlight w:val="none"/>
                <w:lang w:eastAsia="zh-CN"/>
              </w:rPr>
              <w:t>。</w:t>
            </w:r>
            <w:r>
              <w:rPr>
                <w:rFonts w:hint="eastAsia"/>
                <w:color w:val="auto"/>
                <w:highlight w:val="none"/>
                <w:lang w:val="en-US" w:eastAsia="zh-CN"/>
              </w:rPr>
              <w:t>项目</w:t>
            </w:r>
            <w:r>
              <w:rPr>
                <w:rFonts w:hint="eastAsia" w:cs="Times New Roman"/>
                <w:color w:val="auto"/>
                <w:sz w:val="24"/>
                <w:szCs w:val="24"/>
                <w:highlight w:val="none"/>
                <w:lang w:val="en-US" w:eastAsia="zh-CN"/>
              </w:rPr>
              <w:t>洗料新鲜用水量为</w:t>
            </w:r>
            <w:r>
              <w:rPr>
                <w:rFonts w:hint="eastAsia" w:cs="Times New Roman"/>
                <w:color w:val="auto"/>
                <w:highlight w:val="none"/>
                <w:lang w:val="en-US" w:eastAsia="zh-CN"/>
              </w:rPr>
              <w:t>10214.1t/a（28.79m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/d</w:t>
            </w:r>
            <w:r>
              <w:rPr>
                <w:rFonts w:hint="eastAsia" w:cs="Times New Roman"/>
                <w:color w:val="auto"/>
                <w:highlight w:val="none"/>
                <w:lang w:val="en-US" w:eastAsia="zh-CN"/>
              </w:rPr>
              <w:t>），损耗量为7125t/a， 洗料用水</w:t>
            </w:r>
            <w:r>
              <w:rPr>
                <w:rFonts w:hint="eastAsia"/>
                <w:color w:val="auto"/>
                <w:highlight w:val="none"/>
                <w:lang w:val="en-US" w:eastAsia="zh-CN"/>
              </w:rPr>
              <w:t>循环水量为61435.8</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/a</w:t>
            </w:r>
            <w:r>
              <w:rPr>
                <w:rFonts w:hint="eastAsia"/>
                <w:color w:val="auto"/>
                <w:highlight w:val="none"/>
                <w:lang w:eastAsia="zh-CN"/>
              </w:rPr>
              <w:t>（</w:t>
            </w:r>
            <w:r>
              <w:rPr>
                <w:rFonts w:hint="eastAsia" w:cs="Times New Roman"/>
                <w:color w:val="auto"/>
                <w:highlight w:val="none"/>
                <w:lang w:val="en-US" w:eastAsia="zh-CN"/>
              </w:rPr>
              <w:t>186.17m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/d）</w:t>
            </w:r>
            <w:r>
              <w:rPr>
                <w:rFonts w:hint="eastAsia" w:cs="Times New Roman"/>
                <w:color w:val="auto"/>
                <w:highlight w:val="none"/>
                <w:lang w:eastAsia="zh-CN"/>
              </w:rPr>
              <w:t>。</w:t>
            </w:r>
          </w:p>
          <w:p w14:paraId="5B90D5F9">
            <w:pPr>
              <w:pStyle w:val="26"/>
              <w:keepNext w:val="0"/>
              <w:keepLines w:val="0"/>
              <w:pageBreakBefore w:val="0"/>
              <w:numPr>
                <w:ilvl w:val="0"/>
                <w:numId w:val="0"/>
              </w:numPr>
              <w:kinsoku/>
              <w:wordWrap/>
              <w:overflowPunct/>
              <w:topLinePunct w:val="0"/>
              <w:autoSpaceDE/>
              <w:autoSpaceDN/>
              <w:bidi w:val="0"/>
              <w:spacing w:before="0" w:after="0" w:line="360" w:lineRule="auto"/>
              <w:ind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造粒冷却</w:t>
            </w:r>
            <w:r>
              <w:rPr>
                <w:rFonts w:hint="eastAsia" w:cs="Times New Roman"/>
                <w:b/>
                <w:bCs/>
                <w:color w:val="auto"/>
                <w:sz w:val="24"/>
                <w:szCs w:val="24"/>
                <w:highlight w:val="none"/>
                <w:lang w:val="en-US" w:eastAsia="zh-CN"/>
              </w:rPr>
              <w:t>用</w:t>
            </w:r>
            <w:r>
              <w:rPr>
                <w:rFonts w:hint="default" w:ascii="Times New Roman" w:hAnsi="Times New Roman" w:eastAsia="宋体" w:cs="Times New Roman"/>
                <w:b/>
                <w:bCs/>
                <w:color w:val="auto"/>
                <w:sz w:val="24"/>
                <w:szCs w:val="24"/>
                <w:highlight w:val="none"/>
                <w:lang w:val="en-US" w:eastAsia="zh-CN"/>
              </w:rPr>
              <w:t>水</w:t>
            </w:r>
            <w:r>
              <w:rPr>
                <w:rFonts w:hint="eastAsia" w:cs="Times New Roman"/>
                <w:b/>
                <w:bCs/>
                <w:color w:val="auto"/>
                <w:sz w:val="24"/>
                <w:szCs w:val="24"/>
                <w:highlight w:val="none"/>
                <w:lang w:val="en-US" w:eastAsia="zh-CN"/>
              </w:rPr>
              <w:t>：</w:t>
            </w:r>
          </w:p>
          <w:p w14:paraId="59514A31">
            <w:pPr>
              <w:pStyle w:val="26"/>
              <w:keepNext w:val="0"/>
              <w:keepLines w:val="0"/>
              <w:pageBreakBefore w:val="0"/>
              <w:numPr>
                <w:ilvl w:val="0"/>
                <w:numId w:val="0"/>
              </w:numPr>
              <w:kinsoku/>
              <w:wordWrap/>
              <w:overflowPunct/>
              <w:topLinePunct w:val="0"/>
              <w:autoSpaceDE/>
              <w:autoSpaceDN/>
              <w:bidi w:val="0"/>
              <w:spacing w:before="0" w:after="0" w:line="360" w:lineRule="auto"/>
              <w:ind w:right="0" w:rightChars="0" w:firstLine="480" w:firstLineChars="200"/>
              <w:textAlignment w:val="auto"/>
              <w:rPr>
                <w:rFonts w:hint="eastAsia"/>
                <w:color w:val="auto"/>
                <w:highlight w:val="none"/>
              </w:rPr>
            </w:pPr>
            <w:r>
              <w:rPr>
                <w:rFonts w:hint="default" w:ascii="Times New Roman" w:hAnsi="Times New Roman" w:eastAsia="宋体" w:cs="Times New Roman"/>
                <w:color w:val="auto"/>
                <w:sz w:val="24"/>
                <w:szCs w:val="24"/>
                <w:highlight w:val="none"/>
                <w:lang w:val="en-US" w:eastAsia="zh-CN"/>
              </w:rPr>
              <w:t>项目造粒</w:t>
            </w:r>
            <w:r>
              <w:rPr>
                <w:rFonts w:hint="default" w:ascii="Times New Roman" w:hAnsi="Times New Roman" w:eastAsia="宋体" w:cs="Times New Roman"/>
                <w:color w:val="auto"/>
                <w:sz w:val="24"/>
                <w:highlight w:val="none"/>
              </w:rPr>
              <w:t>生产线配套一个冷却水槽，主要作用是冷却塑料熔融和拉丝，熔融塑料不溶于水，冷却水基本无杂质产生，且造粒产品冷却和造粒设备对水质要求不大，冷却水可循环使用。</w:t>
            </w:r>
            <w:r>
              <w:rPr>
                <w:rFonts w:hint="eastAsia" w:ascii="Times New Roman" w:hAnsi="Times New Roman" w:eastAsia="宋体" w:cs="Times New Roman"/>
                <w:color w:val="auto"/>
                <w:sz w:val="24"/>
                <w:highlight w:val="none"/>
                <w:lang w:val="en-US" w:eastAsia="zh-CN"/>
              </w:rPr>
              <w:t>配套</w:t>
            </w:r>
            <w:r>
              <w:rPr>
                <w:rFonts w:hint="default" w:ascii="Times New Roman" w:hAnsi="Times New Roman" w:eastAsia="宋体" w:cs="Times New Roman"/>
                <w:color w:val="auto"/>
                <w:sz w:val="24"/>
                <w:highlight w:val="none"/>
              </w:rPr>
              <w:t>循环冷却水机组额定循环水量为</w:t>
            </w:r>
            <w:r>
              <w:rPr>
                <w:rFonts w:hint="default" w:ascii="Times New Roman" w:hAnsi="Times New Roman" w:eastAsia="宋体" w:cs="Times New Roman"/>
                <w:color w:val="auto"/>
                <w:sz w:val="24"/>
                <w:highlight w:val="none"/>
                <w:lang w:val="en-US" w:eastAsia="zh-CN"/>
              </w:rPr>
              <w:t>12</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/h，造粒生产线的冷却水用量为</w:t>
            </w:r>
            <w:r>
              <w:rPr>
                <w:rFonts w:hint="default" w:ascii="Times New Roman" w:hAnsi="Times New Roman" w:eastAsia="宋体" w:cs="Times New Roman"/>
                <w:color w:val="auto"/>
                <w:sz w:val="24"/>
                <w:highlight w:val="none"/>
                <w:lang w:val="en-US" w:eastAsia="zh-CN"/>
              </w:rPr>
              <w:t>288</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/d（造粒生产线运行时间按</w:t>
            </w:r>
            <w:r>
              <w:rPr>
                <w:rFonts w:hint="default" w:ascii="Times New Roman" w:hAnsi="Times New Roman" w:eastAsia="宋体" w:cs="Times New Roman"/>
                <w:color w:val="auto"/>
                <w:sz w:val="24"/>
                <w:highlight w:val="none"/>
                <w:lang w:val="en-US" w:eastAsia="zh-CN"/>
              </w:rPr>
              <w:t>24</w:t>
            </w:r>
            <w:r>
              <w:rPr>
                <w:rFonts w:hint="default" w:ascii="Times New Roman" w:hAnsi="Times New Roman" w:eastAsia="宋体" w:cs="Times New Roman"/>
                <w:color w:val="auto"/>
                <w:sz w:val="24"/>
                <w:highlight w:val="none"/>
              </w:rPr>
              <w:t>h/d计）。由于熔融塑料温度较高，热量传递至冷却水中，导致冷却水以蒸汽的形式蒸发，蒸发损耗水量按循环水量的</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%计，则</w:t>
            </w:r>
            <w:r>
              <w:rPr>
                <w:rFonts w:hint="default" w:ascii="Times New Roman" w:hAnsi="Times New Roman" w:eastAsia="宋体" w:cs="Times New Roman"/>
                <w:color w:val="auto"/>
                <w:sz w:val="24"/>
                <w:highlight w:val="none"/>
                <w:lang w:eastAsia="zh-CN"/>
              </w:rPr>
              <w:t>冷却水</w:t>
            </w:r>
            <w:r>
              <w:rPr>
                <w:rFonts w:hint="default" w:ascii="Times New Roman" w:hAnsi="Times New Roman" w:eastAsia="宋体" w:cs="Times New Roman"/>
                <w:color w:val="auto"/>
                <w:sz w:val="24"/>
                <w:highlight w:val="none"/>
              </w:rPr>
              <w:t>损耗量为</w:t>
            </w:r>
            <w:r>
              <w:rPr>
                <w:rFonts w:hint="default" w:ascii="Times New Roman" w:hAnsi="Times New Roman" w:eastAsia="宋体" w:cs="Times New Roman"/>
                <w:color w:val="auto"/>
                <w:sz w:val="24"/>
                <w:highlight w:val="none"/>
                <w:lang w:val="en-US" w:eastAsia="zh-CN"/>
              </w:rPr>
              <w:t>0.12</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/h（</w:t>
            </w:r>
            <w:r>
              <w:rPr>
                <w:rFonts w:hint="default" w:ascii="Times New Roman" w:hAnsi="Times New Roman" w:eastAsia="宋体" w:cs="Times New Roman"/>
                <w:color w:val="auto"/>
                <w:sz w:val="24"/>
                <w:highlight w:val="none"/>
                <w:lang w:val="en-US" w:eastAsia="zh-CN"/>
              </w:rPr>
              <w:t>2.88</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/d），每天需补充新鲜水</w:t>
            </w:r>
            <w:r>
              <w:rPr>
                <w:rFonts w:hint="default" w:ascii="Times New Roman" w:hAnsi="Times New Roman" w:eastAsia="宋体" w:cs="Times New Roman"/>
                <w:color w:val="auto"/>
                <w:sz w:val="24"/>
                <w:highlight w:val="none"/>
                <w:lang w:val="en-US" w:eastAsia="zh-CN"/>
              </w:rPr>
              <w:t>2.88</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（即</w:t>
            </w:r>
            <w:r>
              <w:rPr>
                <w:rFonts w:hint="default" w:ascii="Times New Roman" w:hAnsi="Times New Roman" w:eastAsia="宋体" w:cs="Times New Roman"/>
                <w:color w:val="auto"/>
                <w:sz w:val="24"/>
                <w:highlight w:val="none"/>
                <w:lang w:val="en-US" w:eastAsia="zh-CN"/>
              </w:rPr>
              <w:t>950.4</w:t>
            </w:r>
            <w:r>
              <w:rPr>
                <w:rFonts w:hint="default" w:ascii="Times New Roman" w:hAnsi="Times New Roman" w:eastAsia="宋体" w:cs="Times New Roman"/>
                <w:color w:val="auto"/>
                <w:sz w:val="24"/>
                <w:highlight w:val="none"/>
              </w:rPr>
              <w:t>t/a）</w:t>
            </w:r>
            <w:r>
              <w:rPr>
                <w:rFonts w:hint="eastAsia" w:cs="Times New Roman"/>
                <w:color w:val="auto"/>
                <w:sz w:val="24"/>
                <w:highlight w:val="none"/>
                <w:lang w:eastAsia="zh-CN"/>
              </w:rPr>
              <w:t>，</w:t>
            </w:r>
            <w:r>
              <w:rPr>
                <w:rFonts w:hint="eastAsia" w:cs="Times New Roman"/>
                <w:color w:val="auto"/>
                <w:sz w:val="24"/>
                <w:highlight w:val="none"/>
                <w:lang w:val="en-US" w:eastAsia="zh-CN"/>
              </w:rPr>
              <w:t>同时配套旁流过滤装置，半年更换一次，循环池废水约19.2m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/a</w:t>
            </w:r>
            <w:r>
              <w:rPr>
                <w:rFonts w:hint="eastAsia" w:cs="Times New Roman"/>
                <w:color w:val="auto"/>
                <w:sz w:val="24"/>
                <w:highlight w:val="none"/>
                <w:lang w:val="en-US" w:eastAsia="zh-CN"/>
              </w:rPr>
              <w:t>，则冷却用水新鲜用水量为969.6m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/a</w:t>
            </w:r>
            <w:r>
              <w:rPr>
                <w:rFonts w:hint="eastAsia" w:cs="Times New Roman"/>
                <w:color w:val="auto"/>
                <w:sz w:val="24"/>
                <w:highlight w:val="none"/>
                <w:lang w:val="en-US" w:eastAsia="zh-CN"/>
              </w:rPr>
              <w:t>。</w:t>
            </w:r>
          </w:p>
          <w:p w14:paraId="2164E342">
            <w:pPr>
              <w:pStyle w:val="24"/>
              <w:keepNext w:val="0"/>
              <w:keepLines w:val="0"/>
              <w:pageBreakBefore w:val="0"/>
              <w:suppressLineNumbers w:val="0"/>
              <w:kinsoku/>
              <w:wordWrap/>
              <w:overflowPunct/>
              <w:topLinePunct w:val="0"/>
              <w:autoSpaceDE/>
              <w:autoSpaceDN/>
              <w:bidi w:val="0"/>
              <w:spacing w:beforeAutospacing="0" w:afterAutospacing="0" w:line="360" w:lineRule="auto"/>
              <w:ind w:left="0" w:right="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造粒废气喷淋用水：</w:t>
            </w:r>
            <w:r>
              <w:rPr>
                <w:rFonts w:hint="default" w:ascii="Times New Roman" w:hAnsi="Times New Roman" w:eastAsia="宋体" w:cs="Times New Roman"/>
                <w:color w:val="auto"/>
                <w:kern w:val="2"/>
                <w:sz w:val="24"/>
                <w:szCs w:val="24"/>
                <w:highlight w:val="none"/>
                <w:lang w:val="en-US" w:eastAsia="zh-CN" w:bidi="ar-SA"/>
              </w:rPr>
              <w:t>根据</w:t>
            </w:r>
            <w:r>
              <w:rPr>
                <w:rFonts w:hint="eastAsia" w:ascii="Times New Roman" w:hAnsi="Times New Roman" w:eastAsia="宋体" w:cs="Times New Roman"/>
                <w:color w:val="auto"/>
                <w:kern w:val="2"/>
                <w:sz w:val="24"/>
                <w:szCs w:val="24"/>
                <w:highlight w:val="none"/>
                <w:lang w:val="en-US" w:eastAsia="zh-CN" w:bidi="ar-SA"/>
              </w:rPr>
              <w:t>建设单位</w:t>
            </w:r>
            <w:r>
              <w:rPr>
                <w:rFonts w:hint="default" w:ascii="Times New Roman" w:hAnsi="Times New Roman" w:eastAsia="宋体" w:cs="Times New Roman"/>
                <w:color w:val="auto"/>
                <w:kern w:val="2"/>
                <w:sz w:val="24"/>
                <w:szCs w:val="24"/>
                <w:highlight w:val="none"/>
                <w:lang w:val="en-US" w:eastAsia="zh-CN" w:bidi="ar-SA"/>
              </w:rPr>
              <w:t>提供资料，造粒废气处理采用喷淋降温除尘，本项目配套1套造粒废气处理设备，</w:t>
            </w:r>
            <w:r>
              <w:rPr>
                <w:rFonts w:hint="eastAsia" w:ascii="Times New Roman" w:hAnsi="Times New Roman" w:eastAsia="宋体" w:cs="Times New Roman"/>
                <w:color w:val="auto"/>
                <w:kern w:val="2"/>
                <w:sz w:val="24"/>
                <w:szCs w:val="24"/>
                <w:highlight w:val="none"/>
                <w:lang w:val="en-US" w:eastAsia="zh-CN" w:bidi="ar-SA"/>
              </w:rPr>
              <w:t>液气比取1.0L/m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则循环水量为60m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vertAlign w:val="baseline"/>
                <w:lang w:val="en-US" w:eastAsia="zh-CN" w:bidi="ar-SA"/>
              </w:rPr>
              <w:t>/h，即1440t/d</w:t>
            </w:r>
            <w:r>
              <w:rPr>
                <w:rFonts w:hint="eastAsia" w:cs="Times New Roman"/>
                <w:color w:val="auto"/>
                <w:kern w:val="2"/>
                <w:sz w:val="24"/>
                <w:szCs w:val="24"/>
                <w:highlight w:val="none"/>
                <w:vertAlign w:val="baseline"/>
                <w:lang w:val="en-US" w:eastAsia="zh-CN" w:bidi="ar-SA"/>
              </w:rPr>
              <w:t>（475200m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vertAlign w:val="baseline"/>
                <w:lang w:val="en-US" w:eastAsia="zh-CN" w:bidi="ar-SA"/>
              </w:rPr>
              <w:t>/a）</w:t>
            </w:r>
            <w:r>
              <w:rPr>
                <w:rFonts w:hint="eastAsia" w:ascii="Times New Roman" w:hAnsi="Times New Roman" w:eastAsia="宋体" w:cs="Times New Roman"/>
                <w:color w:val="auto"/>
                <w:kern w:val="2"/>
                <w:sz w:val="24"/>
                <w:szCs w:val="24"/>
                <w:highlight w:val="none"/>
                <w:vertAlign w:val="baseli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全部循环使用</w:t>
            </w:r>
            <w:r>
              <w:rPr>
                <w:rFonts w:hint="eastAsia" w:cs="Times New Roman"/>
                <w:color w:val="auto"/>
                <w:kern w:val="2"/>
                <w:sz w:val="24"/>
                <w:szCs w:val="24"/>
                <w:highlight w:val="none"/>
                <w:lang w:val="en-US" w:eastAsia="zh-CN" w:bidi="ar-SA"/>
              </w:rPr>
              <w:t>，</w:t>
            </w:r>
            <w:r>
              <w:rPr>
                <w:rFonts w:hint="eastAsia"/>
                <w:color w:val="auto"/>
                <w:sz w:val="24"/>
                <w:szCs w:val="24"/>
                <w:highlight w:val="none"/>
                <w:lang w:val="en-US" w:eastAsia="zh-CN"/>
              </w:rPr>
              <w:t>定期更换</w:t>
            </w:r>
            <w:r>
              <w:rPr>
                <w:rFonts w:hint="default" w:ascii="Times New Roman" w:hAnsi="Times New Roman" w:eastAsia="宋体" w:cs="Times New Roman"/>
                <w:color w:val="auto"/>
                <w:kern w:val="2"/>
                <w:sz w:val="24"/>
                <w:szCs w:val="24"/>
                <w:highlight w:val="none"/>
                <w:lang w:val="en-US" w:eastAsia="zh-CN" w:bidi="ar-SA"/>
              </w:rPr>
              <w:t>。</w:t>
            </w:r>
          </w:p>
          <w:p w14:paraId="6D6179E5">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喷淋水在循环过程，会发生蒸发等损耗，蒸发损耗水量按循环水量的</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%计，则喷淋设备的循环水损耗量为</w:t>
            </w:r>
            <w:r>
              <w:rPr>
                <w:rFonts w:hint="eastAsia" w:ascii="Times New Roman" w:hAnsi="Times New Roman" w:cs="Times New Roman"/>
                <w:color w:val="auto"/>
                <w:sz w:val="24"/>
                <w:szCs w:val="24"/>
                <w:highlight w:val="none"/>
                <w:lang w:val="en-US" w:eastAsia="zh-CN"/>
              </w:rPr>
              <w:t>14.4</w:t>
            </w:r>
            <w:r>
              <w:rPr>
                <w:rFonts w:hint="default" w:ascii="Times New Roman" w:hAnsi="Times New Roman" w:eastAsia="宋体" w:cs="Times New Roman"/>
                <w:color w:val="auto"/>
                <w:sz w:val="24"/>
                <w:szCs w:val="24"/>
                <w:highlight w:val="none"/>
                <w:lang w:val="en-US" w:eastAsia="zh-CN"/>
              </w:rPr>
              <w:t xml:space="preserve"> t/d</w:t>
            </w:r>
            <w:r>
              <w:rPr>
                <w:rFonts w:hint="eastAsia" w:ascii="Times New Roman" w:hAnsi="Times New Roman" w:cs="Times New Roman"/>
                <w:color w:val="auto"/>
                <w:sz w:val="24"/>
                <w:szCs w:val="24"/>
                <w:highlight w:val="none"/>
                <w:lang w:val="en-US" w:eastAsia="zh-CN"/>
              </w:rPr>
              <w:t>（4752t/a）。</w:t>
            </w:r>
            <w:r>
              <w:rPr>
                <w:rFonts w:hint="eastAsia" w:cs="Times New Roman"/>
                <w:color w:val="auto"/>
                <w:sz w:val="24"/>
                <w:szCs w:val="24"/>
                <w:highlight w:val="none"/>
                <w:lang w:val="en-US" w:eastAsia="zh-CN"/>
              </w:rPr>
              <w:t>项目废气处理设施设两级气旋喷淋塔，每个塔各配备喷淋水箱1个，尺寸均为6m*2.5m*1.8m，有效容积按80%计，喷淋池水每2个月更换一次，则喷淋水更换量为259.2m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/a。喷淋塔的用水量为5011.2m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/a。</w:t>
            </w:r>
          </w:p>
          <w:p w14:paraId="79C45E2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val="en-US" w:eastAsia="zh-CN"/>
              </w:rPr>
              <w:t>电捕焦油器洗涤用水</w:t>
            </w:r>
          </w:p>
          <w:p w14:paraId="783F0954">
            <w:pPr>
              <w:widowControl/>
              <w:tabs>
                <w:tab w:val="left" w:pos="1388"/>
              </w:tabs>
              <w:ind w:firstLine="480" w:firstLineChars="200"/>
              <w:jc w:val="left"/>
              <w:rPr>
                <w:rFonts w:hint="default"/>
                <w:color w:val="auto"/>
                <w:highlight w:val="none"/>
                <w:lang w:val="en-US"/>
              </w:rPr>
            </w:pPr>
            <w:r>
              <w:rPr>
                <w:rFonts w:hint="default" w:ascii="Times New Roman" w:hAnsi="Times New Roman" w:cs="Times New Roman"/>
                <w:color w:val="auto"/>
                <w:sz w:val="24"/>
                <w:highlight w:val="none"/>
              </w:rPr>
              <w:t>为保证电捕焦油器的去除效率，需要用水对其</w:t>
            </w:r>
            <w:r>
              <w:rPr>
                <w:rFonts w:hint="default" w:ascii="Times New Roman" w:hAnsi="Times New Roman" w:cs="Times New Roman"/>
                <w:color w:val="auto"/>
                <w:sz w:val="24"/>
                <w:highlight w:val="none"/>
                <w:lang w:val="en-US" w:eastAsia="zh-CN"/>
              </w:rPr>
              <w:t>进行</w:t>
            </w:r>
            <w:r>
              <w:rPr>
                <w:rFonts w:hint="default" w:ascii="Times New Roman" w:hAnsi="Times New Roman" w:cs="Times New Roman"/>
                <w:color w:val="auto"/>
                <w:sz w:val="24"/>
                <w:highlight w:val="none"/>
              </w:rPr>
              <w:t>冲洗，冲洗频率为</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次</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1个</w:t>
            </w:r>
            <w:r>
              <w:rPr>
                <w:rFonts w:hint="default" w:ascii="Times New Roman" w:hAnsi="Times New Roman" w:cs="Times New Roman"/>
                <w:color w:val="auto"/>
                <w:sz w:val="24"/>
                <w:highlight w:val="none"/>
              </w:rPr>
              <w:t>月，每次10分钟，一次用水量为</w:t>
            </w:r>
            <w:r>
              <w:rPr>
                <w:rFonts w:hint="default" w:ascii="Times New Roman" w:hAnsi="Times New Roman" w:cs="Times New Roman"/>
                <w:color w:val="auto"/>
                <w:sz w:val="24"/>
                <w:highlight w:val="none"/>
                <w:lang w:val="en-US" w:eastAsia="zh-CN"/>
              </w:rPr>
              <w:t>2m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1个</w:t>
            </w:r>
            <w:r>
              <w:rPr>
                <w:rFonts w:hint="default" w:ascii="Times New Roman" w:hAnsi="Times New Roman" w:cs="Times New Roman"/>
                <w:color w:val="auto"/>
                <w:sz w:val="24"/>
                <w:highlight w:val="none"/>
              </w:rPr>
              <w:t>月换一次，</w:t>
            </w:r>
            <w:r>
              <w:rPr>
                <w:rFonts w:hint="eastAsia" w:ascii="Times New Roman" w:hAnsi="Times New Roman" w:cs="Times New Roman"/>
                <w:color w:val="auto"/>
                <w:sz w:val="24"/>
                <w:highlight w:val="none"/>
                <w:lang w:val="en-US" w:eastAsia="zh-CN"/>
              </w:rPr>
              <w:t>项目每年生产时间为12个月，</w:t>
            </w:r>
            <w:r>
              <w:rPr>
                <w:rFonts w:hint="default" w:ascii="Times New Roman" w:hAnsi="Times New Roman" w:cs="Times New Roman"/>
                <w:color w:val="auto"/>
                <w:sz w:val="24"/>
                <w:highlight w:val="none"/>
              </w:rPr>
              <w:t>即电捕焦油器用水量为</w:t>
            </w:r>
            <w:r>
              <w:rPr>
                <w:rFonts w:hint="eastAsia" w:ascii="Times New Roman" w:hAnsi="Times New Roman" w:cs="Times New Roman"/>
                <w:color w:val="auto"/>
                <w:sz w:val="24"/>
                <w:highlight w:val="none"/>
                <w:lang w:val="en-US" w:eastAsia="zh-CN"/>
              </w:rPr>
              <w:t>0.08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ascii="Times New Roman" w:hAnsi="Times New Roman" w:cs="Times New Roman"/>
                <w:color w:val="auto"/>
                <w:sz w:val="24"/>
                <w:highlight w:val="none"/>
                <w:lang w:val="en-US" w:eastAsia="zh-CN"/>
              </w:rPr>
              <w:t>26.4m</w:t>
            </w:r>
            <w:r>
              <w:rPr>
                <w:rFonts w:hint="default" w:ascii="Times New Roman" w:hAnsi="Times New Roman" w:cs="Times New Roman"/>
                <w:color w:val="auto"/>
                <w:sz w:val="24"/>
                <w:highlight w:val="none"/>
                <w:vertAlign w:val="superscript"/>
              </w:rPr>
              <w:t>3</w:t>
            </w:r>
            <w:r>
              <w:rPr>
                <w:rFonts w:hint="eastAsia" w:ascii="Times New Roman" w:hAnsi="Times New Roman" w:cs="Times New Roman"/>
                <w:color w:val="auto"/>
                <w:sz w:val="24"/>
                <w:highlight w:val="none"/>
                <w:vertAlign w:val="baseline"/>
                <w:lang w:val="en-US" w:eastAsia="zh-CN"/>
              </w:rPr>
              <w:t>/a</w:t>
            </w:r>
            <w:r>
              <w:rPr>
                <w:rFonts w:hint="default" w:ascii="Times New Roman" w:hAnsi="Times New Roman" w:cs="Times New Roman"/>
                <w:color w:val="auto"/>
                <w:sz w:val="24"/>
                <w:highlight w:val="none"/>
              </w:rPr>
              <w:t>。电捕焦油器冲洗液</w:t>
            </w:r>
            <w:r>
              <w:rPr>
                <w:rFonts w:hint="default" w:ascii="Times New Roman" w:hAnsi="Times New Roman" w:cs="Times New Roman"/>
                <w:color w:val="auto"/>
                <w:sz w:val="24"/>
                <w:szCs w:val="24"/>
                <w:highlight w:val="none"/>
                <w:lang w:val="en-US" w:eastAsia="zh-CN"/>
              </w:rPr>
              <w:t>产生量按经验系数80%计算，则</w:t>
            </w:r>
            <w:r>
              <w:rPr>
                <w:rFonts w:hint="eastAsia" w:ascii="Times New Roman" w:hAnsi="Times New Roman" w:cs="Times New Roman"/>
                <w:color w:val="auto"/>
                <w:sz w:val="24"/>
                <w:szCs w:val="24"/>
                <w:highlight w:val="none"/>
                <w:lang w:val="en-US" w:eastAsia="zh-CN"/>
              </w:rPr>
              <w:t>冲洗液</w:t>
            </w:r>
            <w:r>
              <w:rPr>
                <w:rFonts w:hint="default" w:ascii="Times New Roman" w:hAnsi="Times New Roman" w:cs="Times New Roman"/>
                <w:color w:val="auto"/>
                <w:sz w:val="24"/>
                <w:szCs w:val="24"/>
                <w:highlight w:val="none"/>
                <w:lang w:val="en-US" w:eastAsia="zh-CN"/>
              </w:rPr>
              <w:t>产生量为</w:t>
            </w:r>
            <w:r>
              <w:rPr>
                <w:rFonts w:hint="eastAsia" w:ascii="Times New Roman" w:hAnsi="Times New Roman" w:cs="Times New Roman"/>
                <w:color w:val="auto"/>
                <w:sz w:val="24"/>
                <w:szCs w:val="24"/>
                <w:highlight w:val="none"/>
                <w:lang w:val="en-US" w:eastAsia="zh-CN"/>
              </w:rPr>
              <w:t>0.064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eastAsia" w:ascii="Times New Roman" w:hAnsi="Times New Roman" w:cs="Times New Roman"/>
                <w:color w:val="auto"/>
                <w:sz w:val="24"/>
                <w:szCs w:val="24"/>
                <w:highlight w:val="none"/>
                <w:lang w:val="en-US" w:eastAsia="zh-CN"/>
              </w:rPr>
              <w:t>21.12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vertAlign w:val="baseline"/>
                <w:lang w:val="en-US" w:eastAsia="zh-CN"/>
              </w:rPr>
              <w:t>/a</w:t>
            </w:r>
            <w:r>
              <w:rPr>
                <w:rFonts w:hint="default" w:ascii="Times New Roman" w:hAnsi="Times New Roman" w:cs="Times New Roman"/>
                <w:color w:val="auto"/>
                <w:sz w:val="24"/>
                <w:szCs w:val="24"/>
                <w:highlight w:val="none"/>
                <w:lang w:val="en-US" w:eastAsia="zh-CN"/>
              </w:rPr>
              <w:t>。</w:t>
            </w:r>
          </w:p>
          <w:p w14:paraId="13899558">
            <w:pPr>
              <w:widowControl/>
              <w:ind w:firstLine="480" w:firstLineChars="200"/>
              <w:jc w:val="left"/>
              <w:rPr>
                <w:color w:val="auto"/>
                <w:highlight w:val="none"/>
              </w:rPr>
            </w:pPr>
            <w:r>
              <w:rPr>
                <w:rFonts w:hint="eastAsia"/>
                <w:color w:val="auto"/>
                <w:highlight w:val="none"/>
              </w:rPr>
              <w:t>综上，项目</w:t>
            </w:r>
            <w:r>
              <w:rPr>
                <w:rFonts w:hint="eastAsia"/>
                <w:color w:val="auto"/>
                <w:highlight w:val="none"/>
                <w:lang w:val="en-US" w:eastAsia="zh-CN"/>
              </w:rPr>
              <w:t>总</w:t>
            </w:r>
            <w:r>
              <w:rPr>
                <w:rFonts w:hint="eastAsia"/>
                <w:color w:val="auto"/>
                <w:highlight w:val="none"/>
              </w:rPr>
              <w:t>新鲜用水量为</w:t>
            </w:r>
            <w:r>
              <w:rPr>
                <w:rFonts w:hint="eastAsia"/>
                <w:color w:val="auto"/>
                <w:highlight w:val="none"/>
                <w:lang w:val="en-US" w:eastAsia="zh-CN"/>
              </w:rPr>
              <w:t>20256.5</w:t>
            </w:r>
            <w:r>
              <w:rPr>
                <w:rFonts w:hint="eastAsia"/>
                <w:color w:val="auto"/>
                <w:highlight w:val="none"/>
              </w:rPr>
              <w:t>t/a（</w:t>
            </w:r>
            <w:r>
              <w:rPr>
                <w:rFonts w:hint="eastAsia"/>
                <w:color w:val="auto"/>
                <w:highlight w:val="none"/>
                <w:lang w:val="en-US" w:eastAsia="zh-CN"/>
              </w:rPr>
              <w:t>61.38</w:t>
            </w:r>
            <w:r>
              <w:rPr>
                <w:rFonts w:hint="eastAsia"/>
                <w:color w:val="auto"/>
                <w:highlight w:val="none"/>
              </w:rPr>
              <w:t>m</w:t>
            </w:r>
            <w:r>
              <w:rPr>
                <w:rFonts w:hint="eastAsia"/>
                <w:color w:val="auto"/>
                <w:highlight w:val="none"/>
                <w:vertAlign w:val="superscript"/>
              </w:rPr>
              <w:t>3</w:t>
            </w:r>
            <w:r>
              <w:rPr>
                <w:rFonts w:hint="eastAsia"/>
                <w:color w:val="auto"/>
                <w:highlight w:val="none"/>
              </w:rPr>
              <w:t>/d）。</w:t>
            </w:r>
          </w:p>
          <w:p w14:paraId="63EE2E8D">
            <w:pPr>
              <w:pStyle w:val="112"/>
              <w:jc w:val="center"/>
              <w:rPr>
                <w:b/>
                <w:bCs/>
                <w:color w:val="auto"/>
                <w:sz w:val="21"/>
                <w:szCs w:val="21"/>
                <w:highlight w:val="none"/>
              </w:rPr>
            </w:pPr>
            <w:r>
              <w:rPr>
                <w:b/>
                <w:bCs/>
                <w:color w:val="auto"/>
                <w:sz w:val="21"/>
                <w:szCs w:val="21"/>
                <w:highlight w:val="none"/>
              </w:rPr>
              <w:t>用水量一览表</w:t>
            </w:r>
          </w:p>
          <w:tbl>
            <w:tblPr>
              <w:tblStyle w:val="49"/>
              <w:tblW w:w="91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77"/>
              <w:gridCol w:w="2358"/>
              <w:gridCol w:w="4304"/>
            </w:tblGrid>
            <w:tr w14:paraId="49F3F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C2C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用水情形</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E2C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新鲜用水量</w:t>
                  </w:r>
                  <w:r>
                    <w:rPr>
                      <w:rFonts w:hint="default" w:ascii="Times New Roman" w:hAnsi="Times New Roman" w:eastAsia="宋体" w:cs="Times New Roman"/>
                      <w:b/>
                      <w:bCs/>
                      <w:i w:val="0"/>
                      <w:iCs w:val="0"/>
                      <w:color w:val="auto"/>
                      <w:kern w:val="0"/>
                      <w:sz w:val="21"/>
                      <w:szCs w:val="21"/>
                      <w:highlight w:val="none"/>
                      <w:u w:val="none"/>
                      <w:lang w:val="en-US" w:eastAsia="zh-CN" w:bidi="ar"/>
                    </w:rPr>
                    <w:t>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/a</w:t>
                  </w:r>
                </w:p>
              </w:tc>
              <w:tc>
                <w:tcPr>
                  <w:tcW w:w="2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BD9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30B0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54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生活用水</w:t>
                  </w: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C5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3800</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F34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100</w:t>
                  </w:r>
                  <w:r>
                    <w:rPr>
                      <w:rFonts w:hint="eastAsia" w:ascii="宋体" w:hAnsi="宋体" w:eastAsia="宋体" w:cs="宋体"/>
                      <w:i w:val="0"/>
                      <w:iCs w:val="0"/>
                      <w:color w:val="auto"/>
                      <w:kern w:val="0"/>
                      <w:sz w:val="21"/>
                      <w:szCs w:val="21"/>
                      <w:highlight w:val="none"/>
                      <w:u w:val="none"/>
                      <w:lang w:val="en-US" w:eastAsia="zh-CN" w:bidi="ar"/>
                    </w:rPr>
                    <w:t>人，提供食宿</w:t>
                  </w:r>
                </w:p>
              </w:tc>
            </w:tr>
            <w:tr w14:paraId="069E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4"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D4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 洗料用水</w:t>
                  </w: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71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10214.1</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711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损耗量为</w:t>
                  </w:r>
                  <w:r>
                    <w:rPr>
                      <w:rFonts w:hint="eastAsia" w:cs="Times New Roman"/>
                      <w:i w:val="0"/>
                      <w:iCs w:val="0"/>
                      <w:color w:val="auto"/>
                      <w:kern w:val="0"/>
                      <w:sz w:val="21"/>
                      <w:szCs w:val="21"/>
                      <w:highlight w:val="none"/>
                      <w:u w:val="none"/>
                      <w:lang w:val="en-US" w:eastAsia="zh-CN" w:bidi="ar"/>
                    </w:rPr>
                    <w:t>7125</w:t>
                  </w:r>
                  <w:r>
                    <w:rPr>
                      <w:rFonts w:hint="default" w:ascii="Times New Roman" w:hAnsi="Times New Roman" w:eastAsia="宋体" w:cs="Times New Roman"/>
                      <w:i w:val="0"/>
                      <w:iCs w:val="0"/>
                      <w:color w:val="auto"/>
                      <w:kern w:val="0"/>
                      <w:sz w:val="21"/>
                      <w:szCs w:val="21"/>
                      <w:highlight w:val="none"/>
                      <w:u w:val="none"/>
                      <w:lang w:val="en-US" w:eastAsia="zh-CN" w:bidi="ar"/>
                    </w:rPr>
                    <w:t>t/a</w:t>
                  </w:r>
                  <w:r>
                    <w:rPr>
                      <w:rFonts w:hint="eastAsia" w:ascii="宋体" w:hAnsi="宋体" w:eastAsia="宋体" w:cs="宋体"/>
                      <w:i w:val="0"/>
                      <w:iCs w:val="0"/>
                      <w:color w:val="auto"/>
                      <w:kern w:val="0"/>
                      <w:sz w:val="21"/>
                      <w:szCs w:val="21"/>
                      <w:highlight w:val="none"/>
                      <w:u w:val="none"/>
                      <w:lang w:val="en-US" w:eastAsia="zh-CN" w:bidi="ar"/>
                    </w:rPr>
                    <w:t>（包含产品带走量），排放量为</w:t>
                  </w:r>
                  <w:r>
                    <w:rPr>
                      <w:rFonts w:hint="default" w:ascii="Times New Roman" w:hAnsi="Times New Roman" w:eastAsia="宋体" w:cs="Times New Roman"/>
                      <w:i w:val="0"/>
                      <w:iCs w:val="0"/>
                      <w:color w:val="auto"/>
                      <w:kern w:val="0"/>
                      <w:sz w:val="21"/>
                      <w:szCs w:val="21"/>
                      <w:highlight w:val="none"/>
                      <w:u w:val="none"/>
                      <w:lang w:val="en-US" w:eastAsia="zh-CN" w:bidi="ar"/>
                    </w:rPr>
                    <w:t>2970t/a</w:t>
                  </w:r>
                  <w:r>
                    <w:rPr>
                      <w:rFonts w:hint="eastAsia" w:ascii="宋体" w:hAnsi="宋体" w:eastAsia="宋体" w:cs="宋体"/>
                      <w:i w:val="0"/>
                      <w:iCs w:val="0"/>
                      <w:color w:val="auto"/>
                      <w:kern w:val="0"/>
                      <w:sz w:val="21"/>
                      <w:szCs w:val="21"/>
                      <w:highlight w:val="none"/>
                      <w:u w:val="none"/>
                      <w:lang w:val="en-US" w:eastAsia="zh-CN" w:bidi="ar"/>
                    </w:rPr>
                    <w:t>，污泥带走水量</w:t>
                  </w:r>
                  <w:r>
                    <w:rPr>
                      <w:rFonts w:hint="eastAsia" w:cs="Times New Roman"/>
                      <w:i w:val="0"/>
                      <w:iCs w:val="0"/>
                      <w:color w:val="auto"/>
                      <w:kern w:val="0"/>
                      <w:sz w:val="21"/>
                      <w:szCs w:val="21"/>
                      <w:highlight w:val="none"/>
                      <w:u w:val="none"/>
                      <w:lang w:val="en-US" w:eastAsia="zh-CN" w:bidi="ar"/>
                    </w:rPr>
                    <w:t>119.09</w:t>
                  </w:r>
                  <w:r>
                    <w:rPr>
                      <w:rFonts w:hint="default" w:ascii="Times New Roman" w:hAnsi="Times New Roman" w:eastAsia="宋体" w:cs="Times New Roman"/>
                      <w:i w:val="0"/>
                      <w:iCs w:val="0"/>
                      <w:color w:val="auto"/>
                      <w:kern w:val="0"/>
                      <w:sz w:val="21"/>
                      <w:szCs w:val="21"/>
                      <w:highlight w:val="none"/>
                      <w:u w:val="none"/>
                      <w:lang w:val="en-US" w:eastAsia="zh-CN" w:bidi="ar"/>
                    </w:rPr>
                    <w:t>t/a</w:t>
                  </w:r>
                </w:p>
              </w:tc>
            </w:tr>
            <w:tr w14:paraId="43FAB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40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冷却用水</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A8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w:t>
                  </w:r>
                  <w:r>
                    <w:rPr>
                      <w:rFonts w:hint="eastAsia" w:cs="Times New Roman"/>
                      <w:i w:val="0"/>
                      <w:iCs w:val="0"/>
                      <w:color w:val="auto"/>
                      <w:kern w:val="0"/>
                      <w:sz w:val="21"/>
                      <w:szCs w:val="21"/>
                      <w:highlight w:val="none"/>
                      <w:u w:val="none"/>
                      <w:lang w:val="en-US" w:eastAsia="zh-CN" w:bidi="ar"/>
                    </w:rPr>
                    <w:t>69.6</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7F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蒸发损耗水量按循环水量的</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计</w:t>
                  </w:r>
                </w:p>
              </w:tc>
            </w:tr>
            <w:tr w14:paraId="3516C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E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废气喷淋用水</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F8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5011.2</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216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蒸发损耗水量按循环水量的</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计</w:t>
                  </w:r>
                </w:p>
              </w:tc>
            </w:tr>
            <w:tr w14:paraId="073C2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236D">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color w:val="auto"/>
                      <w:highlight w:val="none"/>
                      <w:lang w:val="en-US" w:eastAsia="zh-CN"/>
                    </w:rPr>
                    <w:t>电捕焦油器洗涤用水</w:t>
                  </w: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FA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26.4</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8FDC">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r>
            <w:tr w14:paraId="56858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A1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总用水</w:t>
                  </w: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D7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20021.3 </w:t>
                  </w:r>
                </w:p>
              </w:tc>
              <w:tc>
                <w:tcPr>
                  <w:tcW w:w="2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AD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bl>
          <w:p w14:paraId="55C5B006">
            <w:pPr>
              <w:pStyle w:val="21"/>
              <w:numPr>
                <w:ilvl w:val="4"/>
                <w:numId w:val="0"/>
              </w:numPr>
              <w:ind w:left="-960" w:firstLine="1440"/>
              <w:rPr>
                <w:color w:val="auto"/>
                <w:kern w:val="2"/>
                <w:highlight w:val="none"/>
              </w:rPr>
            </w:pPr>
            <w:r>
              <w:rPr>
                <w:color w:val="auto"/>
                <w:kern w:val="2"/>
                <w:highlight w:val="none"/>
              </w:rPr>
              <w:t>（3）排水</w:t>
            </w:r>
          </w:p>
          <w:p w14:paraId="4B10F728">
            <w:pPr>
              <w:adjustRightInd w:val="0"/>
              <w:ind w:firstLine="480" w:firstLineChars="200"/>
              <w:rPr>
                <w:color w:val="auto"/>
                <w:highlight w:val="none"/>
              </w:rPr>
            </w:pPr>
            <w:r>
              <w:rPr>
                <w:color w:val="auto"/>
                <w:highlight w:val="none"/>
              </w:rPr>
              <w:t>本项目实行雨污分流制的排水体制。</w:t>
            </w:r>
          </w:p>
          <w:p w14:paraId="5BD854EC">
            <w:pPr>
              <w:adjustRightInd w:val="0"/>
              <w:ind w:firstLine="480" w:firstLineChars="200"/>
              <w:rPr>
                <w:color w:val="auto"/>
                <w:highlight w:val="none"/>
              </w:rPr>
            </w:pPr>
            <w:r>
              <w:rPr>
                <w:color w:val="auto"/>
                <w:highlight w:val="none"/>
              </w:rPr>
              <w:t>雨水：雨水经厂区雨水管网收集后，排入市政雨水管网；</w:t>
            </w:r>
          </w:p>
          <w:p w14:paraId="6CDA5617">
            <w:pPr>
              <w:keepNext w:val="0"/>
              <w:keepLines w:val="0"/>
              <w:suppressLineNumbers w:val="0"/>
              <w:adjustRightInd w:val="0"/>
              <w:spacing w:before="0" w:beforeAutospacing="0" w:after="0" w:afterAutospacing="0"/>
              <w:ind w:left="0" w:right="0" w:firstLine="480" w:firstLineChars="200"/>
              <w:rPr>
                <w:rFonts w:hint="default" w:ascii="Times New Roman" w:hAnsi="Times New Roman" w:cs="Times New Roman"/>
                <w:color w:val="auto"/>
                <w:highlight w:val="none"/>
              </w:rPr>
            </w:pPr>
            <w:r>
              <w:rPr>
                <w:color w:val="auto"/>
                <w:highlight w:val="none"/>
              </w:rPr>
              <w:t>生活污水：</w:t>
            </w:r>
            <w:r>
              <w:rPr>
                <w:rFonts w:hint="default" w:ascii="Times New Roman" w:hAnsi="Times New Roman" w:cs="Times New Roman"/>
                <w:color w:val="auto"/>
                <w:highlight w:val="none"/>
              </w:rPr>
              <w:t>本项目生活污水排放量</w:t>
            </w:r>
            <w:r>
              <w:rPr>
                <w:rFonts w:hint="eastAsia" w:cs="Times New Roman"/>
                <w:color w:val="auto"/>
                <w:highlight w:val="none"/>
                <w:lang w:val="en-US" w:eastAsia="zh-CN"/>
              </w:rPr>
              <w:t>按用水量的90%计，</w:t>
            </w:r>
            <w:r>
              <w:rPr>
                <w:rFonts w:hint="default" w:ascii="Times New Roman" w:hAnsi="Times New Roman" w:cs="Times New Roman"/>
                <w:color w:val="auto"/>
                <w:highlight w:val="none"/>
              </w:rPr>
              <w:t>为</w:t>
            </w:r>
            <w:r>
              <w:rPr>
                <w:rFonts w:hint="eastAsia" w:cs="Times New Roman"/>
                <w:color w:val="auto"/>
                <w:highlight w:val="none"/>
                <w:lang w:val="en-US" w:eastAsia="zh-CN"/>
              </w:rPr>
              <w:t>3420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/a，经三级化粪池</w:t>
            </w:r>
            <w:r>
              <w:rPr>
                <w:rFonts w:hint="eastAsia" w:cs="Times New Roman"/>
                <w:color w:val="auto"/>
                <w:highlight w:val="none"/>
                <w:lang w:eastAsia="zh-CN"/>
              </w:rPr>
              <w:t>、</w:t>
            </w:r>
            <w:r>
              <w:rPr>
                <w:rFonts w:hint="eastAsia" w:cs="Times New Roman"/>
                <w:color w:val="auto"/>
                <w:highlight w:val="none"/>
                <w:lang w:val="en-US" w:eastAsia="zh-CN"/>
              </w:rPr>
              <w:t>隔油隔渣池</w:t>
            </w:r>
            <w:r>
              <w:rPr>
                <w:rFonts w:hint="default" w:ascii="Times New Roman" w:hAnsi="Times New Roman" w:cs="Times New Roman"/>
                <w:color w:val="auto"/>
                <w:highlight w:val="none"/>
              </w:rPr>
              <w:t>预处理后，排入园区污水处理厂进一步处理，达标后排放至武江；</w:t>
            </w:r>
          </w:p>
          <w:p w14:paraId="6685FE1C">
            <w:pPr>
              <w:keepNext w:val="0"/>
              <w:keepLines w:val="0"/>
              <w:suppressLineNumbers w:val="0"/>
              <w:adjustRightInd w:val="0"/>
              <w:spacing w:before="0" w:beforeAutospacing="0" w:after="0" w:afterAutospacing="0"/>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生产废水：</w:t>
            </w:r>
            <w:r>
              <w:rPr>
                <w:rFonts w:hint="eastAsia" w:cs="Times New Roman"/>
                <w:color w:val="auto"/>
                <w:highlight w:val="none"/>
                <w:lang w:val="en-US" w:eastAsia="zh-CN"/>
              </w:rPr>
              <w:t>洗料废水产生</w:t>
            </w:r>
            <w:r>
              <w:rPr>
                <w:rFonts w:hint="default" w:ascii="Times New Roman" w:hAnsi="Times New Roman" w:cs="Times New Roman"/>
                <w:color w:val="auto"/>
                <w:highlight w:val="none"/>
              </w:rPr>
              <w:t>量为</w:t>
            </w:r>
            <w:r>
              <w:rPr>
                <w:rFonts w:hint="eastAsia" w:cs="Times New Roman"/>
                <w:color w:val="auto"/>
                <w:highlight w:val="none"/>
                <w:lang w:val="en-US" w:eastAsia="zh-CN"/>
              </w:rPr>
              <w:t>64125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rPr>
              <w:t>折算为</w:t>
            </w:r>
            <w:r>
              <w:rPr>
                <w:rFonts w:hint="eastAsia" w:cs="Times New Roman"/>
                <w:color w:val="auto"/>
                <w:highlight w:val="none"/>
                <w:lang w:val="en-US" w:eastAsia="zh-CN"/>
              </w:rPr>
              <w:t>194.3</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eastAsia" w:cs="Times New Roman"/>
                <w:color w:val="auto"/>
                <w:highlight w:val="none"/>
                <w:lang w:val="en-US" w:eastAsia="zh-CN"/>
              </w:rPr>
              <w:t>，</w:t>
            </w:r>
            <w:r>
              <w:rPr>
                <w:rFonts w:hint="default" w:ascii="Times New Roman" w:hAnsi="Times New Roman" w:cs="Times New Roman"/>
                <w:color w:val="auto"/>
                <w:highlight w:val="none"/>
              </w:rPr>
              <w:t>经自建污水处理站（工艺为“</w:t>
            </w:r>
            <w:r>
              <w:rPr>
                <w:rFonts w:hint="eastAsia" w:cs="Times New Roman"/>
                <w:color w:val="auto"/>
                <w:highlight w:val="none"/>
                <w:lang w:eastAsia="zh-CN"/>
              </w:rPr>
              <w:t>中和调节+絮凝沉淀+A/O+二沉池+消毒</w:t>
            </w:r>
            <w:r>
              <w:rPr>
                <w:rFonts w:hint="default" w:ascii="Times New Roman" w:hAnsi="Times New Roman" w:cs="Times New Roman"/>
                <w:color w:val="auto"/>
                <w:highlight w:val="none"/>
              </w:rPr>
              <w:t>”）处理。</w:t>
            </w:r>
          </w:p>
          <w:p w14:paraId="228189FF">
            <w:pPr>
              <w:adjustRightInd w:val="0"/>
              <w:ind w:firstLine="480" w:firstLineChars="200"/>
              <w:rPr>
                <w:rFonts w:hint="default" w:eastAsia="宋体"/>
                <w:color w:val="auto"/>
                <w:highlight w:val="none"/>
                <w:lang w:val="en-US" w:eastAsia="zh-CN"/>
              </w:rPr>
            </w:pPr>
            <w:r>
              <w:rPr>
                <w:rFonts w:hint="eastAsia"/>
                <w:color w:val="auto"/>
                <w:highlight w:val="none"/>
                <w:lang w:val="en-US" w:eastAsia="zh-CN"/>
              </w:rPr>
              <w:t>造粒冷却水</w:t>
            </w:r>
            <w:r>
              <w:rPr>
                <w:rFonts w:hint="eastAsia" w:cs="Times New Roman"/>
                <w:color w:val="auto"/>
                <w:highlight w:val="none"/>
                <w:lang w:val="en-US" w:eastAsia="zh-CN"/>
              </w:rPr>
              <w:t>循环使用，循环量为</w:t>
            </w:r>
            <w:r>
              <w:rPr>
                <w:rFonts w:hint="default" w:ascii="Times New Roman" w:hAnsi="Times New Roman" w:eastAsia="宋体" w:cs="Times New Roman"/>
                <w:color w:val="auto"/>
                <w:sz w:val="24"/>
                <w:highlight w:val="none"/>
              </w:rPr>
              <w:t>冷却水用量为</w:t>
            </w:r>
            <w:r>
              <w:rPr>
                <w:rFonts w:hint="default" w:ascii="Times New Roman" w:hAnsi="Times New Roman" w:eastAsia="宋体" w:cs="Times New Roman"/>
                <w:color w:val="auto"/>
                <w:sz w:val="24"/>
                <w:highlight w:val="none"/>
                <w:lang w:val="en-US" w:eastAsia="zh-CN"/>
              </w:rPr>
              <w:t>288</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95040m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ascii="Times New Roman" w:hAnsi="Times New Roman" w:eastAsia="宋体" w:cs="Times New Roman"/>
                <w:color w:val="auto"/>
                <w:sz w:val="24"/>
                <w:highlight w:val="none"/>
                <w:lang w:eastAsia="zh-CN"/>
              </w:rPr>
              <w:t>），</w:t>
            </w:r>
            <w:r>
              <w:rPr>
                <w:rFonts w:hint="eastAsia" w:cs="Times New Roman"/>
                <w:color w:val="auto"/>
                <w:highlight w:val="none"/>
                <w:lang w:val="en-US" w:eastAsia="zh-CN"/>
              </w:rPr>
              <w:t>定期补充新鲜用水，配套设置旁流过滤装置，定期排放，循环池尺寸为4m*2.5m*1.2m，有效容积以80%计，年更换废水2次，则冷却水更换水量为19.2</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cs="Times New Roman"/>
                <w:color w:val="auto"/>
                <w:highlight w:val="none"/>
                <w:lang w:val="en-US" w:eastAsia="zh-CN"/>
              </w:rPr>
              <w:t>；喷淋废水循环使用，循环量为</w:t>
            </w:r>
            <w:r>
              <w:rPr>
                <w:rFonts w:hint="default" w:ascii="Times New Roman" w:hAnsi="Times New Roman" w:eastAsia="宋体" w:cs="Times New Roman"/>
                <w:color w:val="auto"/>
                <w:sz w:val="24"/>
                <w:highlight w:val="none"/>
                <w:lang w:val="en-US" w:eastAsia="zh-CN"/>
              </w:rPr>
              <w:t>288</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475200m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ascii="Times New Roman" w:hAnsi="Times New Roman" w:eastAsia="宋体" w:cs="Times New Roman"/>
                <w:color w:val="auto"/>
                <w:sz w:val="24"/>
                <w:highlight w:val="none"/>
                <w:lang w:eastAsia="zh-CN"/>
              </w:rPr>
              <w:t>）</w:t>
            </w:r>
            <w:r>
              <w:rPr>
                <w:rFonts w:hint="eastAsia" w:cs="Times New Roman"/>
                <w:color w:val="auto"/>
                <w:highlight w:val="none"/>
                <w:lang w:val="en-US" w:eastAsia="zh-CN"/>
              </w:rPr>
              <w:t>，定期捞渣。喷淋水池共2个，每年更换6次，产生喷淋废水259.2</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cs="Times New Roman"/>
                <w:color w:val="auto"/>
                <w:sz w:val="24"/>
                <w:highlight w:val="none"/>
                <w:lang w:val="en-US" w:eastAsia="zh-CN"/>
              </w:rPr>
              <w:t>，洗料废水、冷却更换水和喷淋废水送入自建污水处理站处理，合计处理量为64403.4</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w:t>
            </w:r>
            <w:r>
              <w:rPr>
                <w:rFonts w:hint="eastAsia" w:cs="Times New Roman"/>
                <w:color w:val="auto"/>
                <w:sz w:val="24"/>
                <w:highlight w:val="none"/>
                <w:lang w:val="en-US" w:eastAsia="zh-CN"/>
              </w:rPr>
              <w:t>，经处理后</w:t>
            </w:r>
            <w:r>
              <w:rPr>
                <w:rFonts w:hint="eastAsia" w:cs="Times New Roman"/>
                <w:color w:val="auto"/>
                <w:highlight w:val="none"/>
                <w:lang w:val="en-US" w:eastAsia="zh-CN"/>
              </w:rPr>
              <w:t>185.81</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eastAsia" w:cs="Times New Roman"/>
                <w:color w:val="auto"/>
                <w:highlight w:val="none"/>
                <w:lang w:val="en-US" w:eastAsia="zh-CN"/>
              </w:rPr>
              <w:t>回用，外排生产废水量为9m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/d</w:t>
            </w:r>
            <w:r>
              <w:rPr>
                <w:rFonts w:hint="eastAsia" w:cs="Times New Roman"/>
                <w:color w:val="auto"/>
                <w:highlight w:val="none"/>
                <w:lang w:val="en-US" w:eastAsia="zh-CN"/>
              </w:rPr>
              <w:t>（2970t/a）</w:t>
            </w:r>
            <w:r>
              <w:rPr>
                <w:rFonts w:hint="eastAsia" w:cs="Times New Roman"/>
                <w:color w:val="auto"/>
                <w:sz w:val="24"/>
                <w:highlight w:val="none"/>
                <w:lang w:val="en-US" w:eastAsia="zh-CN"/>
              </w:rPr>
              <w:t>，然后</w:t>
            </w:r>
            <w:r>
              <w:rPr>
                <w:rFonts w:hint="default" w:ascii="Times New Roman" w:hAnsi="Times New Roman" w:cs="Times New Roman"/>
                <w:color w:val="auto"/>
                <w:highlight w:val="none"/>
              </w:rPr>
              <w:t>排入园区污水处理厂进一步处理，达标后排放至武江</w:t>
            </w:r>
            <w:r>
              <w:rPr>
                <w:rFonts w:hint="eastAsia" w:ascii="Times New Roman" w:hAnsi="Times New Roman" w:eastAsia="宋体" w:cs="Times New Roman"/>
                <w:color w:val="auto"/>
                <w:sz w:val="24"/>
                <w:highlight w:val="none"/>
                <w:lang w:val="en-US" w:eastAsia="zh-CN"/>
              </w:rPr>
              <w:t>。</w:t>
            </w:r>
          </w:p>
          <w:p w14:paraId="729F155D">
            <w:pPr>
              <w:pStyle w:val="112"/>
              <w:jc w:val="center"/>
              <w:rPr>
                <w:b/>
                <w:bCs/>
                <w:color w:val="auto"/>
                <w:sz w:val="21"/>
                <w:szCs w:val="21"/>
                <w:highlight w:val="none"/>
              </w:rPr>
            </w:pPr>
            <w:r>
              <w:rPr>
                <w:rFonts w:hint="eastAsia"/>
                <w:b/>
                <w:bCs/>
                <w:color w:val="auto"/>
                <w:sz w:val="21"/>
                <w:szCs w:val="21"/>
                <w:highlight w:val="none"/>
                <w:lang w:val="en-US" w:eastAsia="zh-CN"/>
              </w:rPr>
              <w:t>本项目用</w:t>
            </w:r>
            <w:r>
              <w:rPr>
                <w:b/>
                <w:bCs/>
                <w:color w:val="auto"/>
                <w:sz w:val="21"/>
                <w:szCs w:val="21"/>
                <w:highlight w:val="none"/>
              </w:rPr>
              <w:t>水</w:t>
            </w:r>
            <w:r>
              <w:rPr>
                <w:rFonts w:hint="eastAsia"/>
                <w:b/>
                <w:bCs/>
                <w:color w:val="auto"/>
                <w:sz w:val="21"/>
                <w:szCs w:val="21"/>
                <w:highlight w:val="none"/>
                <w:lang w:val="en-US" w:eastAsia="zh-CN"/>
              </w:rPr>
              <w:t>情况</w:t>
            </w:r>
            <w:r>
              <w:rPr>
                <w:b/>
                <w:bCs/>
                <w:color w:val="auto"/>
                <w:sz w:val="21"/>
                <w:szCs w:val="21"/>
                <w:highlight w:val="none"/>
              </w:rPr>
              <w:t>一览表</w:t>
            </w:r>
            <w:r>
              <w:rPr>
                <w:rFonts w:hint="eastAsia"/>
                <w:b/>
                <w:bCs/>
                <w:color w:val="auto"/>
                <w:sz w:val="21"/>
                <w:szCs w:val="21"/>
                <w:highlight w:val="none"/>
                <w:lang w:eastAsia="zh-CN"/>
              </w:rPr>
              <w:t>（</w:t>
            </w:r>
            <w:r>
              <w:rPr>
                <w:rFonts w:hint="eastAsia"/>
                <w:b/>
                <w:bCs/>
                <w:color w:val="auto"/>
                <w:sz w:val="21"/>
                <w:szCs w:val="21"/>
                <w:highlight w:val="none"/>
                <w:lang w:val="en-US" w:eastAsia="zh-CN"/>
              </w:rPr>
              <w:t>t/a</w:t>
            </w:r>
            <w:r>
              <w:rPr>
                <w:rFonts w:hint="eastAsia"/>
                <w:b/>
                <w:bCs/>
                <w:color w:val="auto"/>
                <w:sz w:val="21"/>
                <w:szCs w:val="21"/>
                <w:highlight w:val="none"/>
                <w:lang w:eastAsia="zh-CN"/>
              </w:rPr>
              <w:t>）</w:t>
            </w:r>
          </w:p>
          <w:tbl>
            <w:tblPr>
              <w:tblStyle w:val="49"/>
              <w:tblW w:w="92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8"/>
              <w:gridCol w:w="968"/>
              <w:gridCol w:w="969"/>
              <w:gridCol w:w="1004"/>
              <w:gridCol w:w="1033"/>
              <w:gridCol w:w="901"/>
              <w:gridCol w:w="1161"/>
              <w:gridCol w:w="2231"/>
            </w:tblGrid>
            <w:tr w14:paraId="6F3D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A8D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用水情形</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6CC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新鲜水</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282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损耗量</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393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循环水量</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C3C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废水产生量</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15A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废水排放量</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A934">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废水回用量</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449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21162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DCA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生活用水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1E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3800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80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380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E5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69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3420</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2A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3420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458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251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三级化粪池</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隔油隔渣池处理</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园区污水处理厂</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武江</w:t>
                  </w:r>
                </w:p>
              </w:tc>
            </w:tr>
            <w:tr w14:paraId="10BD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BE7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洗料用水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89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10214.1 </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DC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7125.0 </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E9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 </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70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64125</w:t>
                  </w:r>
                </w:p>
              </w:tc>
              <w:tc>
                <w:tcPr>
                  <w:tcW w:w="901" w:type="dxa"/>
                  <w:vMerge w:val="restart"/>
                  <w:tcBorders>
                    <w:top w:val="single" w:color="000000" w:sz="4" w:space="0"/>
                    <w:left w:val="single" w:color="000000" w:sz="4" w:space="0"/>
                    <w:right w:val="single" w:color="000000" w:sz="4" w:space="0"/>
                  </w:tcBorders>
                  <w:shd w:val="clear" w:color="auto" w:fill="auto"/>
                  <w:vAlign w:val="center"/>
                </w:tcPr>
                <w:p w14:paraId="49DD1B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2970</w:t>
                  </w:r>
                </w:p>
              </w:tc>
              <w:tc>
                <w:tcPr>
                  <w:tcW w:w="1161" w:type="dxa"/>
                  <w:vMerge w:val="restart"/>
                  <w:tcBorders>
                    <w:top w:val="single" w:color="000000" w:sz="4" w:space="0"/>
                    <w:left w:val="single" w:color="000000" w:sz="4" w:space="0"/>
                    <w:right w:val="single" w:color="000000" w:sz="4" w:space="0"/>
                  </w:tcBorders>
                  <w:shd w:val="clear" w:color="auto" w:fill="auto"/>
                  <w:vAlign w:val="center"/>
                </w:tcPr>
                <w:p w14:paraId="65D8050B">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61314.31</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73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损耗量包含产品带走量</w:t>
                  </w:r>
                  <w:r>
                    <w:rPr>
                      <w:rFonts w:hint="eastAsia" w:cs="Times New Roman"/>
                      <w:i w:val="0"/>
                      <w:iCs w:val="0"/>
                      <w:color w:val="auto"/>
                      <w:kern w:val="0"/>
                      <w:sz w:val="21"/>
                      <w:szCs w:val="21"/>
                      <w:highlight w:val="none"/>
                      <w:u w:val="none"/>
                      <w:lang w:val="en-US" w:eastAsia="zh-CN" w:bidi="ar"/>
                    </w:rPr>
                    <w:t>7125t/a</w:t>
                  </w:r>
                  <w:r>
                    <w:rPr>
                      <w:rFonts w:hint="default" w:ascii="Times New Roman" w:hAnsi="Times New Roman" w:eastAsia="宋体" w:cs="Times New Roman"/>
                      <w:i w:val="0"/>
                      <w:iCs w:val="0"/>
                      <w:color w:val="auto"/>
                      <w:kern w:val="0"/>
                      <w:sz w:val="21"/>
                      <w:szCs w:val="21"/>
                      <w:highlight w:val="none"/>
                      <w:u w:val="none"/>
                      <w:lang w:val="en-US" w:eastAsia="zh-CN" w:bidi="ar"/>
                    </w:rPr>
                    <w:t>，排放量为2970t/a，污泥带走水量119.09t/a</w:t>
                  </w:r>
                </w:p>
              </w:tc>
            </w:tr>
            <w:tr w14:paraId="1880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C34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冷却用水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9D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969.6</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81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950.4</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F3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95040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5B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19.2</w:t>
                  </w:r>
                </w:p>
              </w:tc>
              <w:tc>
                <w:tcPr>
                  <w:tcW w:w="901" w:type="dxa"/>
                  <w:vMerge w:val="continue"/>
                  <w:tcBorders>
                    <w:left w:val="single" w:color="000000" w:sz="4" w:space="0"/>
                    <w:right w:val="single" w:color="000000" w:sz="4" w:space="0"/>
                  </w:tcBorders>
                  <w:shd w:val="clear" w:color="auto" w:fill="auto"/>
                  <w:vAlign w:val="center"/>
                </w:tcPr>
                <w:p w14:paraId="3442CB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p>
              </w:tc>
              <w:tc>
                <w:tcPr>
                  <w:tcW w:w="1161" w:type="dxa"/>
                  <w:vMerge w:val="continue"/>
                  <w:tcBorders>
                    <w:left w:val="single" w:color="000000" w:sz="4" w:space="0"/>
                    <w:right w:val="single" w:color="000000" w:sz="4" w:space="0"/>
                  </w:tcBorders>
                  <w:shd w:val="clear" w:color="auto" w:fill="auto"/>
                  <w:vAlign w:val="center"/>
                </w:tcPr>
                <w:p w14:paraId="487C087B">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4A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设旁流过滤装置，循环使用，定期补充损耗，定期排放</w:t>
                  </w:r>
                </w:p>
              </w:tc>
            </w:tr>
            <w:tr w14:paraId="6CCA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CB4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喷淋用水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6B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5011.2</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BF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4752</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45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475200</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B8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259.2</w:t>
                  </w:r>
                </w:p>
              </w:tc>
              <w:tc>
                <w:tcPr>
                  <w:tcW w:w="901" w:type="dxa"/>
                  <w:vMerge w:val="continue"/>
                  <w:tcBorders>
                    <w:left w:val="single" w:color="000000" w:sz="4" w:space="0"/>
                    <w:bottom w:val="single" w:color="000000" w:sz="4" w:space="0"/>
                    <w:right w:val="single" w:color="000000" w:sz="4" w:space="0"/>
                  </w:tcBorders>
                  <w:shd w:val="clear" w:color="auto" w:fill="auto"/>
                  <w:noWrap/>
                  <w:vAlign w:val="center"/>
                </w:tcPr>
                <w:p w14:paraId="5AD946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p>
              </w:tc>
              <w:tc>
                <w:tcPr>
                  <w:tcW w:w="1161" w:type="dxa"/>
                  <w:vMerge w:val="continue"/>
                  <w:tcBorders>
                    <w:left w:val="single" w:color="000000" w:sz="4" w:space="0"/>
                    <w:bottom w:val="single" w:color="000000" w:sz="4" w:space="0"/>
                    <w:right w:val="single" w:color="000000" w:sz="4" w:space="0"/>
                  </w:tcBorders>
                  <w:shd w:val="clear" w:color="auto" w:fill="auto"/>
                  <w:noWrap/>
                  <w:vAlign w:val="center"/>
                </w:tcPr>
                <w:p w14:paraId="0D4BCF3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1B7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喷淋水箱内部循环，其余为蒸发损耗，定期补充损耗</w:t>
                  </w:r>
                  <w:r>
                    <w:rPr>
                      <w:rFonts w:hint="eastAsia" w:ascii="宋体" w:hAnsi="宋体" w:cs="宋体"/>
                      <w:i w:val="0"/>
                      <w:iCs w:val="0"/>
                      <w:color w:val="auto"/>
                      <w:kern w:val="0"/>
                      <w:sz w:val="21"/>
                      <w:szCs w:val="21"/>
                      <w:highlight w:val="none"/>
                      <w:u w:val="none"/>
                      <w:lang w:val="en-US" w:eastAsia="zh-CN" w:bidi="ar"/>
                    </w:rPr>
                    <w:t>，定期排放</w:t>
                  </w:r>
                </w:p>
              </w:tc>
            </w:tr>
            <w:tr w14:paraId="5EAC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93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电捕焦油器洗涤用水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E1C8">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26.4</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C2E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5.28</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85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C8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21.12</w:t>
                  </w:r>
                </w:p>
              </w:tc>
              <w:tc>
                <w:tcPr>
                  <w:tcW w:w="901" w:type="dxa"/>
                  <w:tcBorders>
                    <w:left w:val="single" w:color="000000" w:sz="4" w:space="0"/>
                    <w:bottom w:val="single" w:color="000000" w:sz="4" w:space="0"/>
                    <w:right w:val="single" w:color="000000" w:sz="4" w:space="0"/>
                  </w:tcBorders>
                  <w:shd w:val="clear" w:color="auto" w:fill="auto"/>
                  <w:noWrap/>
                  <w:vAlign w:val="center"/>
                </w:tcPr>
                <w:p w14:paraId="7CE41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161" w:type="dxa"/>
                  <w:tcBorders>
                    <w:left w:val="single" w:color="000000" w:sz="4" w:space="0"/>
                    <w:bottom w:val="single" w:color="000000" w:sz="4" w:space="0"/>
                    <w:right w:val="single" w:color="000000" w:sz="4" w:space="0"/>
                  </w:tcBorders>
                  <w:shd w:val="clear" w:color="auto" w:fill="auto"/>
                  <w:noWrap/>
                  <w:vAlign w:val="center"/>
                </w:tcPr>
                <w:p w14:paraId="43FAC7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468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21.12t/a交由有危废处置资质单位处置</w:t>
                  </w:r>
                </w:p>
              </w:tc>
            </w:tr>
            <w:tr w14:paraId="3D52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35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总用水</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F51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20021.3 </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30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13212.7 </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15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570240.0 </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87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67844.52</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C3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6390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5A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61314.31</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52B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bl>
          <w:p w14:paraId="079C64AF">
            <w:pPr>
              <w:pStyle w:val="21"/>
              <w:numPr>
                <w:ilvl w:val="4"/>
                <w:numId w:val="0"/>
              </w:numPr>
              <w:ind w:left="-960" w:firstLine="1440"/>
              <w:rPr>
                <w:rFonts w:hint="eastAsia"/>
                <w:color w:val="auto"/>
                <w:kern w:val="2"/>
                <w:highlight w:val="none"/>
              </w:rPr>
            </w:pPr>
            <w:r>
              <w:rPr>
                <w:color w:val="auto"/>
                <w:kern w:val="2"/>
                <w:highlight w:val="none"/>
              </w:rPr>
              <w:t>项目水平衡图如下</w:t>
            </w:r>
            <w:r>
              <w:rPr>
                <w:rFonts w:hint="eastAsia"/>
                <w:color w:val="auto"/>
                <w:kern w:val="2"/>
                <w:highlight w:val="none"/>
              </w:rPr>
              <w:t>：</w:t>
            </w:r>
          </w:p>
          <w:p w14:paraId="5E90BCB0">
            <w:pPr>
              <w:jc w:val="center"/>
              <w:rPr>
                <w:color w:val="auto"/>
                <w:kern w:val="2"/>
                <w:highlight w:val="none"/>
              </w:rPr>
            </w:pPr>
            <w:r>
              <w:rPr>
                <w:rFonts w:hint="eastAsia"/>
                <w:color w:val="auto"/>
                <w:highlight w:val="none"/>
              </w:rPr>
              <w:object>
                <v:shape id="_x0000_i1025" o:spt="75" type="#_x0000_t75" style="height:323.45pt;width:466.1pt;" o:ole="t" filled="f" o:preferrelative="t" stroked="f" coordsize="21600,21600">
                  <v:path/>
                  <v:fill on="f" focussize="0,0"/>
                  <v:stroke on="f"/>
                  <v:imagedata r:id="rId14" o:title=""/>
                  <o:lock v:ext="edit" aspectratio="f"/>
                  <w10:wrap type="none"/>
                  <w10:anchorlock/>
                </v:shape>
                <o:OLEObject Type="Embed" ProgID="Visio.Drawing.15" ShapeID="_x0000_i1025" DrawAspect="Content" ObjectID="_1468075725" r:id="rId13">
                  <o:LockedField>false</o:LockedField>
                </o:OLEObject>
              </w:object>
            </w:r>
            <w:r>
              <w:rPr>
                <w:rFonts w:hint="eastAsia" w:ascii="Times New Roman" w:hAnsi="Times New Roman" w:eastAsia="宋体" w:cs="Times New Roman"/>
                <w:b/>
                <w:bCs/>
                <w:color w:val="auto"/>
                <w:kern w:val="2"/>
                <w:sz w:val="24"/>
                <w:szCs w:val="24"/>
                <w:highlight w:val="none"/>
                <w:lang w:val="en-US" w:eastAsia="zh-CN" w:bidi="ar-SA"/>
              </w:rPr>
              <w:t>图2-1  全厂水平衡图（单位m</w:t>
            </w:r>
            <w:r>
              <w:rPr>
                <w:rFonts w:hint="eastAsia" w:ascii="Times New Roman" w:hAnsi="Times New Roman" w:eastAsia="宋体" w:cs="Times New Roman"/>
                <w:b/>
                <w:bCs/>
                <w:color w:val="auto"/>
                <w:kern w:val="2"/>
                <w:sz w:val="24"/>
                <w:szCs w:val="24"/>
                <w:highlight w:val="none"/>
                <w:vertAlign w:val="superscript"/>
                <w:lang w:val="en-US" w:eastAsia="zh-CN" w:bidi="ar-SA"/>
              </w:rPr>
              <w:t>3</w:t>
            </w:r>
            <w:r>
              <w:rPr>
                <w:rFonts w:hint="eastAsia"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a</w:t>
            </w:r>
            <w:r>
              <w:rPr>
                <w:rFonts w:hint="eastAsia" w:ascii="Times New Roman" w:hAnsi="Times New Roman" w:eastAsia="宋体" w:cs="Times New Roman"/>
                <w:b/>
                <w:bCs/>
                <w:color w:val="auto"/>
                <w:kern w:val="2"/>
                <w:sz w:val="24"/>
                <w:szCs w:val="24"/>
                <w:highlight w:val="none"/>
                <w:lang w:val="en-US" w:eastAsia="zh-CN" w:bidi="ar-SA"/>
              </w:rPr>
              <w:t>）</w:t>
            </w:r>
          </w:p>
          <w:p w14:paraId="76627252">
            <w:pPr>
              <w:pStyle w:val="112"/>
              <w:jc w:val="center"/>
              <w:rPr>
                <w:b/>
                <w:bCs/>
                <w:color w:val="auto"/>
                <w:sz w:val="21"/>
                <w:szCs w:val="21"/>
                <w:highlight w:val="none"/>
              </w:rPr>
            </w:pPr>
            <w:r>
              <w:rPr>
                <w:rFonts w:hint="eastAsia"/>
                <w:b/>
                <w:bCs/>
                <w:color w:val="auto"/>
                <w:sz w:val="21"/>
                <w:szCs w:val="21"/>
                <w:highlight w:val="none"/>
                <w:lang w:val="en-US" w:eastAsia="zh-CN"/>
              </w:rPr>
              <w:t xml:space="preserve"> 项目</w:t>
            </w:r>
            <w:r>
              <w:rPr>
                <w:rFonts w:hint="eastAsia"/>
                <w:b/>
                <w:bCs/>
                <w:color w:val="auto"/>
                <w:sz w:val="21"/>
                <w:szCs w:val="21"/>
                <w:highlight w:val="none"/>
              </w:rPr>
              <w:t>物料平衡表</w:t>
            </w:r>
          </w:p>
          <w:tbl>
            <w:tblPr>
              <w:tblStyle w:val="49"/>
              <w:tblW w:w="496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0"/>
              <w:gridCol w:w="1531"/>
              <w:gridCol w:w="660"/>
              <w:gridCol w:w="3184"/>
              <w:gridCol w:w="2276"/>
            </w:tblGrid>
            <w:tr w14:paraId="6AB0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5D91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投料（</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6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E7B7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产出（</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r>
            <w:tr w14:paraId="0C47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6EE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物料名称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449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38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5148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物料名称</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DAD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r>
            <w:tr w14:paraId="7F3F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77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废塑料</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EC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100378.08 </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A8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产品</w:t>
                  </w: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E4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破碎料产品</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E5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69533.90 </w:t>
                  </w:r>
                </w:p>
              </w:tc>
            </w:tr>
            <w:tr w14:paraId="2ECC6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23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色母</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41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A0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w:t>
                  </w: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DC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塑料颗粒</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A0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30466.10 </w:t>
                  </w:r>
                </w:p>
              </w:tc>
            </w:tr>
            <w:tr w14:paraId="140D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6D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助剂</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AE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C2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固废</w:t>
                  </w: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20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D7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12.56 </w:t>
                  </w:r>
                </w:p>
              </w:tc>
            </w:tr>
            <w:tr w14:paraId="50D7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4F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B6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39A8">
                  <w:pPr>
                    <w:jc w:val="center"/>
                    <w:rPr>
                      <w:rFonts w:hint="eastAsia" w:ascii="宋体" w:hAnsi="宋体" w:eastAsia="宋体" w:cs="宋体"/>
                      <w:i w:val="0"/>
                      <w:iCs w:val="0"/>
                      <w:color w:val="auto"/>
                      <w:sz w:val="21"/>
                      <w:szCs w:val="21"/>
                      <w:highlight w:val="none"/>
                      <w:u w:val="none"/>
                    </w:rPr>
                  </w:pP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2C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F3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15.78 </w:t>
                  </w:r>
                </w:p>
              </w:tc>
            </w:tr>
            <w:tr w14:paraId="097F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08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1A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50ED">
                  <w:pPr>
                    <w:jc w:val="center"/>
                    <w:rPr>
                      <w:rFonts w:hint="eastAsia" w:ascii="宋体" w:hAnsi="宋体" w:eastAsia="宋体" w:cs="宋体"/>
                      <w:i w:val="0"/>
                      <w:iCs w:val="0"/>
                      <w:color w:val="auto"/>
                      <w:sz w:val="21"/>
                      <w:szCs w:val="21"/>
                      <w:highlight w:val="none"/>
                      <w:u w:val="none"/>
                    </w:rPr>
                  </w:pP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92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废木屑杂物</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12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r>
            <w:tr w14:paraId="5231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5E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0D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502E">
                  <w:pPr>
                    <w:jc w:val="center"/>
                    <w:rPr>
                      <w:rFonts w:hint="eastAsia" w:ascii="宋体" w:hAnsi="宋体" w:eastAsia="宋体" w:cs="宋体"/>
                      <w:i w:val="0"/>
                      <w:iCs w:val="0"/>
                      <w:color w:val="auto"/>
                      <w:sz w:val="21"/>
                      <w:szCs w:val="21"/>
                      <w:highlight w:val="none"/>
                      <w:u w:val="none"/>
                    </w:rPr>
                  </w:pPr>
                </w:p>
              </w:tc>
              <w:tc>
                <w:tcPr>
                  <w:tcW w:w="3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0E7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废橡胶</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6A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r>
            <w:tr w14:paraId="4AE28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623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合计</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D7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100380.58 </w:t>
                  </w:r>
                </w:p>
              </w:tc>
              <w:tc>
                <w:tcPr>
                  <w:tcW w:w="38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11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合计</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E4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100380.58 </w:t>
                  </w:r>
                </w:p>
              </w:tc>
            </w:tr>
          </w:tbl>
          <w:p w14:paraId="4F39AAE0">
            <w:pPr>
              <w:jc w:val="center"/>
              <w:rPr>
                <w:rFonts w:hint="eastAsia"/>
                <w:color w:val="auto"/>
                <w:highlight w:val="none"/>
              </w:rPr>
            </w:pPr>
          </w:p>
          <w:p w14:paraId="3251E725">
            <w:pPr>
              <w:jc w:val="center"/>
              <w:rPr>
                <w:color w:val="auto"/>
                <w:highlight w:val="none"/>
              </w:rPr>
            </w:pPr>
            <w:r>
              <w:rPr>
                <w:color w:val="auto"/>
                <w:highlight w:val="none"/>
              </w:rPr>
              <w:object>
                <v:shape id="_x0000_i1026" o:spt="75" type="#_x0000_t75" style="height:175.55pt;width:414.8pt;" o:ole="t" filled="f" o:preferrelative="t" stroked="f" coordsize="21600,21600">
                  <v:path/>
                  <v:fill on="f" focussize="0,0"/>
                  <v:stroke on="f"/>
                  <v:imagedata r:id="rId16" o:title=""/>
                  <o:lock v:ext="edit" aspectratio="f"/>
                  <w10:wrap type="none"/>
                  <w10:anchorlock/>
                </v:shape>
                <o:OLEObject Type="Embed" ProgID="Visio.Drawing.11" ShapeID="_x0000_i1026" DrawAspect="Content" ObjectID="_1468075726" r:id="rId15">
                  <o:LockedField>false</o:LockedField>
                </o:OLEObject>
              </w:object>
            </w:r>
          </w:p>
          <w:p w14:paraId="65F5C8FB">
            <w:pPr>
              <w:pStyle w:val="21"/>
              <w:numPr>
                <w:ilvl w:val="4"/>
                <w:numId w:val="0"/>
              </w:numPr>
              <w:jc w:val="center"/>
              <w:rPr>
                <w:rFonts w:hint="eastAsia"/>
                <w:color w:val="auto"/>
                <w:kern w:val="2"/>
                <w:highlight w:val="none"/>
                <w:lang w:eastAsia="zh-CN"/>
              </w:rPr>
            </w:pPr>
            <w:r>
              <w:rPr>
                <w:rFonts w:hint="eastAsia"/>
                <w:color w:val="auto"/>
                <w:kern w:val="2"/>
                <w:highlight w:val="none"/>
              </w:rPr>
              <w:t>图2-2</w:t>
            </w:r>
            <w:r>
              <w:rPr>
                <w:rFonts w:hint="eastAsia"/>
                <w:color w:val="auto"/>
                <w:kern w:val="2"/>
                <w:highlight w:val="none"/>
                <w:lang w:val="en-US" w:eastAsia="zh-CN"/>
              </w:rPr>
              <w:t>-1</w:t>
            </w:r>
            <w:r>
              <w:rPr>
                <w:rFonts w:hint="eastAsia"/>
                <w:color w:val="auto"/>
                <w:kern w:val="2"/>
                <w:highlight w:val="none"/>
              </w:rPr>
              <w:t xml:space="preserve">  </w:t>
            </w:r>
            <w:r>
              <w:rPr>
                <w:rFonts w:hint="eastAsia"/>
                <w:color w:val="auto"/>
                <w:kern w:val="2"/>
                <w:highlight w:val="none"/>
                <w:lang w:val="en-US" w:eastAsia="zh-CN"/>
              </w:rPr>
              <w:t>全厂</w:t>
            </w:r>
            <w:r>
              <w:rPr>
                <w:color w:val="auto"/>
                <w:kern w:val="2"/>
                <w:highlight w:val="none"/>
              </w:rPr>
              <w:t>项目</w:t>
            </w:r>
            <w:r>
              <w:rPr>
                <w:rFonts w:hint="eastAsia"/>
                <w:color w:val="auto"/>
                <w:kern w:val="2"/>
                <w:highlight w:val="none"/>
              </w:rPr>
              <w:t>物料</w:t>
            </w:r>
            <w:r>
              <w:rPr>
                <w:color w:val="auto"/>
                <w:kern w:val="2"/>
                <w:highlight w:val="none"/>
              </w:rPr>
              <w:t>衡图</w:t>
            </w:r>
            <w:r>
              <w:rPr>
                <w:rFonts w:hint="eastAsia"/>
                <w:color w:val="auto"/>
                <w:kern w:val="2"/>
                <w:highlight w:val="none"/>
                <w:lang w:eastAsia="zh-CN"/>
              </w:rPr>
              <w:t>（</w:t>
            </w:r>
            <w:r>
              <w:rPr>
                <w:rFonts w:hint="eastAsia"/>
                <w:color w:val="auto"/>
                <w:kern w:val="2"/>
                <w:highlight w:val="none"/>
                <w:lang w:val="en-US" w:eastAsia="zh-CN"/>
              </w:rPr>
              <w:t>单位：t/a</w:t>
            </w:r>
            <w:r>
              <w:rPr>
                <w:rFonts w:hint="eastAsia"/>
                <w:color w:val="auto"/>
                <w:kern w:val="2"/>
                <w:highlight w:val="none"/>
                <w:lang w:eastAsia="zh-CN"/>
              </w:rPr>
              <w:t>）</w:t>
            </w:r>
          </w:p>
          <w:p w14:paraId="606E6BBC">
            <w:pPr>
              <w:pStyle w:val="21"/>
              <w:numPr>
                <w:ilvl w:val="4"/>
                <w:numId w:val="0"/>
              </w:numPr>
              <w:jc w:val="center"/>
              <w:rPr>
                <w:color w:val="auto"/>
                <w:highlight w:val="none"/>
              </w:rPr>
            </w:pPr>
            <w:r>
              <w:rPr>
                <w:color w:val="auto"/>
                <w:highlight w:val="none"/>
              </w:rPr>
              <w:object>
                <v:shape id="_x0000_i1027" o:spt="75" type="#_x0000_t75" style="height:145.5pt;width:436.5pt;" o:ole="t" filled="f" o:preferrelative="t" stroked="f" coordsize="21600,21600">
                  <v:path/>
                  <v:fill on="f" focussize="0,0"/>
                  <v:stroke on="f"/>
                  <v:imagedata r:id="rId18" o:title=""/>
                  <o:lock v:ext="edit" aspectratio="f"/>
                  <w10:wrap type="none"/>
                  <w10:anchorlock/>
                </v:shape>
                <o:OLEObject Type="Embed" ProgID="Visio.Drawing.15" ShapeID="_x0000_i1027" DrawAspect="Content" ObjectID="_1468075727" r:id="rId17">
                  <o:LockedField>false</o:LockedField>
                </o:OLEObject>
              </w:object>
            </w:r>
          </w:p>
          <w:p w14:paraId="3E36B66E">
            <w:pPr>
              <w:jc w:val="center"/>
              <w:rPr>
                <w:rFonts w:hint="eastAsia"/>
                <w:b/>
                <w:bCs/>
                <w:color w:val="auto"/>
                <w:highlight w:val="none"/>
                <w:lang w:eastAsia="zh-CN"/>
              </w:rPr>
            </w:pPr>
            <w:r>
              <w:rPr>
                <w:rFonts w:hint="eastAsia"/>
                <w:b/>
                <w:bCs/>
                <w:color w:val="auto"/>
                <w:kern w:val="2"/>
                <w:highlight w:val="none"/>
              </w:rPr>
              <w:t>图2-2</w:t>
            </w:r>
            <w:r>
              <w:rPr>
                <w:rFonts w:hint="eastAsia" w:ascii="Times New Roman" w:eastAsia="宋体"/>
                <w:b/>
                <w:bCs/>
                <w:color w:val="auto"/>
                <w:kern w:val="2"/>
                <w:highlight w:val="none"/>
                <w:lang w:val="en-US" w:eastAsia="zh-CN"/>
              </w:rPr>
              <w:t>-</w:t>
            </w:r>
            <w:r>
              <w:rPr>
                <w:rFonts w:hint="eastAsia"/>
                <w:b/>
                <w:bCs/>
                <w:color w:val="auto"/>
                <w:kern w:val="2"/>
                <w:highlight w:val="none"/>
                <w:lang w:val="en-US" w:eastAsia="zh-CN"/>
              </w:rPr>
              <w:t>2</w:t>
            </w:r>
            <w:r>
              <w:rPr>
                <w:rFonts w:hint="eastAsia"/>
                <w:b/>
                <w:bCs/>
                <w:color w:val="auto"/>
                <w:kern w:val="2"/>
                <w:highlight w:val="none"/>
              </w:rPr>
              <w:t xml:space="preserve">  </w:t>
            </w:r>
            <w:r>
              <w:rPr>
                <w:rFonts w:hint="eastAsia"/>
                <w:b/>
                <w:bCs/>
                <w:color w:val="auto"/>
                <w:kern w:val="2"/>
                <w:highlight w:val="none"/>
                <w:lang w:val="en-US" w:eastAsia="zh-CN"/>
              </w:rPr>
              <w:t>VOCs产排平</w:t>
            </w:r>
            <w:r>
              <w:rPr>
                <w:b/>
                <w:bCs/>
                <w:color w:val="auto"/>
                <w:kern w:val="2"/>
                <w:highlight w:val="none"/>
              </w:rPr>
              <w:t>衡图</w:t>
            </w:r>
            <w:r>
              <w:rPr>
                <w:rFonts w:hint="eastAsia" w:eastAsia="宋体"/>
                <w:b/>
                <w:bCs/>
                <w:color w:val="auto"/>
                <w:kern w:val="2"/>
                <w:highlight w:val="none"/>
                <w:lang w:eastAsia="zh-CN"/>
              </w:rPr>
              <w:t>（</w:t>
            </w:r>
            <w:r>
              <w:rPr>
                <w:rFonts w:hint="eastAsia" w:ascii="Times New Roman" w:eastAsia="宋体"/>
                <w:b/>
                <w:bCs/>
                <w:color w:val="auto"/>
                <w:kern w:val="2"/>
                <w:highlight w:val="none"/>
                <w:lang w:val="en-US" w:eastAsia="zh-CN"/>
              </w:rPr>
              <w:t>单位：t/a</w:t>
            </w:r>
            <w:r>
              <w:rPr>
                <w:rFonts w:hint="eastAsia" w:eastAsia="宋体"/>
                <w:b/>
                <w:bCs/>
                <w:color w:val="auto"/>
                <w:kern w:val="2"/>
                <w:highlight w:val="none"/>
                <w:lang w:eastAsia="zh-CN"/>
              </w:rPr>
              <w:t>）</w:t>
            </w:r>
          </w:p>
          <w:p w14:paraId="759C5917">
            <w:pPr>
              <w:pStyle w:val="21"/>
              <w:numPr>
                <w:ilvl w:val="4"/>
                <w:numId w:val="0"/>
              </w:numPr>
              <w:ind w:left="-960" w:firstLine="1440"/>
              <w:rPr>
                <w:color w:val="auto"/>
                <w:kern w:val="2"/>
                <w:highlight w:val="none"/>
              </w:rPr>
            </w:pPr>
            <w:r>
              <w:rPr>
                <w:color w:val="auto"/>
                <w:kern w:val="2"/>
                <w:highlight w:val="none"/>
              </w:rPr>
              <w:t>（4）通风系统</w:t>
            </w:r>
          </w:p>
          <w:p w14:paraId="5E018729">
            <w:pPr>
              <w:adjustRightInd w:val="0"/>
              <w:ind w:firstLine="480" w:firstLineChars="200"/>
              <w:rPr>
                <w:color w:val="auto"/>
                <w:highlight w:val="none"/>
              </w:rPr>
            </w:pPr>
            <w:r>
              <w:rPr>
                <w:color w:val="auto"/>
                <w:highlight w:val="none"/>
              </w:rPr>
              <w:t>本项目主要采用自然通风或设置抽排风机进行通风，不设中央空调。</w:t>
            </w:r>
          </w:p>
          <w:p w14:paraId="68C8BD46">
            <w:pPr>
              <w:pStyle w:val="10"/>
              <w:numPr>
                <w:ilvl w:val="2"/>
                <w:numId w:val="0"/>
              </w:numPr>
              <w:ind w:firstLine="480" w:firstLineChars="200"/>
              <w:rPr>
                <w:color w:val="auto"/>
                <w:highlight w:val="none"/>
              </w:rPr>
            </w:pPr>
            <w:r>
              <w:rPr>
                <w:color w:val="auto"/>
                <w:highlight w:val="none"/>
              </w:rPr>
              <w:t>7、环保投资</w:t>
            </w:r>
          </w:p>
          <w:p w14:paraId="576AFD75">
            <w:pPr>
              <w:pStyle w:val="109"/>
              <w:numPr>
                <w:ilvl w:val="0"/>
                <w:numId w:val="0"/>
              </w:numPr>
              <w:ind w:left="482"/>
              <w:rPr>
                <w:rFonts w:hint="default" w:cs="Times New Roman"/>
                <w:b w:val="0"/>
                <w:bCs w:val="0"/>
                <w:color w:val="auto"/>
                <w:highlight w:val="none"/>
              </w:rPr>
            </w:pPr>
            <w:r>
              <w:rPr>
                <w:rFonts w:hint="default" w:cs="Times New Roman"/>
                <w:b w:val="0"/>
                <w:bCs w:val="0"/>
                <w:color w:val="auto"/>
                <w:highlight w:val="none"/>
              </w:rPr>
              <w:t>本项目所需落实的污染防治措施的投资估算如下表所示。</w:t>
            </w:r>
          </w:p>
          <w:p w14:paraId="3895D5A8">
            <w:pPr>
              <w:pStyle w:val="112"/>
              <w:jc w:val="center"/>
              <w:rPr>
                <w:color w:val="auto"/>
                <w:highlight w:val="none"/>
              </w:rPr>
            </w:pPr>
            <w:r>
              <w:rPr>
                <w:b/>
                <w:bCs/>
                <w:color w:val="auto"/>
                <w:sz w:val="21"/>
                <w:szCs w:val="21"/>
                <w:highlight w:val="none"/>
              </w:rPr>
              <w:t>环保投资估算一览表</w:t>
            </w:r>
          </w:p>
          <w:tbl>
            <w:tblPr>
              <w:tblStyle w:val="5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647"/>
              <w:gridCol w:w="4854"/>
              <w:gridCol w:w="1866"/>
            </w:tblGrid>
            <w:tr w14:paraId="6A63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Align w:val="center"/>
                </w:tcPr>
                <w:p w14:paraId="2E12433A">
                  <w:pPr>
                    <w:pStyle w:val="69"/>
                    <w:rPr>
                      <w:rFonts w:ascii="Times New Roman"/>
                      <w:b/>
                      <w:bCs/>
                      <w:color w:val="auto"/>
                      <w:sz w:val="21"/>
                      <w:szCs w:val="21"/>
                      <w:highlight w:val="none"/>
                    </w:rPr>
                  </w:pPr>
                  <w:r>
                    <w:rPr>
                      <w:rFonts w:ascii="Times New Roman"/>
                      <w:b/>
                      <w:bCs/>
                      <w:color w:val="auto"/>
                      <w:sz w:val="21"/>
                      <w:szCs w:val="21"/>
                      <w:highlight w:val="none"/>
                    </w:rPr>
                    <w:t>序号</w:t>
                  </w:r>
                </w:p>
              </w:tc>
              <w:tc>
                <w:tcPr>
                  <w:tcW w:w="906" w:type="pct"/>
                  <w:vAlign w:val="center"/>
                </w:tcPr>
                <w:p w14:paraId="2A841318">
                  <w:pPr>
                    <w:pStyle w:val="69"/>
                    <w:rPr>
                      <w:rFonts w:ascii="Times New Roman"/>
                      <w:b/>
                      <w:bCs/>
                      <w:color w:val="auto"/>
                      <w:sz w:val="21"/>
                      <w:szCs w:val="21"/>
                      <w:highlight w:val="none"/>
                    </w:rPr>
                  </w:pPr>
                  <w:r>
                    <w:rPr>
                      <w:rFonts w:ascii="Times New Roman"/>
                      <w:b/>
                      <w:bCs/>
                      <w:color w:val="auto"/>
                      <w:sz w:val="21"/>
                      <w:szCs w:val="21"/>
                      <w:highlight w:val="none"/>
                    </w:rPr>
                    <w:t>环保项目</w:t>
                  </w:r>
                </w:p>
              </w:tc>
              <w:tc>
                <w:tcPr>
                  <w:tcW w:w="2635" w:type="pct"/>
                  <w:vAlign w:val="center"/>
                </w:tcPr>
                <w:p w14:paraId="616326F6">
                  <w:pPr>
                    <w:pStyle w:val="69"/>
                    <w:rPr>
                      <w:rFonts w:ascii="Times New Roman"/>
                      <w:b/>
                      <w:bCs/>
                      <w:color w:val="auto"/>
                      <w:sz w:val="21"/>
                      <w:szCs w:val="21"/>
                      <w:highlight w:val="none"/>
                    </w:rPr>
                  </w:pPr>
                  <w:r>
                    <w:rPr>
                      <w:rFonts w:ascii="Times New Roman"/>
                      <w:b/>
                      <w:bCs/>
                      <w:color w:val="auto"/>
                      <w:sz w:val="21"/>
                      <w:szCs w:val="21"/>
                      <w:highlight w:val="none"/>
                    </w:rPr>
                    <w:t>主要内容</w:t>
                  </w:r>
                </w:p>
              </w:tc>
              <w:tc>
                <w:tcPr>
                  <w:tcW w:w="1024" w:type="pct"/>
                  <w:vAlign w:val="center"/>
                </w:tcPr>
                <w:p w14:paraId="23ED11C5">
                  <w:pPr>
                    <w:pStyle w:val="69"/>
                    <w:rPr>
                      <w:rFonts w:ascii="Times New Roman"/>
                      <w:b/>
                      <w:bCs/>
                      <w:color w:val="auto"/>
                      <w:sz w:val="21"/>
                      <w:szCs w:val="21"/>
                      <w:highlight w:val="none"/>
                    </w:rPr>
                  </w:pPr>
                  <w:r>
                    <w:rPr>
                      <w:rFonts w:ascii="Times New Roman"/>
                      <w:b/>
                      <w:bCs/>
                      <w:color w:val="auto"/>
                      <w:sz w:val="21"/>
                      <w:szCs w:val="21"/>
                      <w:highlight w:val="none"/>
                    </w:rPr>
                    <w:t>投资额（万元）</w:t>
                  </w:r>
                </w:p>
              </w:tc>
            </w:tr>
            <w:tr w14:paraId="41A3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Align w:val="center"/>
                </w:tcPr>
                <w:p w14:paraId="2DC48574">
                  <w:pPr>
                    <w:pStyle w:val="69"/>
                    <w:rPr>
                      <w:rFonts w:ascii="Times New Roman"/>
                      <w:color w:val="auto"/>
                      <w:sz w:val="21"/>
                      <w:szCs w:val="21"/>
                      <w:highlight w:val="none"/>
                    </w:rPr>
                  </w:pPr>
                  <w:r>
                    <w:rPr>
                      <w:rFonts w:ascii="Times New Roman"/>
                      <w:color w:val="auto"/>
                      <w:sz w:val="21"/>
                      <w:szCs w:val="21"/>
                      <w:highlight w:val="none"/>
                    </w:rPr>
                    <w:t>1</w:t>
                  </w:r>
                </w:p>
              </w:tc>
              <w:tc>
                <w:tcPr>
                  <w:tcW w:w="906" w:type="pct"/>
                  <w:vAlign w:val="center"/>
                </w:tcPr>
                <w:p w14:paraId="09D3810B">
                  <w:pPr>
                    <w:pStyle w:val="69"/>
                    <w:rPr>
                      <w:rFonts w:ascii="Times New Roman"/>
                      <w:color w:val="auto"/>
                      <w:sz w:val="21"/>
                      <w:szCs w:val="21"/>
                      <w:highlight w:val="none"/>
                    </w:rPr>
                  </w:pPr>
                  <w:r>
                    <w:rPr>
                      <w:rFonts w:ascii="Times New Roman"/>
                      <w:color w:val="auto"/>
                      <w:sz w:val="21"/>
                      <w:szCs w:val="21"/>
                      <w:highlight w:val="none"/>
                    </w:rPr>
                    <w:t>废气治理</w:t>
                  </w:r>
                </w:p>
              </w:tc>
              <w:tc>
                <w:tcPr>
                  <w:tcW w:w="2635" w:type="pct"/>
                  <w:vAlign w:val="center"/>
                </w:tcPr>
                <w:p w14:paraId="7EDE2B1A">
                  <w:pPr>
                    <w:pStyle w:val="69"/>
                    <w:rPr>
                      <w:rFonts w:ascii="Times New Roman"/>
                      <w:color w:val="auto"/>
                      <w:sz w:val="21"/>
                      <w:szCs w:val="21"/>
                      <w:highlight w:val="none"/>
                    </w:rPr>
                  </w:pPr>
                  <w:r>
                    <w:rPr>
                      <w:rFonts w:ascii="Times New Roman"/>
                      <w:color w:val="auto"/>
                      <w:sz w:val="21"/>
                      <w:szCs w:val="21"/>
                      <w:highlight w:val="none"/>
                    </w:rPr>
                    <w:t>配套废气收集设施、</w:t>
                  </w:r>
                  <w:r>
                    <w:rPr>
                      <w:rFonts w:hint="eastAsia" w:ascii="Times New Roman"/>
                      <w:color w:val="auto"/>
                      <w:sz w:val="21"/>
                      <w:szCs w:val="21"/>
                      <w:highlight w:val="none"/>
                    </w:rPr>
                    <w:t>布袋除尘器1套</w:t>
                  </w:r>
                  <w:r>
                    <w:rPr>
                      <w:rFonts w:ascii="Times New Roman"/>
                      <w:color w:val="auto"/>
                      <w:sz w:val="21"/>
                      <w:szCs w:val="21"/>
                      <w:highlight w:val="none"/>
                    </w:rPr>
                    <w:t>。</w:t>
                  </w:r>
                </w:p>
              </w:tc>
              <w:tc>
                <w:tcPr>
                  <w:tcW w:w="1024" w:type="pct"/>
                  <w:vAlign w:val="center"/>
                </w:tcPr>
                <w:p w14:paraId="761E3BB2">
                  <w:pPr>
                    <w:pStyle w:val="69"/>
                    <w:rPr>
                      <w:rFonts w:hint="default" w:ascii="Times New Roman" w:eastAsia="宋体"/>
                      <w:color w:val="auto"/>
                      <w:sz w:val="21"/>
                      <w:szCs w:val="21"/>
                      <w:highlight w:val="none"/>
                      <w:lang w:val="en-US" w:eastAsia="zh-CN"/>
                    </w:rPr>
                  </w:pPr>
                  <w:r>
                    <w:rPr>
                      <w:rFonts w:hint="eastAsia" w:ascii="Times New Roman"/>
                      <w:color w:val="auto"/>
                      <w:sz w:val="21"/>
                      <w:szCs w:val="21"/>
                      <w:highlight w:val="none"/>
                      <w:lang w:val="en-US" w:eastAsia="zh-CN"/>
                    </w:rPr>
                    <w:t>140</w:t>
                  </w:r>
                </w:p>
              </w:tc>
            </w:tr>
            <w:tr w14:paraId="02C1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Align w:val="center"/>
                </w:tcPr>
                <w:p w14:paraId="6C0A9A8E">
                  <w:pPr>
                    <w:pStyle w:val="69"/>
                    <w:rPr>
                      <w:rFonts w:ascii="Times New Roman"/>
                      <w:color w:val="auto"/>
                      <w:sz w:val="21"/>
                      <w:szCs w:val="21"/>
                      <w:highlight w:val="none"/>
                    </w:rPr>
                  </w:pPr>
                  <w:r>
                    <w:rPr>
                      <w:rFonts w:ascii="Times New Roman"/>
                      <w:color w:val="auto"/>
                      <w:sz w:val="21"/>
                      <w:szCs w:val="21"/>
                      <w:highlight w:val="none"/>
                    </w:rPr>
                    <w:t>2</w:t>
                  </w:r>
                </w:p>
              </w:tc>
              <w:tc>
                <w:tcPr>
                  <w:tcW w:w="906" w:type="pct"/>
                  <w:vAlign w:val="center"/>
                </w:tcPr>
                <w:p w14:paraId="1825AB17">
                  <w:pPr>
                    <w:pStyle w:val="69"/>
                    <w:rPr>
                      <w:rFonts w:ascii="Times New Roman"/>
                      <w:color w:val="auto"/>
                      <w:sz w:val="21"/>
                      <w:szCs w:val="21"/>
                      <w:highlight w:val="none"/>
                    </w:rPr>
                  </w:pPr>
                  <w:r>
                    <w:rPr>
                      <w:rFonts w:ascii="Times New Roman"/>
                      <w:color w:val="auto"/>
                      <w:sz w:val="21"/>
                      <w:szCs w:val="21"/>
                      <w:highlight w:val="none"/>
                    </w:rPr>
                    <w:t>废水治理</w:t>
                  </w:r>
                </w:p>
              </w:tc>
              <w:tc>
                <w:tcPr>
                  <w:tcW w:w="2635" w:type="pct"/>
                  <w:vAlign w:val="center"/>
                </w:tcPr>
                <w:p w14:paraId="7AD0936A">
                  <w:pPr>
                    <w:pStyle w:val="69"/>
                    <w:rPr>
                      <w:rFonts w:ascii="Times New Roman"/>
                      <w:color w:val="auto"/>
                      <w:sz w:val="21"/>
                      <w:szCs w:val="21"/>
                      <w:highlight w:val="none"/>
                    </w:rPr>
                  </w:pPr>
                  <w:r>
                    <w:rPr>
                      <w:rFonts w:ascii="Times New Roman"/>
                      <w:color w:val="auto"/>
                      <w:sz w:val="21"/>
                      <w:szCs w:val="21"/>
                      <w:highlight w:val="none"/>
                    </w:rPr>
                    <w:t>铺设污水接驳管道</w:t>
                  </w:r>
                  <w:r>
                    <w:rPr>
                      <w:rFonts w:hint="eastAsia" w:ascii="Times New Roman"/>
                      <w:color w:val="auto"/>
                      <w:sz w:val="21"/>
                      <w:szCs w:val="21"/>
                      <w:highlight w:val="none"/>
                    </w:rPr>
                    <w:t>、废水处理设施</w:t>
                  </w:r>
                  <w:r>
                    <w:rPr>
                      <w:rFonts w:ascii="Times New Roman"/>
                      <w:color w:val="auto"/>
                      <w:sz w:val="21"/>
                      <w:szCs w:val="21"/>
                      <w:highlight w:val="none"/>
                    </w:rPr>
                    <w:t>。</w:t>
                  </w:r>
                </w:p>
              </w:tc>
              <w:tc>
                <w:tcPr>
                  <w:tcW w:w="1024" w:type="pct"/>
                  <w:vAlign w:val="center"/>
                </w:tcPr>
                <w:p w14:paraId="27352593">
                  <w:pPr>
                    <w:pStyle w:val="69"/>
                    <w:rPr>
                      <w:rFonts w:hint="default" w:ascii="Times New Roman" w:eastAsia="宋体"/>
                      <w:color w:val="auto"/>
                      <w:sz w:val="21"/>
                      <w:szCs w:val="21"/>
                      <w:highlight w:val="none"/>
                      <w:lang w:val="en-US" w:eastAsia="zh-CN"/>
                    </w:rPr>
                  </w:pPr>
                  <w:r>
                    <w:rPr>
                      <w:rFonts w:hint="eastAsia" w:ascii="Times New Roman"/>
                      <w:color w:val="auto"/>
                      <w:sz w:val="21"/>
                      <w:szCs w:val="21"/>
                      <w:highlight w:val="none"/>
                      <w:lang w:val="en-US" w:eastAsia="zh-CN"/>
                    </w:rPr>
                    <w:t>50</w:t>
                  </w:r>
                </w:p>
              </w:tc>
            </w:tr>
            <w:tr w14:paraId="4CF8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Align w:val="center"/>
                </w:tcPr>
                <w:p w14:paraId="18C7D65E">
                  <w:pPr>
                    <w:pStyle w:val="69"/>
                    <w:rPr>
                      <w:rFonts w:ascii="Times New Roman"/>
                      <w:color w:val="auto"/>
                      <w:sz w:val="21"/>
                      <w:szCs w:val="21"/>
                      <w:highlight w:val="none"/>
                    </w:rPr>
                  </w:pPr>
                  <w:r>
                    <w:rPr>
                      <w:rFonts w:ascii="Times New Roman"/>
                      <w:color w:val="auto"/>
                      <w:sz w:val="21"/>
                      <w:szCs w:val="21"/>
                      <w:highlight w:val="none"/>
                    </w:rPr>
                    <w:t>3</w:t>
                  </w:r>
                </w:p>
              </w:tc>
              <w:tc>
                <w:tcPr>
                  <w:tcW w:w="906" w:type="pct"/>
                  <w:vAlign w:val="center"/>
                </w:tcPr>
                <w:p w14:paraId="6ACC8D34">
                  <w:pPr>
                    <w:pStyle w:val="69"/>
                    <w:rPr>
                      <w:rFonts w:ascii="Times New Roman"/>
                      <w:color w:val="auto"/>
                      <w:sz w:val="21"/>
                      <w:szCs w:val="21"/>
                      <w:highlight w:val="none"/>
                    </w:rPr>
                  </w:pPr>
                  <w:r>
                    <w:rPr>
                      <w:rFonts w:ascii="Times New Roman"/>
                      <w:color w:val="auto"/>
                      <w:sz w:val="21"/>
                      <w:szCs w:val="21"/>
                      <w:highlight w:val="none"/>
                    </w:rPr>
                    <w:t>噪声治理</w:t>
                  </w:r>
                </w:p>
              </w:tc>
              <w:tc>
                <w:tcPr>
                  <w:tcW w:w="2635" w:type="pct"/>
                  <w:vAlign w:val="center"/>
                </w:tcPr>
                <w:p w14:paraId="21F5DAA0">
                  <w:pPr>
                    <w:pStyle w:val="69"/>
                    <w:rPr>
                      <w:rFonts w:ascii="Times New Roman"/>
                      <w:color w:val="auto"/>
                      <w:sz w:val="21"/>
                      <w:szCs w:val="21"/>
                      <w:highlight w:val="none"/>
                    </w:rPr>
                  </w:pPr>
                  <w:r>
                    <w:rPr>
                      <w:rFonts w:ascii="Times New Roman"/>
                      <w:color w:val="auto"/>
                      <w:sz w:val="21"/>
                      <w:szCs w:val="21"/>
                      <w:highlight w:val="none"/>
                    </w:rPr>
                    <w:t>高噪声设备配套减振、隔音、消声装置。</w:t>
                  </w:r>
                </w:p>
              </w:tc>
              <w:tc>
                <w:tcPr>
                  <w:tcW w:w="1024" w:type="pct"/>
                  <w:vAlign w:val="center"/>
                </w:tcPr>
                <w:p w14:paraId="2740A67C">
                  <w:pPr>
                    <w:pStyle w:val="69"/>
                    <w:rPr>
                      <w:rFonts w:ascii="Times New Roman"/>
                      <w:color w:val="auto"/>
                      <w:sz w:val="21"/>
                      <w:szCs w:val="21"/>
                      <w:highlight w:val="none"/>
                    </w:rPr>
                  </w:pPr>
                  <w:r>
                    <w:rPr>
                      <w:rFonts w:ascii="Times New Roman"/>
                      <w:color w:val="auto"/>
                      <w:sz w:val="21"/>
                      <w:szCs w:val="21"/>
                      <w:highlight w:val="none"/>
                    </w:rPr>
                    <w:t>5</w:t>
                  </w:r>
                </w:p>
              </w:tc>
            </w:tr>
            <w:tr w14:paraId="66D8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Align w:val="center"/>
                </w:tcPr>
                <w:p w14:paraId="1E14A7F7">
                  <w:pPr>
                    <w:pStyle w:val="69"/>
                    <w:rPr>
                      <w:rFonts w:ascii="Times New Roman"/>
                      <w:color w:val="auto"/>
                      <w:sz w:val="21"/>
                      <w:szCs w:val="21"/>
                      <w:highlight w:val="none"/>
                    </w:rPr>
                  </w:pPr>
                  <w:r>
                    <w:rPr>
                      <w:rFonts w:ascii="Times New Roman"/>
                      <w:color w:val="auto"/>
                      <w:sz w:val="21"/>
                      <w:szCs w:val="21"/>
                      <w:highlight w:val="none"/>
                    </w:rPr>
                    <w:t>4</w:t>
                  </w:r>
                </w:p>
              </w:tc>
              <w:tc>
                <w:tcPr>
                  <w:tcW w:w="906" w:type="pct"/>
                  <w:vAlign w:val="center"/>
                </w:tcPr>
                <w:p w14:paraId="67719885">
                  <w:pPr>
                    <w:pStyle w:val="69"/>
                    <w:rPr>
                      <w:rFonts w:ascii="Times New Roman"/>
                      <w:color w:val="auto"/>
                      <w:sz w:val="21"/>
                      <w:szCs w:val="21"/>
                      <w:highlight w:val="none"/>
                    </w:rPr>
                  </w:pPr>
                  <w:r>
                    <w:rPr>
                      <w:rFonts w:ascii="Times New Roman"/>
                      <w:color w:val="auto"/>
                      <w:sz w:val="21"/>
                      <w:szCs w:val="21"/>
                      <w:highlight w:val="none"/>
                    </w:rPr>
                    <w:t>固体废物处理</w:t>
                  </w:r>
                </w:p>
              </w:tc>
              <w:tc>
                <w:tcPr>
                  <w:tcW w:w="2635" w:type="pct"/>
                  <w:vAlign w:val="center"/>
                </w:tcPr>
                <w:p w14:paraId="312C6C28">
                  <w:pPr>
                    <w:widowControl/>
                    <w:jc w:val="center"/>
                    <w:rPr>
                      <w:color w:val="auto"/>
                      <w:sz w:val="21"/>
                      <w:szCs w:val="21"/>
                      <w:highlight w:val="none"/>
                    </w:rPr>
                  </w:pPr>
                  <w:r>
                    <w:rPr>
                      <w:rFonts w:hint="eastAsia"/>
                      <w:color w:val="auto"/>
                      <w:kern w:val="0"/>
                      <w:sz w:val="21"/>
                      <w:szCs w:val="21"/>
                      <w:highlight w:val="none"/>
                      <w:lang w:val="en-US" w:eastAsia="zh-CN"/>
                    </w:rPr>
                    <w:t>主要依托现有</w:t>
                  </w:r>
                  <w:r>
                    <w:rPr>
                      <w:color w:val="auto"/>
                      <w:kern w:val="0"/>
                      <w:sz w:val="21"/>
                      <w:szCs w:val="21"/>
                      <w:highlight w:val="none"/>
                    </w:rPr>
                    <w:t>一般工业固体废物、危险废物贮存间。</w:t>
                  </w:r>
                </w:p>
              </w:tc>
              <w:tc>
                <w:tcPr>
                  <w:tcW w:w="1024" w:type="pct"/>
                  <w:vAlign w:val="center"/>
                </w:tcPr>
                <w:p w14:paraId="51C17245">
                  <w:pPr>
                    <w:pStyle w:val="69"/>
                    <w:rPr>
                      <w:rFonts w:hint="eastAsia" w:ascii="Times New Roman" w:eastAsia="宋体"/>
                      <w:color w:val="auto"/>
                      <w:sz w:val="21"/>
                      <w:szCs w:val="21"/>
                      <w:highlight w:val="none"/>
                      <w:lang w:eastAsia="zh-CN"/>
                    </w:rPr>
                  </w:pPr>
                  <w:r>
                    <w:rPr>
                      <w:rFonts w:hint="eastAsia" w:ascii="Times New Roman"/>
                      <w:color w:val="auto"/>
                      <w:sz w:val="21"/>
                      <w:szCs w:val="21"/>
                      <w:highlight w:val="none"/>
                      <w:lang w:val="en-US" w:eastAsia="zh-CN"/>
                    </w:rPr>
                    <w:t>5</w:t>
                  </w:r>
                </w:p>
              </w:tc>
            </w:tr>
            <w:tr w14:paraId="19B7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5" w:type="pct"/>
                  <w:gridSpan w:val="3"/>
                  <w:vAlign w:val="center"/>
                </w:tcPr>
                <w:p w14:paraId="284C8E67">
                  <w:pPr>
                    <w:pStyle w:val="69"/>
                    <w:rPr>
                      <w:rFonts w:ascii="Times New Roman"/>
                      <w:color w:val="auto"/>
                      <w:sz w:val="21"/>
                      <w:szCs w:val="21"/>
                      <w:highlight w:val="none"/>
                    </w:rPr>
                  </w:pPr>
                  <w:r>
                    <w:rPr>
                      <w:rFonts w:ascii="Times New Roman"/>
                      <w:color w:val="auto"/>
                      <w:sz w:val="21"/>
                      <w:szCs w:val="21"/>
                      <w:highlight w:val="none"/>
                    </w:rPr>
                    <w:t>合计</w:t>
                  </w:r>
                </w:p>
              </w:tc>
              <w:tc>
                <w:tcPr>
                  <w:tcW w:w="1024" w:type="pct"/>
                  <w:vAlign w:val="center"/>
                </w:tcPr>
                <w:p w14:paraId="051F253F">
                  <w:pPr>
                    <w:pStyle w:val="69"/>
                    <w:rPr>
                      <w:rFonts w:ascii="Times New Roman"/>
                      <w:color w:val="auto"/>
                      <w:sz w:val="21"/>
                      <w:szCs w:val="21"/>
                      <w:highlight w:val="none"/>
                    </w:rPr>
                  </w:pPr>
                  <w:r>
                    <w:rPr>
                      <w:rFonts w:hint="eastAsia" w:ascii="Times New Roman"/>
                      <w:color w:val="auto"/>
                      <w:sz w:val="21"/>
                      <w:szCs w:val="21"/>
                      <w:highlight w:val="none"/>
                      <w:lang w:val="en-US" w:eastAsia="zh-CN"/>
                    </w:rPr>
                    <w:t>2</w:t>
                  </w:r>
                  <w:r>
                    <w:rPr>
                      <w:rFonts w:ascii="Times New Roman"/>
                      <w:color w:val="auto"/>
                      <w:sz w:val="21"/>
                      <w:szCs w:val="21"/>
                      <w:highlight w:val="none"/>
                    </w:rPr>
                    <w:t>00</w:t>
                  </w:r>
                </w:p>
              </w:tc>
            </w:tr>
          </w:tbl>
          <w:p w14:paraId="35EEB884">
            <w:pPr>
              <w:pStyle w:val="10"/>
              <w:numPr>
                <w:ilvl w:val="2"/>
                <w:numId w:val="0"/>
              </w:numPr>
              <w:ind w:firstLine="480" w:firstLineChars="200"/>
              <w:rPr>
                <w:color w:val="auto"/>
                <w:highlight w:val="none"/>
              </w:rPr>
            </w:pPr>
            <w:r>
              <w:rPr>
                <w:color w:val="auto"/>
                <w:highlight w:val="none"/>
              </w:rPr>
              <w:t>三、总平面布局合理性分析</w:t>
            </w:r>
          </w:p>
          <w:p w14:paraId="7C19A980">
            <w:pPr>
              <w:pStyle w:val="20"/>
              <w:numPr>
                <w:ilvl w:val="3"/>
                <w:numId w:val="0"/>
              </w:numPr>
              <w:ind w:left="480" w:leftChars="200"/>
              <w:rPr>
                <w:color w:val="auto"/>
                <w:highlight w:val="none"/>
              </w:rPr>
            </w:pPr>
            <w:r>
              <w:rPr>
                <w:color w:val="auto"/>
                <w:highlight w:val="none"/>
              </w:rPr>
              <w:t>1、用地合理、合法性分析</w:t>
            </w:r>
          </w:p>
          <w:p w14:paraId="0A691FCE">
            <w:pPr>
              <w:pStyle w:val="20"/>
              <w:numPr>
                <w:ilvl w:val="3"/>
                <w:numId w:val="0"/>
              </w:numPr>
              <w:ind w:firstLine="480" w:firstLineChars="200"/>
              <w:rPr>
                <w:rFonts w:hint="default" w:eastAsia="宋体"/>
                <w:b w:val="0"/>
                <w:color w:val="auto"/>
                <w:szCs w:val="24"/>
                <w:highlight w:val="none"/>
                <w:lang w:val="en-US" w:eastAsia="zh-CN"/>
              </w:rPr>
            </w:pPr>
            <w:r>
              <w:rPr>
                <w:rFonts w:hint="eastAsia"/>
                <w:b w:val="0"/>
                <w:color w:val="auto"/>
                <w:szCs w:val="24"/>
                <w:highlight w:val="none"/>
              </w:rPr>
              <w:t>根据企业投资项目备案证（见附件4）</w:t>
            </w:r>
            <w:r>
              <w:rPr>
                <w:b w:val="0"/>
                <w:color w:val="auto"/>
                <w:szCs w:val="24"/>
                <w:highlight w:val="none"/>
              </w:rPr>
              <w:t>建设单位拟于</w:t>
            </w:r>
            <w:r>
              <w:rPr>
                <w:rFonts w:hint="eastAsia"/>
                <w:b w:val="0"/>
                <w:color w:val="auto"/>
                <w:szCs w:val="24"/>
                <w:highlight w:val="none"/>
              </w:rPr>
              <w:t>韶关市乐昌市乐昌产业转移工业园GL-02-04-02-03地块</w:t>
            </w:r>
            <w:r>
              <w:rPr>
                <w:b w:val="0"/>
                <w:color w:val="auto"/>
                <w:szCs w:val="24"/>
                <w:highlight w:val="none"/>
              </w:rPr>
              <w:t>进行生产，根据</w:t>
            </w:r>
            <w:r>
              <w:rPr>
                <w:rFonts w:hint="eastAsia"/>
                <w:b w:val="0"/>
                <w:color w:val="auto"/>
                <w:szCs w:val="24"/>
                <w:highlight w:val="none"/>
              </w:rPr>
              <w:t>项目用地不动产权证</w:t>
            </w:r>
            <w:r>
              <w:rPr>
                <w:b w:val="0"/>
                <w:color w:val="auto"/>
                <w:szCs w:val="24"/>
                <w:highlight w:val="none"/>
              </w:rPr>
              <w:t>（详见附件3）可知，项目用地用途为工业用地。</w:t>
            </w:r>
            <w:r>
              <w:rPr>
                <w:rFonts w:hint="eastAsia"/>
                <w:b w:val="0"/>
                <w:color w:val="auto"/>
                <w:szCs w:val="24"/>
                <w:highlight w:val="none"/>
              </w:rPr>
              <w:t>布局有明显的功能分区，整体布局紧凑，物品进出及内部流动顺畅，项目厂区平面布置总体合理。</w:t>
            </w:r>
            <w:r>
              <w:rPr>
                <w:rFonts w:hint="eastAsia"/>
                <w:b w:val="0"/>
                <w:color w:val="auto"/>
                <w:szCs w:val="24"/>
                <w:highlight w:val="none"/>
                <w:lang w:val="en-US" w:eastAsia="zh-CN"/>
              </w:rPr>
              <w:t>项目总平面布置图见附图3-1。</w:t>
            </w:r>
          </w:p>
          <w:p w14:paraId="176CF6D2">
            <w:pPr>
              <w:pStyle w:val="20"/>
              <w:numPr>
                <w:ilvl w:val="3"/>
                <w:numId w:val="0"/>
              </w:numPr>
              <w:ind w:left="480" w:leftChars="200"/>
              <w:rPr>
                <w:color w:val="auto"/>
                <w:highlight w:val="none"/>
              </w:rPr>
            </w:pPr>
            <w:r>
              <w:rPr>
                <w:color w:val="auto"/>
                <w:highlight w:val="none"/>
              </w:rPr>
              <w:t>2、四至分析</w:t>
            </w:r>
          </w:p>
          <w:p w14:paraId="0ED2F716">
            <w:pPr>
              <w:adjustRightInd w:val="0"/>
              <w:ind w:firstLine="480" w:firstLineChars="200"/>
              <w:rPr>
                <w:color w:val="auto"/>
                <w:highlight w:val="none"/>
              </w:rPr>
            </w:pPr>
            <w:bookmarkStart w:id="17" w:name="_Toc21623"/>
            <w:bookmarkStart w:id="18" w:name="_Toc15878"/>
            <w:r>
              <w:rPr>
                <w:color w:val="auto"/>
                <w:highlight w:val="none"/>
              </w:rPr>
              <w:t>本项目位于</w:t>
            </w:r>
            <w:r>
              <w:rPr>
                <w:rFonts w:hint="eastAsia"/>
                <w:color w:val="auto"/>
                <w:highlight w:val="none"/>
              </w:rPr>
              <w:t>韶关市乐昌市乐昌产业转移工业园GL-02-04-02-03地块</w:t>
            </w:r>
            <w:r>
              <w:rPr>
                <w:color w:val="auto"/>
                <w:highlight w:val="none"/>
              </w:rPr>
              <w:t>。</w:t>
            </w:r>
            <w:r>
              <w:rPr>
                <w:bCs/>
                <w:color w:val="auto"/>
                <w:highlight w:val="none"/>
              </w:rPr>
              <w:t>本项目东面</w:t>
            </w:r>
            <w:r>
              <w:rPr>
                <w:rFonts w:hint="eastAsia"/>
                <w:bCs/>
                <w:color w:val="auto"/>
                <w:highlight w:val="none"/>
              </w:rPr>
              <w:t>隔道路</w:t>
            </w:r>
            <w:r>
              <w:rPr>
                <w:bCs/>
                <w:color w:val="auto"/>
                <w:highlight w:val="none"/>
              </w:rPr>
              <w:t>为</w:t>
            </w:r>
            <w:r>
              <w:rPr>
                <w:rFonts w:hint="eastAsia"/>
                <w:bCs/>
                <w:color w:val="auto"/>
                <w:highlight w:val="none"/>
              </w:rPr>
              <w:t>空地及永久基本农田</w:t>
            </w:r>
            <w:r>
              <w:rPr>
                <w:bCs/>
                <w:color w:val="auto"/>
                <w:highlight w:val="none"/>
              </w:rPr>
              <w:t>、南面为</w:t>
            </w:r>
            <w:r>
              <w:rPr>
                <w:rFonts w:hint="eastAsia"/>
                <w:bCs/>
                <w:color w:val="auto"/>
                <w:highlight w:val="none"/>
              </w:rPr>
              <w:t>闲置厂房</w:t>
            </w:r>
            <w:r>
              <w:rPr>
                <w:bCs/>
                <w:color w:val="auto"/>
                <w:highlight w:val="none"/>
              </w:rPr>
              <w:t>、西面</w:t>
            </w:r>
            <w:r>
              <w:rPr>
                <w:rFonts w:hint="eastAsia"/>
                <w:bCs/>
                <w:color w:val="auto"/>
                <w:highlight w:val="none"/>
              </w:rPr>
              <w:t>和北面</w:t>
            </w:r>
            <w:r>
              <w:rPr>
                <w:bCs/>
                <w:color w:val="auto"/>
                <w:highlight w:val="none"/>
              </w:rPr>
              <w:t>为</w:t>
            </w:r>
            <w:r>
              <w:rPr>
                <w:rFonts w:hint="eastAsia"/>
                <w:bCs/>
                <w:color w:val="auto"/>
                <w:highlight w:val="none"/>
              </w:rPr>
              <w:t>在建厂房</w:t>
            </w:r>
            <w:r>
              <w:rPr>
                <w:bCs/>
                <w:color w:val="auto"/>
                <w:highlight w:val="none"/>
              </w:rPr>
              <w:t>，本项目最近的环境保护目标为厂界</w:t>
            </w:r>
            <w:r>
              <w:rPr>
                <w:rFonts w:hint="eastAsia"/>
                <w:bCs/>
                <w:color w:val="auto"/>
                <w:highlight w:val="none"/>
              </w:rPr>
              <w:t>东</w:t>
            </w:r>
            <w:r>
              <w:rPr>
                <w:bCs/>
                <w:color w:val="auto"/>
                <w:highlight w:val="none"/>
              </w:rPr>
              <w:t>南侧</w:t>
            </w:r>
            <w:r>
              <w:rPr>
                <w:rFonts w:hint="eastAsia"/>
                <w:bCs/>
                <w:color w:val="auto"/>
                <w:highlight w:val="none"/>
                <w:lang w:eastAsia="zh-CN"/>
              </w:rPr>
              <w:t>490</w:t>
            </w:r>
            <w:r>
              <w:rPr>
                <w:bCs/>
                <w:color w:val="auto"/>
                <w:highlight w:val="none"/>
              </w:rPr>
              <w:t>m的</w:t>
            </w:r>
            <w:r>
              <w:rPr>
                <w:rFonts w:hint="eastAsia"/>
                <w:bCs/>
                <w:color w:val="auto"/>
                <w:highlight w:val="none"/>
              </w:rPr>
              <w:t>高粱头村</w:t>
            </w:r>
            <w:r>
              <w:rPr>
                <w:color w:val="auto"/>
                <w:highlight w:val="none"/>
              </w:rPr>
              <w:t>。</w:t>
            </w:r>
            <w:bookmarkEnd w:id="17"/>
            <w:bookmarkEnd w:id="18"/>
          </w:p>
          <w:p w14:paraId="54C17A96">
            <w:pPr>
              <w:adjustRightInd w:val="0"/>
              <w:ind w:firstLine="480" w:firstLineChars="200"/>
              <w:rPr>
                <w:b/>
                <w:bCs/>
                <w:color w:val="auto"/>
                <w:highlight w:val="none"/>
              </w:rPr>
            </w:pPr>
            <w:r>
              <w:rPr>
                <w:b/>
                <w:bCs/>
                <w:color w:val="auto"/>
                <w:highlight w:val="none"/>
              </w:rPr>
              <w:t>3、总平面布局</w:t>
            </w:r>
          </w:p>
          <w:p w14:paraId="395E8FA9">
            <w:pPr>
              <w:pStyle w:val="42"/>
              <w:ind w:firstLine="480"/>
              <w:outlineLvl w:val="9"/>
              <w:rPr>
                <w:color w:val="auto"/>
                <w:highlight w:val="none"/>
              </w:rPr>
            </w:pPr>
            <w:bookmarkStart w:id="19" w:name="_Toc4848"/>
            <w:bookmarkStart w:id="20" w:name="_Toc22320"/>
            <w:bookmarkStart w:id="21" w:name="_Toc6378"/>
            <w:bookmarkStart w:id="22" w:name="_Toc5262"/>
            <w:bookmarkStart w:id="23" w:name="_Toc20310"/>
            <w:bookmarkStart w:id="24" w:name="_Toc19690"/>
            <w:bookmarkStart w:id="25" w:name="_Toc4970"/>
            <w:bookmarkStart w:id="26" w:name="_Toc24572"/>
            <w:bookmarkStart w:id="27" w:name="_Toc1050"/>
            <w:r>
              <w:rPr>
                <w:color w:val="auto"/>
                <w:szCs w:val="24"/>
                <w:highlight w:val="none"/>
              </w:rPr>
              <w:t>本项目由生产厂房（</w:t>
            </w:r>
            <w:r>
              <w:rPr>
                <w:rFonts w:hint="eastAsia"/>
                <w:color w:val="auto"/>
                <w:szCs w:val="24"/>
                <w:highlight w:val="none"/>
              </w:rPr>
              <w:t>2</w:t>
            </w:r>
            <w:r>
              <w:rPr>
                <w:color w:val="auto"/>
                <w:szCs w:val="24"/>
                <w:highlight w:val="none"/>
              </w:rPr>
              <w:t>#~</w:t>
            </w:r>
            <w:r>
              <w:rPr>
                <w:rFonts w:hint="eastAsia"/>
                <w:color w:val="auto"/>
                <w:szCs w:val="24"/>
                <w:highlight w:val="none"/>
              </w:rPr>
              <w:t>4</w:t>
            </w:r>
            <w:r>
              <w:rPr>
                <w:color w:val="auto"/>
                <w:szCs w:val="24"/>
                <w:highlight w:val="none"/>
              </w:rPr>
              <w:t>#厂房）、</w:t>
            </w:r>
            <w:r>
              <w:rPr>
                <w:rFonts w:hint="eastAsia"/>
                <w:color w:val="auto"/>
                <w:szCs w:val="24"/>
                <w:highlight w:val="none"/>
              </w:rPr>
              <w:t>综合楼</w:t>
            </w:r>
            <w:r>
              <w:rPr>
                <w:color w:val="auto"/>
                <w:szCs w:val="24"/>
                <w:highlight w:val="none"/>
              </w:rPr>
              <w:t>等建筑物组成，各区用途分明，布局紧凑，原料统一存放，便于物料的管理和风险控制，该区域地面设置防渗层，防止泄漏时下渗，防止污染土壤和地下水；</w:t>
            </w:r>
            <w:r>
              <w:rPr>
                <w:rFonts w:hint="eastAsia"/>
                <w:color w:val="auto"/>
                <w:szCs w:val="24"/>
                <w:highlight w:val="none"/>
                <w:lang w:val="en-US" w:eastAsia="zh-CN"/>
              </w:rPr>
              <w:t>废气产生厂房</w:t>
            </w:r>
            <w:r>
              <w:rPr>
                <w:color w:val="auto"/>
                <w:szCs w:val="24"/>
                <w:highlight w:val="none"/>
              </w:rPr>
              <w:t>设置在</w:t>
            </w:r>
            <w:r>
              <w:rPr>
                <w:rFonts w:hint="eastAsia"/>
                <w:color w:val="auto"/>
                <w:szCs w:val="24"/>
                <w:highlight w:val="none"/>
                <w:lang w:val="en-US" w:eastAsia="zh-CN"/>
              </w:rPr>
              <w:t>远离环境保护目标</w:t>
            </w:r>
            <w:r>
              <w:rPr>
                <w:rFonts w:hint="eastAsia"/>
                <w:color w:val="auto"/>
                <w:szCs w:val="24"/>
                <w:highlight w:val="none"/>
              </w:rPr>
              <w:t>一</w:t>
            </w:r>
            <w:r>
              <w:rPr>
                <w:color w:val="auto"/>
                <w:szCs w:val="24"/>
                <w:highlight w:val="none"/>
              </w:rPr>
              <w:t>侧，距离最近的环境保护目标</w:t>
            </w:r>
            <w:r>
              <w:rPr>
                <w:rFonts w:hint="eastAsia"/>
                <w:color w:val="auto"/>
                <w:szCs w:val="24"/>
                <w:highlight w:val="none"/>
              </w:rPr>
              <w:t>高粱头村</w:t>
            </w:r>
            <w:r>
              <w:rPr>
                <w:rFonts w:hint="eastAsia"/>
                <w:color w:val="auto"/>
                <w:szCs w:val="24"/>
                <w:highlight w:val="none"/>
                <w:lang w:eastAsia="zh-CN"/>
              </w:rPr>
              <w:t>490</w:t>
            </w:r>
            <w:r>
              <w:rPr>
                <w:color w:val="auto"/>
                <w:szCs w:val="24"/>
                <w:highlight w:val="none"/>
              </w:rPr>
              <w:t>m。本项目四周以工业性质企业、建设用地为主，因此本项目建设能与周边环境协调一致，项目四至环境见附图2，周边环境现状实景见附图12。</w:t>
            </w:r>
            <w:bookmarkEnd w:id="19"/>
            <w:bookmarkEnd w:id="20"/>
            <w:bookmarkEnd w:id="21"/>
            <w:bookmarkEnd w:id="22"/>
            <w:bookmarkEnd w:id="23"/>
            <w:bookmarkEnd w:id="24"/>
            <w:bookmarkEnd w:id="25"/>
            <w:bookmarkEnd w:id="26"/>
            <w:bookmarkEnd w:id="27"/>
          </w:p>
        </w:tc>
      </w:tr>
      <w:tr w14:paraId="657E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241" w:type="pct"/>
            <w:vAlign w:val="center"/>
          </w:tcPr>
          <w:p w14:paraId="04F3F5FC">
            <w:pPr>
              <w:numPr>
                <w:ilvl w:val="1"/>
                <w:numId w:val="0"/>
              </w:numPr>
              <w:tabs>
                <w:tab w:val="left" w:pos="420"/>
              </w:tabs>
              <w:snapToGrid w:val="0"/>
              <w:spacing w:line="276" w:lineRule="auto"/>
              <w:jc w:val="center"/>
              <w:rPr>
                <w:color w:val="auto"/>
                <w:highlight w:val="none"/>
              </w:rPr>
            </w:pPr>
            <w:bookmarkStart w:id="28" w:name="_Toc7091"/>
            <w:bookmarkStart w:id="29" w:name="_Toc22477"/>
            <w:bookmarkStart w:id="30" w:name="_Toc25729"/>
            <w:bookmarkStart w:id="31" w:name="_Toc14179"/>
            <w:bookmarkStart w:id="32" w:name="_Toc29759"/>
            <w:r>
              <w:rPr>
                <w:b/>
                <w:bCs/>
                <w:color w:val="auto"/>
                <w:highlight w:val="none"/>
              </w:rPr>
              <w:t>工艺流程和产排污环节</w:t>
            </w:r>
            <w:bookmarkEnd w:id="28"/>
            <w:bookmarkEnd w:id="29"/>
            <w:bookmarkEnd w:id="30"/>
            <w:bookmarkEnd w:id="31"/>
            <w:bookmarkEnd w:id="32"/>
          </w:p>
        </w:tc>
        <w:tc>
          <w:tcPr>
            <w:tcW w:w="4758" w:type="pct"/>
          </w:tcPr>
          <w:p w14:paraId="3BA16D54">
            <w:pPr>
              <w:numPr>
                <w:ilvl w:val="0"/>
                <w:numId w:val="12"/>
              </w:numPr>
              <w:tabs>
                <w:tab w:val="left" w:pos="420"/>
              </w:tabs>
              <w:ind w:firstLine="480" w:firstLineChars="200"/>
              <w:rPr>
                <w:b/>
                <w:bCs/>
                <w:color w:val="auto"/>
                <w:highlight w:val="none"/>
              </w:rPr>
            </w:pPr>
            <w:r>
              <w:rPr>
                <w:b/>
                <w:bCs/>
                <w:color w:val="auto"/>
                <w:highlight w:val="none"/>
              </w:rPr>
              <w:t>工艺流程</w:t>
            </w:r>
          </w:p>
          <w:p w14:paraId="60C5A180">
            <w:pPr>
              <w:tabs>
                <w:tab w:val="left" w:pos="420"/>
              </w:tabs>
              <w:jc w:val="center"/>
              <w:rPr>
                <w:color w:val="auto"/>
                <w:highlight w:val="none"/>
              </w:rPr>
            </w:pPr>
            <w:r>
              <w:rPr>
                <w:rFonts w:hint="eastAsia" w:ascii="Times New Roman" w:hAnsi="Times New Roman" w:eastAsia="宋体" w:cs="Times New Roman"/>
                <w:color w:val="auto"/>
                <w:highlight w:val="none"/>
                <w:lang w:eastAsia="zh-CN"/>
              </w:rPr>
              <w:object>
                <v:shape id="_x0000_i1028" o:spt="75" type="#_x0000_t75" style="height:459pt;width:328.5pt;" o:ole="t" filled="f" o:preferrelative="t" stroked="f" coordsize="21600,21600">
                  <v:path/>
                  <v:fill on="f" focussize="0,0"/>
                  <v:stroke on="f"/>
                  <v:imagedata r:id="rId20" o:title=""/>
                  <o:lock v:ext="edit" aspectratio="t"/>
                  <w10:wrap type="none"/>
                  <w10:anchorlock/>
                </v:shape>
                <o:OLEObject Type="Embed" ProgID="Visio.Drawing.11" ShapeID="_x0000_i1028" DrawAspect="Content" ObjectID="_1468075728" r:id="rId19">
                  <o:LockedField>false</o:LockedField>
                </o:OLEObject>
              </w:object>
            </w:r>
          </w:p>
          <w:p w14:paraId="31152D7C">
            <w:pPr>
              <w:pStyle w:val="21"/>
              <w:numPr>
                <w:ilvl w:val="4"/>
                <w:numId w:val="0"/>
              </w:numPr>
              <w:jc w:val="center"/>
              <w:rPr>
                <w:rFonts w:hint="eastAsia" w:ascii="Times New Roman" w:hAnsi="Times New Roman" w:cs="Times New Roman"/>
                <w:color w:val="auto"/>
                <w:kern w:val="2"/>
                <w:highlight w:val="none"/>
              </w:rPr>
            </w:pPr>
            <w:r>
              <w:rPr>
                <w:rFonts w:hint="eastAsia" w:ascii="Times New Roman" w:hAnsi="Times New Roman" w:cs="Times New Roman"/>
                <w:color w:val="auto"/>
                <w:kern w:val="2"/>
                <w:highlight w:val="none"/>
              </w:rPr>
              <w:t>图2-3 生产工艺流程图</w:t>
            </w:r>
          </w:p>
          <w:p w14:paraId="74D9A0C3">
            <w:pPr>
              <w:tabs>
                <w:tab w:val="left" w:pos="420"/>
              </w:tabs>
              <w:ind w:left="480" w:leftChars="200"/>
              <w:rPr>
                <w:b/>
                <w:bCs/>
                <w:color w:val="auto"/>
                <w:highlight w:val="none"/>
              </w:rPr>
            </w:pPr>
            <w:r>
              <w:rPr>
                <w:b/>
                <w:bCs/>
                <w:color w:val="auto"/>
                <w:highlight w:val="none"/>
              </w:rPr>
              <w:t>工艺流程说明：</w:t>
            </w:r>
          </w:p>
          <w:p w14:paraId="53250457">
            <w:pPr>
              <w:pStyle w:val="24"/>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7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pacing w:val="-2"/>
                <w:sz w:val="24"/>
                <w:szCs w:val="24"/>
                <w:highlight w:val="none"/>
                <w:lang w:val="en-US" w:eastAsia="zh-CN"/>
              </w:rPr>
              <w:t>1、湿法破碎洗料</w:t>
            </w:r>
            <w:r>
              <w:rPr>
                <w:rFonts w:hint="eastAsia" w:cs="Times New Roman"/>
                <w:color w:val="auto"/>
                <w:spacing w:val="-2"/>
                <w:sz w:val="24"/>
                <w:szCs w:val="24"/>
                <w:highlight w:val="none"/>
                <w:lang w:val="en-US" w:eastAsia="zh-CN"/>
              </w:rPr>
              <w:t>：</w:t>
            </w:r>
            <w:r>
              <w:rPr>
                <w:rFonts w:hint="default" w:ascii="Times New Roman" w:hAnsi="Times New Roman" w:eastAsia="宋体" w:cs="Times New Roman"/>
                <w:color w:val="auto"/>
                <w:spacing w:val="-2"/>
                <w:sz w:val="24"/>
                <w:szCs w:val="24"/>
                <w:highlight w:val="none"/>
                <w:lang w:val="en-US" w:eastAsia="zh-CN"/>
              </w:rPr>
              <w:t>将废塑料于闷料仓浇水或用回用水进行闷料，闷料的目的主要是将废塑料中的木块增加湿重，使得木块的密度大于水的密度，因而在后续分选过程中，将木块沉入废水底部。然后将废塑料放</w:t>
            </w:r>
            <w:r>
              <w:rPr>
                <w:rFonts w:hint="default" w:ascii="Times New Roman" w:hAnsi="Times New Roman" w:eastAsia="宋体" w:cs="Times New Roman"/>
                <w:color w:val="auto"/>
                <w:sz w:val="24"/>
                <w:szCs w:val="24"/>
                <w:highlight w:val="none"/>
              </w:rPr>
              <w:t>入料斗，输送至浮船进行</w:t>
            </w:r>
            <w:r>
              <w:rPr>
                <w:rFonts w:hint="default" w:ascii="Times New Roman" w:hAnsi="Times New Roman" w:eastAsia="宋体" w:cs="Times New Roman"/>
                <w:color w:val="auto"/>
                <w:spacing w:val="-1"/>
                <w:sz w:val="24"/>
                <w:szCs w:val="24"/>
                <w:highlight w:val="none"/>
              </w:rPr>
              <w:t>第一道</w:t>
            </w:r>
            <w:r>
              <w:rPr>
                <w:rFonts w:hint="default" w:ascii="Times New Roman" w:hAnsi="Times New Roman" w:eastAsia="宋体" w:cs="Times New Roman"/>
                <w:color w:val="auto"/>
                <w:spacing w:val="-1"/>
                <w:sz w:val="24"/>
                <w:szCs w:val="24"/>
                <w:highlight w:val="none"/>
                <w:lang w:val="en-US" w:eastAsia="zh-CN"/>
              </w:rPr>
              <w:t>浮船清洗</w:t>
            </w:r>
            <w:r>
              <w:rPr>
                <w:rFonts w:hint="default" w:ascii="Times New Roman" w:hAnsi="Times New Roman" w:eastAsia="宋体" w:cs="Times New Roman"/>
                <w:color w:val="auto"/>
                <w:kern w:val="2"/>
                <w:sz w:val="24"/>
                <w:szCs w:val="24"/>
                <w:highlight w:val="none"/>
                <w:lang w:val="en-US" w:eastAsia="zh-CN" w:bidi="ar-SA"/>
              </w:rPr>
              <w:t>分选（</w:t>
            </w:r>
            <w:r>
              <w:rPr>
                <w:rFonts w:hint="default" w:ascii="Times New Roman" w:hAnsi="Times New Roman" w:eastAsia="宋体" w:cs="Times New Roman"/>
                <w:color w:val="auto"/>
                <w:sz w:val="24"/>
                <w:szCs w:val="24"/>
                <w:highlight w:val="none"/>
                <w:lang w:val="en-US" w:eastAsia="zh-CN"/>
              </w:rPr>
              <w:t>清洗时通过添加新鲜水和</w:t>
            </w:r>
            <w:r>
              <w:rPr>
                <w:rFonts w:hint="default" w:ascii="Times New Roman" w:hAnsi="Times New Roman" w:eastAsia="宋体" w:cs="Times New Roman"/>
                <w:color w:val="auto"/>
                <w:sz w:val="24"/>
                <w:szCs w:val="24"/>
                <w:highlight w:val="none"/>
              </w:rPr>
              <w:t>废水处理后</w:t>
            </w:r>
            <w:r>
              <w:rPr>
                <w:rFonts w:hint="default"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rPr>
              <w:t>循环</w:t>
            </w:r>
            <w:r>
              <w:rPr>
                <w:rFonts w:hint="default" w:ascii="Times New Roman" w:hAnsi="Times New Roman" w:eastAsia="宋体" w:cs="Times New Roman"/>
                <w:color w:val="auto"/>
                <w:sz w:val="24"/>
                <w:szCs w:val="24"/>
                <w:highlight w:val="none"/>
                <w:lang w:val="en-US" w:eastAsia="zh-CN"/>
              </w:rPr>
              <w:t>水直接清洗，</w:t>
            </w:r>
            <w:r>
              <w:rPr>
                <w:rFonts w:hint="eastAsia" w:cs="Times New Roman"/>
                <w:color w:val="auto"/>
                <w:sz w:val="24"/>
                <w:szCs w:val="24"/>
                <w:highlight w:val="none"/>
                <w:lang w:val="en-US" w:eastAsia="zh-CN"/>
              </w:rPr>
              <w:t>以烧碱为清洗剂，不添加其他类型的清洗剂</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sz w:val="24"/>
                <w:szCs w:val="24"/>
                <w:highlight w:val="none"/>
              </w:rPr>
              <w:t>浮船分选过程中木块等杂质会沉入底部，塑料会漂浮在上方，漂浮在水面的物料由机械打捞出，进入破碎机中进行破碎，此时产生的碎屑（小粒径物料）进入到摇床进行震动，将细小物料进一步震碎。一道浮船分选破碎后的较大粒径的物料，继续进行</w:t>
            </w:r>
            <w:r>
              <w:rPr>
                <w:rFonts w:hint="default" w:ascii="Times New Roman" w:hAnsi="Times New Roman" w:eastAsia="宋体" w:cs="Times New Roman"/>
                <w:color w:val="auto"/>
                <w:spacing w:val="-1"/>
                <w:sz w:val="24"/>
                <w:szCs w:val="24"/>
                <w:highlight w:val="none"/>
              </w:rPr>
              <w:t>第</w:t>
            </w:r>
            <w:r>
              <w:rPr>
                <w:rFonts w:hint="default" w:ascii="Times New Roman" w:hAnsi="Times New Roman" w:eastAsia="宋体" w:cs="Times New Roman"/>
                <w:color w:val="auto"/>
                <w:spacing w:val="-2"/>
                <w:sz w:val="24"/>
                <w:szCs w:val="24"/>
                <w:highlight w:val="none"/>
              </w:rPr>
              <w:t>二道浮船分选，分选</w:t>
            </w:r>
            <w:r>
              <w:rPr>
                <w:rFonts w:hint="default" w:ascii="Times New Roman" w:hAnsi="Times New Roman" w:eastAsia="宋体" w:cs="Times New Roman"/>
                <w:color w:val="auto"/>
                <w:spacing w:val="-1"/>
                <w:sz w:val="24"/>
                <w:szCs w:val="24"/>
                <w:highlight w:val="none"/>
              </w:rPr>
              <w:t>出的上层物料再经二、三道浮船进行清洗后，与摇床</w:t>
            </w:r>
            <w:r>
              <w:rPr>
                <w:rFonts w:hint="eastAsia" w:cs="Times New Roman"/>
                <w:color w:val="auto"/>
                <w:spacing w:val="-1"/>
                <w:sz w:val="24"/>
                <w:szCs w:val="24"/>
                <w:highlight w:val="none"/>
                <w:lang w:eastAsia="zh-CN"/>
              </w:rPr>
              <w:t>振动</w:t>
            </w:r>
            <w:r>
              <w:rPr>
                <w:rFonts w:hint="default" w:ascii="Times New Roman" w:hAnsi="Times New Roman" w:eastAsia="宋体" w:cs="Times New Roman"/>
                <w:color w:val="auto"/>
                <w:spacing w:val="-1"/>
                <w:sz w:val="24"/>
                <w:szCs w:val="24"/>
                <w:highlight w:val="none"/>
              </w:rPr>
              <w:t>后的物料一并甩干表面水分</w:t>
            </w:r>
            <w:r>
              <w:rPr>
                <w:rFonts w:hint="default" w:ascii="Times New Roman" w:hAnsi="Times New Roman" w:eastAsia="宋体" w:cs="Times New Roman"/>
                <w:color w:val="auto"/>
                <w:spacing w:val="-2"/>
                <w:sz w:val="24"/>
                <w:szCs w:val="24"/>
                <w:highlight w:val="none"/>
              </w:rPr>
              <w:t>。</w:t>
            </w:r>
            <w:r>
              <w:rPr>
                <w:rFonts w:hint="default" w:ascii="Times New Roman" w:hAnsi="Times New Roman" w:eastAsia="宋体" w:cs="Times New Roman"/>
                <w:b w:val="0"/>
                <w:bCs w:val="0"/>
                <w:color w:val="auto"/>
                <w:sz w:val="24"/>
                <w:szCs w:val="24"/>
                <w:highlight w:val="none"/>
              </w:rPr>
              <w:t>经甩干脱水后甩掉水分并进一步细筛掉细小的杂质及细小塑料颗粒。</w:t>
            </w:r>
            <w:r>
              <w:rPr>
                <w:rFonts w:hint="eastAsia" w:cs="Times New Roman"/>
                <w:b w:val="0"/>
                <w:bCs w:val="0"/>
                <w:color w:val="auto"/>
                <w:sz w:val="24"/>
                <w:szCs w:val="24"/>
                <w:highlight w:val="none"/>
                <w:lang w:val="en-US" w:eastAsia="zh-CN"/>
              </w:rPr>
              <w:t>下一步送至湿法破碎工序。此过程主要产生废水、噪声、一般固体废物（废木屑杂物）等。</w:t>
            </w:r>
          </w:p>
          <w:p w14:paraId="5336322B">
            <w:pPr>
              <w:pStyle w:val="48"/>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湿法</w:t>
            </w:r>
            <w:r>
              <w:rPr>
                <w:rFonts w:hint="default" w:ascii="Times New Roman" w:hAnsi="Times New Roman" w:eastAsia="宋体" w:cs="Times New Roman"/>
                <w:b/>
                <w:bCs/>
                <w:color w:val="auto"/>
                <w:sz w:val="24"/>
                <w:szCs w:val="24"/>
                <w:highlight w:val="none"/>
                <w:lang w:eastAsia="zh-CN"/>
              </w:rPr>
              <w:t>破碎：</w:t>
            </w:r>
            <w:r>
              <w:rPr>
                <w:rFonts w:hint="eastAsia"/>
                <w:b w:val="0"/>
                <w:bCs w:val="0"/>
                <w:color w:val="auto"/>
                <w:sz w:val="24"/>
                <w:szCs w:val="24"/>
                <w:highlight w:val="none"/>
                <w:lang w:val="en-US" w:eastAsia="zh-CN"/>
              </w:rPr>
              <w:t>经清洗后的废塑料直接送入破碎机进行破碎，</w:t>
            </w:r>
            <w:r>
              <w:rPr>
                <w:rFonts w:hint="eastAsia" w:ascii="Times New Roman" w:hAnsi="Times New Roman" w:eastAsia="宋体" w:cs="Times New Roman"/>
                <w:b w:val="0"/>
                <w:bCs/>
                <w:color w:val="auto"/>
                <w:sz w:val="24"/>
                <w:highlight w:val="none"/>
                <w:lang w:val="en-US" w:eastAsia="zh-CN"/>
              </w:rPr>
              <w:t>湿法破碎工艺设置原料含水率约10%，</w:t>
            </w:r>
            <w:r>
              <w:rPr>
                <w:rFonts w:hint="eastAsia"/>
                <w:b w:val="0"/>
                <w:bCs w:val="0"/>
                <w:color w:val="auto"/>
                <w:kern w:val="2"/>
                <w:sz w:val="24"/>
                <w:szCs w:val="24"/>
                <w:highlight w:val="none"/>
                <w:lang w:val="en-US" w:eastAsia="zh-CN" w:bidi="ar-SA"/>
              </w:rPr>
              <w:t>破碎过程</w:t>
            </w:r>
            <w:r>
              <w:rPr>
                <w:rFonts w:hint="eastAsia" w:cs="Times New Roman"/>
                <w:b w:val="0"/>
                <w:bCs/>
                <w:color w:val="auto"/>
                <w:sz w:val="24"/>
                <w:highlight w:val="none"/>
                <w:lang w:val="en-US" w:eastAsia="zh-CN"/>
              </w:rPr>
              <w:t>原料约</w:t>
            </w:r>
            <w:r>
              <w:rPr>
                <w:rFonts w:hint="eastAsia"/>
                <w:b w:val="0"/>
                <w:bCs w:val="0"/>
                <w:color w:val="auto"/>
                <w:kern w:val="2"/>
                <w:sz w:val="24"/>
                <w:szCs w:val="24"/>
                <w:highlight w:val="none"/>
                <w:lang w:val="en-US" w:eastAsia="zh-CN" w:bidi="ar-SA"/>
              </w:rPr>
              <w:t>10%的水分逐步消耗掉，</w:t>
            </w:r>
            <w:r>
              <w:rPr>
                <w:rFonts w:hint="eastAsia" w:ascii="Times New Roman" w:hAnsi="Times New Roman" w:eastAsia="宋体"/>
                <w:b w:val="0"/>
                <w:bCs w:val="0"/>
                <w:color w:val="auto"/>
                <w:kern w:val="2"/>
                <w:sz w:val="24"/>
                <w:szCs w:val="24"/>
                <w:highlight w:val="none"/>
                <w:lang w:val="en-US" w:eastAsia="zh-CN" w:bidi="ar-SA"/>
              </w:rPr>
              <w:t>破碎过程不需要进行喷水，PE塑料碎片和PP塑料碎片</w:t>
            </w:r>
            <w:r>
              <w:rPr>
                <w:rFonts w:hint="default" w:ascii="Times New Roman" w:hAnsi="Times New Roman" w:eastAsia="宋体"/>
                <w:b w:val="0"/>
                <w:bCs w:val="0"/>
                <w:color w:val="auto"/>
                <w:kern w:val="2"/>
                <w:sz w:val="24"/>
                <w:szCs w:val="24"/>
                <w:highlight w:val="none"/>
                <w:lang w:val="en-US" w:eastAsia="zh-CN" w:bidi="ar-SA"/>
              </w:rPr>
              <w:t>粒径在</w:t>
            </w:r>
            <w:r>
              <w:rPr>
                <w:rFonts w:hint="eastAsia" w:ascii="Times New Roman" w:hAnsi="Times New Roman" w:eastAsia="宋体"/>
                <w:b w:val="0"/>
                <w:bCs w:val="0"/>
                <w:color w:val="auto"/>
                <w:kern w:val="2"/>
                <w:sz w:val="24"/>
                <w:szCs w:val="24"/>
                <w:highlight w:val="none"/>
                <w:lang w:val="en-US" w:eastAsia="zh-CN" w:bidi="ar-SA"/>
              </w:rPr>
              <w:t>3</w:t>
            </w:r>
            <w:r>
              <w:rPr>
                <w:rFonts w:hint="default" w:ascii="Times New Roman" w:hAnsi="Times New Roman" w:eastAsia="宋体"/>
                <w:b w:val="0"/>
                <w:bCs w:val="0"/>
                <w:color w:val="auto"/>
                <w:kern w:val="2"/>
                <w:sz w:val="24"/>
                <w:szCs w:val="24"/>
                <w:highlight w:val="none"/>
                <w:lang w:val="en-US" w:eastAsia="zh-CN" w:bidi="ar-SA"/>
              </w:rPr>
              <w:t>~</w:t>
            </w:r>
            <w:r>
              <w:rPr>
                <w:rFonts w:hint="eastAsia" w:ascii="Times New Roman" w:hAnsi="Times New Roman" w:eastAsia="宋体"/>
                <w:b w:val="0"/>
                <w:bCs w:val="0"/>
                <w:color w:val="auto"/>
                <w:kern w:val="2"/>
                <w:sz w:val="24"/>
                <w:szCs w:val="24"/>
                <w:highlight w:val="none"/>
                <w:lang w:val="en-US" w:eastAsia="zh-CN" w:bidi="ar-SA"/>
              </w:rPr>
              <w:t>5c</w:t>
            </w:r>
            <w:r>
              <w:rPr>
                <w:rFonts w:hint="default" w:ascii="Times New Roman" w:hAnsi="Times New Roman" w:eastAsia="宋体"/>
                <w:b w:val="0"/>
                <w:bCs w:val="0"/>
                <w:color w:val="auto"/>
                <w:kern w:val="2"/>
                <w:sz w:val="24"/>
                <w:szCs w:val="24"/>
                <w:highlight w:val="none"/>
                <w:lang w:val="en-US" w:eastAsia="zh-CN" w:bidi="ar-SA"/>
              </w:rPr>
              <w:t>m范围</w:t>
            </w:r>
            <w:r>
              <w:rPr>
                <w:rFonts w:hint="eastAsia" w:ascii="Times New Roman" w:hAnsi="Times New Roman" w:eastAsia="宋体"/>
                <w:b w:val="0"/>
                <w:bCs w:val="0"/>
                <w:color w:val="auto"/>
                <w:kern w:val="2"/>
                <w:sz w:val="24"/>
                <w:szCs w:val="24"/>
                <w:highlight w:val="none"/>
                <w:lang w:val="en-US" w:eastAsia="zh-CN" w:bidi="ar-SA"/>
              </w:rPr>
              <w:t>之间，粒径较大，并且碎片表面带有少量水分，因此不会产生粉尘废气，</w:t>
            </w:r>
            <w:r>
              <w:rPr>
                <w:rFonts w:hint="eastAsia" w:ascii="Times New Roman" w:hAnsi="Times New Roman" w:eastAsia="宋体" w:cs="Times New Roman"/>
                <w:b w:val="0"/>
                <w:bCs/>
                <w:color w:val="auto"/>
                <w:sz w:val="24"/>
                <w:highlight w:val="none"/>
                <w:lang w:val="en-US" w:eastAsia="zh-CN"/>
              </w:rPr>
              <w:t>此过程产生的污染物主要为噪声。根据“第二次全国污染源普查工业污染源”中《42废弃资源综合利用行业系数手册》：废PE/PP清洗或湿法破碎+清洗过程中无废气产生，湿法破碎无相关产污系数，因此湿法破碎过程中不产生粉尘废气。</w:t>
            </w:r>
            <w:r>
              <w:rPr>
                <w:rFonts w:hint="eastAsia" w:cs="Times New Roman"/>
                <w:b w:val="0"/>
                <w:bCs w:val="0"/>
                <w:color w:val="auto"/>
                <w:sz w:val="24"/>
                <w:szCs w:val="24"/>
                <w:highlight w:val="none"/>
                <w:lang w:val="en-US" w:eastAsia="zh-CN"/>
              </w:rPr>
              <w:t>直接采用</w:t>
            </w:r>
            <w:r>
              <w:rPr>
                <w:rFonts w:hint="default" w:ascii="Times New Roman" w:hAnsi="Times New Roman" w:eastAsia="宋体" w:cs="Times New Roman"/>
                <w:color w:val="auto"/>
                <w:sz w:val="24"/>
                <w:szCs w:val="24"/>
                <w:highlight w:val="none"/>
                <w:lang w:val="en-US" w:eastAsia="zh-CN"/>
              </w:rPr>
              <w:t>湿法破碎</w:t>
            </w:r>
            <w:r>
              <w:rPr>
                <w:rFonts w:hint="eastAsia" w:ascii="Times New Roman" w:hAnsi="Times New Roman" w:eastAsia="宋体" w:cs="Times New Roman"/>
                <w:color w:val="auto"/>
                <w:sz w:val="24"/>
                <w:szCs w:val="24"/>
                <w:highlight w:val="none"/>
                <w:lang w:val="en-US" w:eastAsia="zh-CN"/>
              </w:rPr>
              <w:t>。此过程主要产生噪声、废水、恶臭和污泥。</w:t>
            </w:r>
            <w:r>
              <w:rPr>
                <w:rFonts w:hint="default" w:ascii="Times New Roman" w:hAnsi="Times New Roman" w:eastAsia="宋体" w:cs="Times New Roman"/>
                <w:color w:val="auto"/>
                <w:sz w:val="24"/>
                <w:szCs w:val="24"/>
                <w:highlight w:val="none"/>
                <w:lang w:val="en-US" w:eastAsia="zh-CN"/>
              </w:rPr>
              <w:t>湿法破碎产生的废水经污水处理设施处理后回用于破碎或浮船分选，</w:t>
            </w:r>
            <w:r>
              <w:rPr>
                <w:rFonts w:hint="eastAsia" w:cs="Times New Roman"/>
                <w:color w:val="auto"/>
                <w:sz w:val="24"/>
                <w:szCs w:val="24"/>
                <w:highlight w:val="none"/>
                <w:lang w:val="en-US" w:eastAsia="zh-CN"/>
              </w:rPr>
              <w:t>循环使用，定期外排</w:t>
            </w:r>
            <w:r>
              <w:rPr>
                <w:rFonts w:hint="default" w:ascii="Times New Roman" w:hAnsi="Times New Roman" w:eastAsia="宋体" w:cs="Times New Roman"/>
                <w:color w:val="auto"/>
                <w:sz w:val="24"/>
                <w:szCs w:val="24"/>
                <w:highlight w:val="none"/>
                <w:lang w:eastAsia="zh-CN"/>
              </w:rPr>
              <w:t>。</w:t>
            </w:r>
          </w:p>
          <w:p w14:paraId="0C9BCCC9">
            <w:pPr>
              <w:pStyle w:val="48"/>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干法破碎</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外购已洗净的塑料原料直接进入密闭破碎机破碎，不需要进一步清洗，直接进入硅胶机。</w:t>
            </w:r>
            <w:r>
              <w:rPr>
                <w:rFonts w:hint="default" w:ascii="Times New Roman" w:hAnsi="Times New Roman" w:eastAsia="宋体" w:cs="Times New Roman"/>
                <w:color w:val="auto"/>
                <w:sz w:val="24"/>
                <w:szCs w:val="24"/>
                <w:highlight w:val="none"/>
                <w:lang w:eastAsia="zh-CN"/>
              </w:rPr>
              <w:t>干法破碎</w:t>
            </w:r>
            <w:r>
              <w:rPr>
                <w:rFonts w:hint="default" w:ascii="Times New Roman" w:hAnsi="Times New Roman" w:eastAsia="宋体" w:cs="Times New Roman"/>
                <w:color w:val="auto"/>
                <w:sz w:val="24"/>
                <w:szCs w:val="24"/>
                <w:highlight w:val="none"/>
                <w:lang w:val="en-US" w:eastAsia="zh-CN"/>
              </w:rPr>
              <w:t>过程中</w:t>
            </w:r>
            <w:r>
              <w:rPr>
                <w:rFonts w:hint="eastAsia" w:ascii="Times New Roman" w:hAnsi="Times New Roman" w:eastAsia="宋体" w:cs="Times New Roman"/>
                <w:color w:val="auto"/>
                <w:sz w:val="24"/>
                <w:szCs w:val="24"/>
                <w:highlight w:val="none"/>
                <w:lang w:val="en-US" w:eastAsia="zh-CN"/>
              </w:rPr>
              <w:t>主要产生粉尘和噪声。</w:t>
            </w:r>
            <w:r>
              <w:rPr>
                <w:rFonts w:hint="default" w:ascii="Times New Roman" w:hAnsi="Times New Roman" w:eastAsia="宋体" w:cs="Times New Roman"/>
                <w:color w:val="auto"/>
                <w:sz w:val="24"/>
                <w:szCs w:val="24"/>
                <w:highlight w:val="none"/>
                <w:lang w:eastAsia="zh-CN"/>
              </w:rPr>
              <w:t>产生的粉尘经集气罩收集后进入布袋除尘器处理达标后再排放</w:t>
            </w:r>
            <w:r>
              <w:rPr>
                <w:rFonts w:hint="eastAsia" w:ascii="Times New Roman" w:hAnsi="Times New Roman" w:eastAsia="宋体" w:cs="Times New Roman"/>
                <w:color w:val="auto"/>
                <w:sz w:val="24"/>
                <w:szCs w:val="24"/>
                <w:highlight w:val="none"/>
                <w:lang w:eastAsia="zh-CN"/>
              </w:rPr>
              <w:t>。</w:t>
            </w:r>
          </w:p>
          <w:p w14:paraId="2D93A835">
            <w:pPr>
              <w:pStyle w:val="48"/>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eastAsia" w:cs="Times New Roman"/>
                <w:b/>
                <w:bCs/>
                <w:color w:val="auto"/>
                <w:sz w:val="24"/>
                <w:szCs w:val="24"/>
                <w:highlight w:val="none"/>
                <w:lang w:val="en-US" w:eastAsia="zh-CN"/>
              </w:rPr>
              <w:t>4、硅胶分离</w:t>
            </w:r>
            <w:r>
              <w:rPr>
                <w:rFonts w:hint="eastAsia" w:cs="Times New Roman"/>
                <w:color w:val="auto"/>
                <w:sz w:val="24"/>
                <w:szCs w:val="24"/>
                <w:highlight w:val="none"/>
                <w:lang w:val="en-US" w:eastAsia="zh-CN"/>
              </w:rPr>
              <w:t>：废塑料经破碎后，</w:t>
            </w:r>
            <w:r>
              <w:rPr>
                <w:rFonts w:hint="default" w:ascii="Times New Roman" w:hAnsi="Times New Roman" w:eastAsia="宋体" w:cs="Times New Roman"/>
                <w:color w:val="auto"/>
                <w:sz w:val="24"/>
                <w:szCs w:val="24"/>
                <w:highlight w:val="none"/>
              </w:rPr>
              <w:t>进入硅胶分离机，</w:t>
            </w:r>
            <w:r>
              <w:rPr>
                <w:rFonts w:hint="default" w:ascii="Times New Roman" w:hAnsi="Times New Roman" w:eastAsia="宋体" w:cs="Times New Roman"/>
                <w:b w:val="0"/>
                <w:bCs w:val="0"/>
                <w:color w:val="auto"/>
                <w:sz w:val="24"/>
                <w:szCs w:val="24"/>
                <w:highlight w:val="none"/>
              </w:rPr>
              <w:t>利用物料之间弹性的不同将硅胶分选出</w:t>
            </w:r>
            <w:r>
              <w:rPr>
                <w:rFonts w:hint="eastAsia" w:cs="Times New Roman"/>
                <w:b w:val="0"/>
                <w:bCs w:val="0"/>
                <w:color w:val="auto"/>
                <w:sz w:val="24"/>
                <w:szCs w:val="24"/>
                <w:highlight w:val="none"/>
                <w:lang w:eastAsia="zh-CN"/>
              </w:rPr>
              <w:t>。</w:t>
            </w:r>
            <w:r>
              <w:rPr>
                <w:rFonts w:hint="eastAsia" w:cs="Times New Roman"/>
                <w:b w:val="0"/>
                <w:bCs w:val="0"/>
                <w:color w:val="auto"/>
                <w:sz w:val="24"/>
                <w:szCs w:val="24"/>
                <w:highlight w:val="none"/>
                <w:lang w:val="en-US" w:eastAsia="zh-CN"/>
              </w:rPr>
              <w:t>此过程主要产生噪声、一般工业固废（废</w:t>
            </w:r>
            <w:r>
              <w:rPr>
                <w:rFonts w:hint="default" w:ascii="Times New Roman" w:hAnsi="Times New Roman" w:eastAsia="宋体" w:cs="Times New Roman"/>
                <w:b w:val="0"/>
                <w:bCs w:val="0"/>
                <w:color w:val="auto"/>
                <w:sz w:val="24"/>
                <w:szCs w:val="24"/>
                <w:highlight w:val="none"/>
              </w:rPr>
              <w:t>橡胶</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w:t>
            </w:r>
          </w:p>
          <w:p w14:paraId="29FA87C6">
            <w:pPr>
              <w:pStyle w:val="48"/>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eastAsia" w:cs="Times New Roman"/>
                <w:color w:val="auto"/>
                <w:sz w:val="24"/>
                <w:szCs w:val="24"/>
                <w:highlight w:val="none"/>
                <w:lang w:val="en-US" w:eastAsia="zh-CN"/>
              </w:rPr>
            </w:pPr>
            <w:r>
              <w:rPr>
                <w:rFonts w:hint="eastAsia" w:cs="Times New Roman"/>
                <w:b/>
                <w:bCs/>
                <w:color w:val="auto"/>
                <w:sz w:val="24"/>
                <w:szCs w:val="24"/>
                <w:highlight w:val="none"/>
                <w:lang w:val="en-US" w:eastAsia="zh-CN"/>
              </w:rPr>
              <w:t>5、静电</w:t>
            </w:r>
            <w:r>
              <w:rPr>
                <w:rFonts w:hint="default" w:ascii="Times New Roman" w:hAnsi="Times New Roman" w:eastAsia="宋体" w:cs="Times New Roman"/>
                <w:b/>
                <w:bCs/>
                <w:color w:val="auto"/>
                <w:sz w:val="24"/>
                <w:szCs w:val="24"/>
                <w:highlight w:val="none"/>
                <w:lang w:val="en-US" w:eastAsia="zh-CN"/>
              </w:rPr>
              <w:t>分离：</w:t>
            </w:r>
            <w:r>
              <w:rPr>
                <w:rFonts w:hint="default" w:ascii="Times New Roman" w:hAnsi="Times New Roman" w:eastAsia="宋体" w:cs="Times New Roman"/>
                <w:color w:val="auto"/>
                <w:sz w:val="24"/>
                <w:szCs w:val="24"/>
                <w:highlight w:val="none"/>
                <w:lang w:val="en-US" w:eastAsia="zh-CN"/>
              </w:rPr>
              <w:t>根据需求，采用静电对</w:t>
            </w:r>
            <w:r>
              <w:rPr>
                <w:rFonts w:hint="eastAsia" w:cs="Times New Roman"/>
                <w:color w:val="auto"/>
                <w:sz w:val="24"/>
                <w:szCs w:val="24"/>
                <w:highlight w:val="none"/>
                <w:lang w:val="en-US" w:eastAsia="zh-CN"/>
              </w:rPr>
              <w:t>废塑料</w:t>
            </w:r>
            <w:r>
              <w:rPr>
                <w:rFonts w:hint="default" w:ascii="Times New Roman" w:hAnsi="Times New Roman" w:eastAsia="宋体" w:cs="Times New Roman"/>
                <w:color w:val="auto"/>
                <w:sz w:val="24"/>
                <w:szCs w:val="24"/>
                <w:highlight w:val="none"/>
                <w:lang w:val="en-US" w:eastAsia="zh-CN"/>
              </w:rPr>
              <w:t>进行分选。</w:t>
            </w:r>
            <w:r>
              <w:rPr>
                <w:rFonts w:hint="eastAsia" w:cs="Times New Roman"/>
                <w:color w:val="auto"/>
                <w:sz w:val="24"/>
                <w:szCs w:val="24"/>
                <w:highlight w:val="none"/>
                <w:lang w:val="en-US" w:eastAsia="zh-CN"/>
              </w:rPr>
              <w:t>此过程主要产生噪声。</w:t>
            </w:r>
          </w:p>
          <w:p w14:paraId="35F05C11">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b/>
                <w:bCs/>
                <w:color w:val="auto"/>
                <w:sz w:val="24"/>
                <w:szCs w:val="24"/>
                <w:highlight w:val="none"/>
                <w:lang w:val="en-US" w:eastAsia="zh-CN"/>
              </w:rPr>
              <w:t>6、材质分色：</w:t>
            </w:r>
            <w:r>
              <w:rPr>
                <w:rFonts w:hint="eastAsia" w:cs="Times New Roman"/>
                <w:color w:val="auto"/>
                <w:sz w:val="24"/>
                <w:szCs w:val="24"/>
                <w:highlight w:val="none"/>
                <w:lang w:val="en-US" w:eastAsia="zh-CN"/>
              </w:rPr>
              <w:t>对按照物料颜色进一步分离，</w:t>
            </w:r>
            <w:r>
              <w:rPr>
                <w:rFonts w:hint="default" w:ascii="Times New Roman" w:hAnsi="Times New Roman" w:eastAsia="宋体" w:cs="Times New Roman"/>
                <w:color w:val="auto"/>
                <w:sz w:val="24"/>
                <w:szCs w:val="24"/>
                <w:highlight w:val="none"/>
                <w:lang w:val="en-US" w:eastAsia="zh-CN"/>
              </w:rPr>
              <w:t>分色后按照不同的塑料碎片、不同颜色</w:t>
            </w:r>
            <w:r>
              <w:rPr>
                <w:rFonts w:hint="eastAsia" w:cs="Times New Roman"/>
                <w:color w:val="auto"/>
                <w:sz w:val="24"/>
                <w:szCs w:val="24"/>
                <w:highlight w:val="none"/>
                <w:lang w:val="en-US" w:eastAsia="zh-CN"/>
              </w:rPr>
              <w:t>暂存于仓库</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此过程主要产生噪声和废包装袋。</w:t>
            </w:r>
          </w:p>
          <w:p w14:paraId="2A983E42">
            <w:pPr>
              <w:pStyle w:val="24"/>
              <w:ind w:firstLine="472"/>
              <w:rPr>
                <w:rFonts w:hint="eastAsia"/>
                <w:color w:val="auto"/>
                <w:spacing w:val="-2"/>
                <w:sz w:val="24"/>
                <w:highlight w:val="none"/>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熔融挤出：</w:t>
            </w:r>
            <w:r>
              <w:rPr>
                <w:rFonts w:hint="default" w:ascii="Times New Roman" w:hAnsi="Times New Roman" w:eastAsia="宋体" w:cs="Times New Roman"/>
                <w:color w:val="auto"/>
                <w:sz w:val="24"/>
                <w:szCs w:val="24"/>
                <w:highlight w:val="none"/>
              </w:rPr>
              <w:t>原料按不同材质加入料斗后，由料斗顺利地落到螺杆上，被螺杆螺纹咬住，随着螺杆的旋转被螺纹强制往机头方向推进，构成一个机械输送的过程。塑料自加料口往机头运行时，由于螺杆的螺纹深度逐渐减小，在塑料塑化过程中形成了很高的压力，把物料压得很密实，改善了它的传热导性，有助于塑料很快熔化。在压力升高的同时，塑料一方面被外部加热，另一方面塑料本身在压缩、剪切、搅拌的运动过程中，由于内摩擦力也产生了大量的热，在外力和内力的联合作用下，塑料温度逐渐增高，其物理状态也经历了玻璃态--高弹态--粘流态的变化，一般地说来，在加料段中主要是玻璃态，在螺杆螺纹逐渐减少的中间部分压缩段中，物料主要处于高弹状态，同时也逐渐的熔融，而物料到压缩段后部塑化段主要处于粘流态，塑料已完全塑化，由螺杆推力作用将塑化的塑料定压定量的从机头中挤出。</w:t>
            </w:r>
          </w:p>
          <w:p w14:paraId="25E75F2C">
            <w:pPr>
              <w:pStyle w:val="24"/>
              <w:ind w:firstLine="472"/>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为防止熔融时塑料裂解，造粒机根据进料的塑料种类不同利用自动恒温控制系统将温度控制在每种塑料的熔解温度，PP控制在180℃、P</w:t>
            </w:r>
            <w:r>
              <w:rPr>
                <w:rFonts w:hint="eastAsia" w:cs="Times New Roman"/>
                <w:color w:val="auto"/>
                <w:sz w:val="24"/>
                <w:szCs w:val="24"/>
                <w:highlight w:val="none"/>
                <w:lang w:val="en-US" w:eastAsia="zh-CN"/>
              </w:rPr>
              <w:t>E</w:t>
            </w:r>
            <w:r>
              <w:rPr>
                <w:rFonts w:hint="default" w:ascii="Times New Roman" w:hAnsi="Times New Roman" w:eastAsia="宋体" w:cs="Times New Roman"/>
                <w:color w:val="auto"/>
                <w:sz w:val="24"/>
                <w:szCs w:val="24"/>
                <w:highlight w:val="none"/>
              </w:rPr>
              <w:t>控制在</w:t>
            </w:r>
            <w:r>
              <w:rPr>
                <w:rFonts w:hint="eastAsia"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rPr>
              <w:t>0℃、</w:t>
            </w:r>
            <w:r>
              <w:rPr>
                <w:rFonts w:hint="eastAsia" w:cs="Times New Roman"/>
                <w:color w:val="auto"/>
                <w:sz w:val="24"/>
                <w:szCs w:val="24"/>
                <w:highlight w:val="none"/>
                <w:lang w:val="en-US" w:eastAsia="zh-CN"/>
              </w:rPr>
              <w:t>HIPS</w:t>
            </w:r>
            <w:r>
              <w:rPr>
                <w:rFonts w:hint="default" w:ascii="Times New Roman" w:hAnsi="Times New Roman" w:eastAsia="宋体" w:cs="Times New Roman"/>
                <w:color w:val="auto"/>
                <w:sz w:val="24"/>
                <w:szCs w:val="24"/>
                <w:highlight w:val="none"/>
              </w:rPr>
              <w:t>控制在220℃、ABS控制在220℃</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PA</w:t>
            </w:r>
            <w:r>
              <w:rPr>
                <w:rFonts w:hint="default" w:ascii="Times New Roman" w:hAnsi="Times New Roman" w:eastAsia="宋体" w:cs="Times New Roman"/>
                <w:color w:val="auto"/>
                <w:sz w:val="24"/>
                <w:szCs w:val="24"/>
                <w:highlight w:val="none"/>
              </w:rPr>
              <w:t>控制在2</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0℃。造粒过程产生的废气经密闭罩收集后进入废气处理设施处理后通过排气筒排放，废气处理工艺为“</w:t>
            </w:r>
            <w:r>
              <w:rPr>
                <w:rFonts w:hint="eastAsia" w:cs="Times New Roman"/>
                <w:bCs/>
                <w:color w:val="auto"/>
                <w:kern w:val="2"/>
                <w:sz w:val="24"/>
                <w:szCs w:val="24"/>
                <w:highlight w:val="none"/>
                <w:lang w:val="en-US" w:eastAsia="zh-CN" w:bidi="ar-SA"/>
              </w:rPr>
              <w:t>电捕焦油+气旋混动喷淋+干式过滤+活性炭吸附脱附+催化燃烧+活性炭吸附</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p>
          <w:p w14:paraId="1B6520B7">
            <w:pPr>
              <w:spacing w:line="360" w:lineRule="auto"/>
              <w:ind w:firstLine="480"/>
              <w:rPr>
                <w:rFonts w:hint="eastAsia" w:cs="Times New Roman"/>
                <w:color w:val="auto"/>
                <w:sz w:val="24"/>
                <w:szCs w:val="24"/>
                <w:highlight w:val="none"/>
                <w:lang w:val="en-US" w:eastAsia="zh-CN"/>
              </w:rPr>
            </w:pP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冷却</w:t>
            </w:r>
            <w:r>
              <w:rPr>
                <w:rFonts w:hint="default" w:ascii="Times New Roman" w:hAnsi="Times New Roman" w:eastAsia="宋体" w:cs="Times New Roman"/>
                <w:color w:val="auto"/>
                <w:sz w:val="24"/>
                <w:szCs w:val="24"/>
                <w:highlight w:val="none"/>
              </w:rPr>
              <w:t>：造粒挤出的条状物在冷水槽进行冷却，采用循环冷却水直接将热的条状塑料的冷却至50℃以下。</w:t>
            </w:r>
            <w:r>
              <w:rPr>
                <w:rFonts w:hint="eastAsia" w:cs="Times New Roman"/>
                <w:color w:val="auto"/>
                <w:sz w:val="24"/>
                <w:szCs w:val="24"/>
                <w:highlight w:val="none"/>
                <w:lang w:val="en-US" w:eastAsia="zh-CN"/>
              </w:rPr>
              <w:t>此过程主要产生噪声和废水。</w:t>
            </w:r>
          </w:p>
          <w:p w14:paraId="3040D2F2">
            <w:pPr>
              <w:spacing w:line="360" w:lineRule="auto"/>
              <w:ind w:firstLine="480"/>
              <w:rPr>
                <w:color w:val="auto"/>
                <w:highlight w:val="none"/>
              </w:rPr>
            </w:pPr>
            <w:r>
              <w:rPr>
                <w:rFonts w:hint="eastAsia" w:cs="Times New Roman"/>
                <w:b/>
                <w:bCs/>
                <w:color w:val="auto"/>
                <w:sz w:val="24"/>
                <w:szCs w:val="24"/>
                <w:highlight w:val="none"/>
                <w:lang w:val="en-US" w:eastAsia="zh-CN"/>
              </w:rPr>
              <w:t>9、包装</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color w:val="auto"/>
                <w:sz w:val="24"/>
                <w:szCs w:val="24"/>
                <w:highlight w:val="none"/>
              </w:rPr>
              <w:t>干燥后的线条状塑料经</w:t>
            </w:r>
            <w:r>
              <w:rPr>
                <w:rFonts w:hint="eastAsia" w:cs="Times New Roman"/>
                <w:color w:val="auto"/>
                <w:sz w:val="24"/>
                <w:szCs w:val="24"/>
                <w:highlight w:val="none"/>
                <w:lang w:val="en-US" w:eastAsia="zh-CN"/>
              </w:rPr>
              <w:t>造粒机的</w:t>
            </w:r>
            <w:r>
              <w:rPr>
                <w:rFonts w:hint="default" w:ascii="Times New Roman" w:hAnsi="Times New Roman" w:eastAsia="宋体" w:cs="Times New Roman"/>
                <w:color w:val="auto"/>
                <w:sz w:val="24"/>
                <w:szCs w:val="24"/>
                <w:highlight w:val="none"/>
              </w:rPr>
              <w:t>切粒</w:t>
            </w:r>
            <w:r>
              <w:rPr>
                <w:rFonts w:hint="eastAsia" w:cs="Times New Roman"/>
                <w:color w:val="auto"/>
                <w:sz w:val="24"/>
                <w:szCs w:val="24"/>
                <w:highlight w:val="none"/>
                <w:lang w:val="en-US" w:eastAsia="zh-CN"/>
              </w:rPr>
              <w:t>功能</w:t>
            </w:r>
            <w:r>
              <w:rPr>
                <w:rFonts w:hint="default" w:ascii="Times New Roman" w:hAnsi="Times New Roman" w:eastAsia="宋体" w:cs="Times New Roman"/>
                <w:color w:val="auto"/>
                <w:sz w:val="24"/>
                <w:szCs w:val="24"/>
                <w:highlight w:val="none"/>
              </w:rPr>
              <w:t>切割成塑料颗粒后进行装袋，袋装后入库待售</w:t>
            </w:r>
            <w:r>
              <w:rPr>
                <w:rFonts w:hint="eastAsia" w:ascii="Times New Roman" w:hAnsi="Times New Roman" w:eastAsia="宋体" w:cs="Times New Roman"/>
                <w:color w:val="auto"/>
                <w:sz w:val="24"/>
                <w:szCs w:val="24"/>
                <w:highlight w:val="none"/>
                <w:lang w:eastAsia="zh-CN"/>
              </w:rPr>
              <w:t>。颗粒粒径在0.5~1.2cm范围之间，粒径较大，并且颗粒表面带有少量水分，因此不会产生粉尘废气</w:t>
            </w:r>
            <w:r>
              <w:rPr>
                <w:rFonts w:hint="eastAsia" w:cs="Times New Roman"/>
                <w:color w:val="auto"/>
                <w:sz w:val="24"/>
                <w:szCs w:val="24"/>
                <w:highlight w:val="none"/>
                <w:lang w:eastAsia="zh-CN"/>
              </w:rPr>
              <w:t>。</w:t>
            </w:r>
            <w:r>
              <w:rPr>
                <w:rFonts w:hint="eastAsia"/>
                <w:color w:val="auto"/>
                <w:highlight w:val="none"/>
              </w:rPr>
              <w:t>此过程主要产生噪声和废包装袋。</w:t>
            </w:r>
          </w:p>
          <w:p w14:paraId="415B50E2">
            <w:pPr>
              <w:pStyle w:val="16"/>
              <w:spacing w:after="0"/>
              <w:ind w:firstLine="480" w:firstLineChars="200"/>
              <w:jc w:val="both"/>
              <w:rPr>
                <w:b/>
                <w:bCs/>
                <w:color w:val="auto"/>
                <w:sz w:val="24"/>
                <w:szCs w:val="24"/>
                <w:highlight w:val="none"/>
              </w:rPr>
            </w:pPr>
            <w:r>
              <w:rPr>
                <w:b/>
                <w:bCs/>
                <w:color w:val="auto"/>
                <w:sz w:val="24"/>
                <w:szCs w:val="24"/>
                <w:highlight w:val="none"/>
              </w:rPr>
              <w:t>二、产污环节分析</w:t>
            </w:r>
          </w:p>
          <w:p w14:paraId="17EFA77F">
            <w:pPr>
              <w:pStyle w:val="112"/>
              <w:jc w:val="center"/>
              <w:rPr>
                <w:b/>
                <w:bCs/>
                <w:color w:val="auto"/>
                <w:sz w:val="21"/>
                <w:szCs w:val="21"/>
                <w:highlight w:val="none"/>
              </w:rPr>
            </w:pPr>
            <w:r>
              <w:rPr>
                <w:b/>
                <w:bCs/>
                <w:color w:val="auto"/>
                <w:sz w:val="21"/>
                <w:szCs w:val="21"/>
                <w:highlight w:val="none"/>
                <w:lang w:val="zh-CN"/>
              </w:rPr>
              <w:t>主要污染节点分析一览表</w:t>
            </w:r>
          </w:p>
          <w:tbl>
            <w:tblPr>
              <w:tblStyle w:val="49"/>
              <w:tblW w:w="49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2368"/>
              <w:gridCol w:w="2509"/>
              <w:gridCol w:w="3560"/>
            </w:tblGrid>
            <w:tr w14:paraId="3A84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399" w:type="pct"/>
                  <w:vMerge w:val="restart"/>
                  <w:vAlign w:val="center"/>
                </w:tcPr>
                <w:p w14:paraId="5134403E">
                  <w:pPr>
                    <w:pStyle w:val="64"/>
                    <w:spacing w:line="276" w:lineRule="auto"/>
                    <w:rPr>
                      <w:b/>
                      <w:bCs/>
                      <w:color w:val="auto"/>
                      <w:kern w:val="2"/>
                      <w:highlight w:val="none"/>
                    </w:rPr>
                  </w:pPr>
                  <w:r>
                    <w:rPr>
                      <w:b/>
                      <w:bCs/>
                      <w:color w:val="auto"/>
                      <w:kern w:val="2"/>
                      <w:highlight w:val="none"/>
                    </w:rPr>
                    <w:t>污染类型</w:t>
                  </w:r>
                </w:p>
              </w:tc>
              <w:tc>
                <w:tcPr>
                  <w:tcW w:w="1291" w:type="pct"/>
                  <w:vMerge w:val="restart"/>
                  <w:vAlign w:val="center"/>
                </w:tcPr>
                <w:p w14:paraId="549B6355">
                  <w:pPr>
                    <w:pStyle w:val="64"/>
                    <w:spacing w:line="276" w:lineRule="auto"/>
                    <w:rPr>
                      <w:b/>
                      <w:bCs/>
                      <w:color w:val="auto"/>
                      <w:kern w:val="2"/>
                      <w:highlight w:val="none"/>
                    </w:rPr>
                  </w:pPr>
                  <w:r>
                    <w:rPr>
                      <w:b/>
                      <w:bCs/>
                      <w:color w:val="auto"/>
                      <w:kern w:val="2"/>
                      <w:highlight w:val="none"/>
                    </w:rPr>
                    <w:t>产生部位</w:t>
                  </w:r>
                </w:p>
              </w:tc>
              <w:tc>
                <w:tcPr>
                  <w:tcW w:w="3309" w:type="pct"/>
                  <w:gridSpan w:val="2"/>
                  <w:vAlign w:val="center"/>
                </w:tcPr>
                <w:p w14:paraId="747E328D">
                  <w:pPr>
                    <w:pStyle w:val="64"/>
                    <w:spacing w:line="276" w:lineRule="auto"/>
                    <w:rPr>
                      <w:b/>
                      <w:bCs/>
                      <w:color w:val="auto"/>
                      <w:kern w:val="2"/>
                      <w:highlight w:val="none"/>
                    </w:rPr>
                  </w:pPr>
                  <w:r>
                    <w:rPr>
                      <w:b/>
                      <w:bCs/>
                      <w:color w:val="auto"/>
                      <w:kern w:val="2"/>
                      <w:highlight w:val="none"/>
                    </w:rPr>
                    <w:t>污染物</w:t>
                  </w:r>
                </w:p>
              </w:tc>
            </w:tr>
            <w:tr w14:paraId="386B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399" w:type="pct"/>
                  <w:vMerge w:val="continue"/>
                  <w:vAlign w:val="center"/>
                </w:tcPr>
                <w:p w14:paraId="0D85C23C">
                  <w:pPr>
                    <w:pStyle w:val="64"/>
                    <w:spacing w:line="276" w:lineRule="auto"/>
                    <w:rPr>
                      <w:b/>
                      <w:bCs/>
                      <w:color w:val="auto"/>
                      <w:kern w:val="2"/>
                      <w:highlight w:val="none"/>
                    </w:rPr>
                  </w:pPr>
                </w:p>
              </w:tc>
              <w:tc>
                <w:tcPr>
                  <w:tcW w:w="1291" w:type="pct"/>
                  <w:vMerge w:val="continue"/>
                  <w:vAlign w:val="center"/>
                </w:tcPr>
                <w:p w14:paraId="02560B83">
                  <w:pPr>
                    <w:pStyle w:val="64"/>
                    <w:spacing w:line="276" w:lineRule="auto"/>
                    <w:rPr>
                      <w:b/>
                      <w:bCs/>
                      <w:color w:val="auto"/>
                      <w:kern w:val="2"/>
                      <w:highlight w:val="none"/>
                    </w:rPr>
                  </w:pPr>
                </w:p>
              </w:tc>
              <w:tc>
                <w:tcPr>
                  <w:tcW w:w="1368" w:type="pct"/>
                  <w:vAlign w:val="center"/>
                </w:tcPr>
                <w:p w14:paraId="2A37C753">
                  <w:pPr>
                    <w:pStyle w:val="64"/>
                    <w:spacing w:line="276" w:lineRule="auto"/>
                    <w:rPr>
                      <w:b/>
                      <w:bCs/>
                      <w:color w:val="auto"/>
                      <w:kern w:val="2"/>
                      <w:highlight w:val="none"/>
                    </w:rPr>
                  </w:pPr>
                  <w:r>
                    <w:rPr>
                      <w:b/>
                      <w:bCs/>
                      <w:color w:val="auto"/>
                      <w:kern w:val="2"/>
                      <w:highlight w:val="none"/>
                    </w:rPr>
                    <w:t>内容</w:t>
                  </w:r>
                </w:p>
              </w:tc>
              <w:tc>
                <w:tcPr>
                  <w:tcW w:w="1940" w:type="pct"/>
                  <w:vAlign w:val="center"/>
                </w:tcPr>
                <w:p w14:paraId="3140C1A9">
                  <w:pPr>
                    <w:pStyle w:val="64"/>
                    <w:spacing w:line="276" w:lineRule="auto"/>
                    <w:rPr>
                      <w:b/>
                      <w:bCs/>
                      <w:color w:val="auto"/>
                      <w:kern w:val="2"/>
                      <w:highlight w:val="none"/>
                    </w:rPr>
                  </w:pPr>
                  <w:r>
                    <w:rPr>
                      <w:b/>
                      <w:bCs/>
                      <w:color w:val="auto"/>
                      <w:kern w:val="2"/>
                      <w:highlight w:val="none"/>
                    </w:rPr>
                    <w:t>污染因子</w:t>
                  </w:r>
                </w:p>
              </w:tc>
            </w:tr>
            <w:tr w14:paraId="35C4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9" w:type="pct"/>
                  <w:vMerge w:val="restart"/>
                  <w:vAlign w:val="center"/>
                </w:tcPr>
                <w:p w14:paraId="1D5D9735">
                  <w:pPr>
                    <w:pStyle w:val="64"/>
                    <w:spacing w:line="276" w:lineRule="auto"/>
                    <w:rPr>
                      <w:color w:val="auto"/>
                      <w:kern w:val="2"/>
                      <w:highlight w:val="none"/>
                    </w:rPr>
                  </w:pPr>
                  <w:r>
                    <w:rPr>
                      <w:color w:val="auto"/>
                      <w:kern w:val="2"/>
                      <w:highlight w:val="none"/>
                    </w:rPr>
                    <w:t>废水</w:t>
                  </w:r>
                </w:p>
              </w:tc>
              <w:tc>
                <w:tcPr>
                  <w:tcW w:w="1291" w:type="pct"/>
                  <w:vAlign w:val="center"/>
                </w:tcPr>
                <w:p w14:paraId="199AF6E4">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行政办公</w:t>
                  </w:r>
                </w:p>
              </w:tc>
              <w:tc>
                <w:tcPr>
                  <w:tcW w:w="1368" w:type="pct"/>
                  <w:vAlign w:val="center"/>
                </w:tcPr>
                <w:p w14:paraId="041D2C42">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生活污水</w:t>
                  </w:r>
                </w:p>
              </w:tc>
              <w:tc>
                <w:tcPr>
                  <w:tcW w:w="1940" w:type="pct"/>
                  <w:vAlign w:val="center"/>
                </w:tcPr>
                <w:p w14:paraId="457095B6">
                  <w:pPr>
                    <w:pStyle w:val="64"/>
                    <w:spacing w:line="276" w:lineRule="auto"/>
                    <w:rPr>
                      <w:color w:val="auto"/>
                      <w:kern w:val="2"/>
                      <w:highlight w:val="none"/>
                    </w:rPr>
                  </w:pPr>
                  <w:r>
                    <w:rPr>
                      <w:color w:val="auto"/>
                      <w:kern w:val="2"/>
                      <w:highlight w:val="none"/>
                    </w:rPr>
                    <w:t>pH、COD</w:t>
                  </w:r>
                  <w:r>
                    <w:rPr>
                      <w:color w:val="auto"/>
                      <w:kern w:val="2"/>
                      <w:highlight w:val="none"/>
                      <w:vertAlign w:val="subscript"/>
                    </w:rPr>
                    <w:t>Cr</w:t>
                  </w:r>
                  <w:r>
                    <w:rPr>
                      <w:color w:val="auto"/>
                      <w:kern w:val="2"/>
                      <w:highlight w:val="none"/>
                    </w:rPr>
                    <w:t>、BOD</w:t>
                  </w:r>
                  <w:r>
                    <w:rPr>
                      <w:color w:val="auto"/>
                      <w:kern w:val="2"/>
                      <w:highlight w:val="none"/>
                      <w:vertAlign w:val="subscript"/>
                    </w:rPr>
                    <w:t>5</w:t>
                  </w:r>
                  <w:r>
                    <w:rPr>
                      <w:color w:val="auto"/>
                      <w:kern w:val="2"/>
                      <w:highlight w:val="none"/>
                    </w:rPr>
                    <w:t>、氨氮、SS</w:t>
                  </w:r>
                  <w:r>
                    <w:rPr>
                      <w:rFonts w:hint="eastAsia"/>
                      <w:color w:val="auto"/>
                      <w:kern w:val="2"/>
                      <w:highlight w:val="none"/>
                    </w:rPr>
                    <w:t>、总磷</w:t>
                  </w:r>
                </w:p>
              </w:tc>
            </w:tr>
            <w:tr w14:paraId="01F9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99" w:type="pct"/>
                  <w:vMerge w:val="continue"/>
                  <w:vAlign w:val="center"/>
                </w:tcPr>
                <w:p w14:paraId="6AB7B536">
                  <w:pPr>
                    <w:pStyle w:val="64"/>
                    <w:spacing w:line="276" w:lineRule="auto"/>
                    <w:rPr>
                      <w:color w:val="auto"/>
                      <w:kern w:val="2"/>
                      <w:highlight w:val="none"/>
                    </w:rPr>
                  </w:pPr>
                </w:p>
              </w:tc>
              <w:tc>
                <w:tcPr>
                  <w:tcW w:w="1291" w:type="pct"/>
                  <w:vAlign w:val="center"/>
                </w:tcPr>
                <w:p w14:paraId="6B3A77D0">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洗料、冷却、喷淋工序</w:t>
                  </w:r>
                </w:p>
              </w:tc>
              <w:tc>
                <w:tcPr>
                  <w:tcW w:w="1368" w:type="pct"/>
                  <w:vAlign w:val="center"/>
                </w:tcPr>
                <w:p w14:paraId="60B94306">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生产废水</w:t>
                  </w:r>
                </w:p>
              </w:tc>
              <w:tc>
                <w:tcPr>
                  <w:tcW w:w="1940" w:type="pct"/>
                  <w:vAlign w:val="center"/>
                </w:tcPr>
                <w:p w14:paraId="0DBBECEF">
                  <w:pPr>
                    <w:pStyle w:val="64"/>
                    <w:spacing w:line="276" w:lineRule="auto"/>
                    <w:rPr>
                      <w:b/>
                      <w:bCs/>
                      <w:color w:val="auto"/>
                      <w:kern w:val="2"/>
                      <w:highlight w:val="none"/>
                    </w:rPr>
                  </w:pPr>
                  <w:r>
                    <w:rPr>
                      <w:color w:val="auto"/>
                      <w:kern w:val="2"/>
                      <w:highlight w:val="none"/>
                    </w:rPr>
                    <w:t>pH、COD</w:t>
                  </w:r>
                  <w:r>
                    <w:rPr>
                      <w:color w:val="auto"/>
                      <w:kern w:val="2"/>
                      <w:highlight w:val="none"/>
                      <w:vertAlign w:val="subscript"/>
                    </w:rPr>
                    <w:t>Cr</w:t>
                  </w:r>
                  <w:r>
                    <w:rPr>
                      <w:color w:val="auto"/>
                      <w:kern w:val="2"/>
                      <w:highlight w:val="none"/>
                    </w:rPr>
                    <w:t>、BOD</w:t>
                  </w:r>
                  <w:r>
                    <w:rPr>
                      <w:color w:val="auto"/>
                      <w:kern w:val="2"/>
                      <w:highlight w:val="none"/>
                      <w:vertAlign w:val="subscript"/>
                    </w:rPr>
                    <w:t>5</w:t>
                  </w:r>
                  <w:r>
                    <w:rPr>
                      <w:color w:val="auto"/>
                      <w:kern w:val="2"/>
                      <w:highlight w:val="none"/>
                    </w:rPr>
                    <w:t>、氨氮、</w:t>
                  </w:r>
                  <w:r>
                    <w:rPr>
                      <w:rFonts w:hint="eastAsia"/>
                      <w:color w:val="auto"/>
                      <w:kern w:val="2"/>
                      <w:highlight w:val="none"/>
                    </w:rPr>
                    <w:t>总氮、总磷、</w:t>
                  </w:r>
                  <w:r>
                    <w:rPr>
                      <w:color w:val="auto"/>
                      <w:kern w:val="2"/>
                      <w:highlight w:val="none"/>
                    </w:rPr>
                    <w:t>SS、石油类</w:t>
                  </w:r>
                  <w:r>
                    <w:rPr>
                      <w:rFonts w:hint="eastAsia"/>
                      <w:color w:val="auto"/>
                      <w:kern w:val="2"/>
                      <w:highlight w:val="none"/>
                    </w:rPr>
                    <w:t>、LAS</w:t>
                  </w:r>
                </w:p>
              </w:tc>
            </w:tr>
            <w:tr w14:paraId="676C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9" w:type="pct"/>
                  <w:vMerge w:val="restart"/>
                  <w:vAlign w:val="center"/>
                </w:tcPr>
                <w:p w14:paraId="3CB79708">
                  <w:pPr>
                    <w:pStyle w:val="64"/>
                    <w:spacing w:line="276" w:lineRule="auto"/>
                    <w:rPr>
                      <w:color w:val="auto"/>
                      <w:kern w:val="2"/>
                      <w:highlight w:val="none"/>
                    </w:rPr>
                  </w:pPr>
                  <w:r>
                    <w:rPr>
                      <w:color w:val="auto"/>
                      <w:kern w:val="2"/>
                      <w:highlight w:val="none"/>
                    </w:rPr>
                    <w:t>废气</w:t>
                  </w:r>
                </w:p>
              </w:tc>
              <w:tc>
                <w:tcPr>
                  <w:tcW w:w="1291" w:type="pct"/>
                  <w:vAlign w:val="center"/>
                </w:tcPr>
                <w:p w14:paraId="501D7C75">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干法破碎</w:t>
                  </w:r>
                </w:p>
              </w:tc>
              <w:tc>
                <w:tcPr>
                  <w:tcW w:w="1368" w:type="pct"/>
                  <w:vAlign w:val="center"/>
                </w:tcPr>
                <w:p w14:paraId="168AFEB8">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粉尘</w:t>
                  </w:r>
                </w:p>
              </w:tc>
              <w:tc>
                <w:tcPr>
                  <w:tcW w:w="1940" w:type="pct"/>
                  <w:vAlign w:val="center"/>
                </w:tcPr>
                <w:p w14:paraId="76D8347C">
                  <w:pPr>
                    <w:pStyle w:val="64"/>
                    <w:spacing w:line="276" w:lineRule="auto"/>
                    <w:rPr>
                      <w:rFonts w:hint="eastAsia" w:eastAsia="宋体"/>
                      <w:color w:val="auto"/>
                      <w:kern w:val="2"/>
                      <w:highlight w:val="none"/>
                      <w:lang w:val="en-US" w:eastAsia="zh-CN"/>
                    </w:rPr>
                  </w:pPr>
                  <w:r>
                    <w:rPr>
                      <w:rFonts w:hint="eastAsia"/>
                      <w:color w:val="auto"/>
                      <w:kern w:val="2"/>
                      <w:highlight w:val="none"/>
                      <w:lang w:val="en-US" w:eastAsia="zh-CN"/>
                    </w:rPr>
                    <w:t>颗粒物</w:t>
                  </w:r>
                </w:p>
              </w:tc>
            </w:tr>
            <w:tr w14:paraId="5006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9" w:type="pct"/>
                  <w:vMerge w:val="continue"/>
                  <w:vAlign w:val="center"/>
                </w:tcPr>
                <w:p w14:paraId="73DB80F7">
                  <w:pPr>
                    <w:pStyle w:val="64"/>
                    <w:spacing w:line="276" w:lineRule="auto"/>
                    <w:rPr>
                      <w:color w:val="auto"/>
                      <w:kern w:val="2"/>
                      <w:highlight w:val="none"/>
                    </w:rPr>
                  </w:pPr>
                </w:p>
              </w:tc>
              <w:tc>
                <w:tcPr>
                  <w:tcW w:w="1291" w:type="pct"/>
                  <w:shd w:val="clear" w:color="auto" w:fill="auto"/>
                  <w:vAlign w:val="center"/>
                </w:tcPr>
                <w:p w14:paraId="772B56A3">
                  <w:pPr>
                    <w:pStyle w:val="64"/>
                    <w:spacing w:line="276" w:lineRule="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造粒工序</w:t>
                  </w:r>
                </w:p>
              </w:tc>
              <w:tc>
                <w:tcPr>
                  <w:tcW w:w="1368" w:type="pct"/>
                  <w:shd w:val="clear" w:color="auto" w:fill="auto"/>
                  <w:vAlign w:val="center"/>
                </w:tcPr>
                <w:p w14:paraId="6210051B">
                  <w:pPr>
                    <w:pStyle w:val="64"/>
                    <w:spacing w:line="276" w:lineRule="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有机废气</w:t>
                  </w:r>
                </w:p>
              </w:tc>
              <w:tc>
                <w:tcPr>
                  <w:tcW w:w="1940" w:type="pct"/>
                  <w:shd w:val="clear" w:color="auto" w:fill="auto"/>
                  <w:vAlign w:val="center"/>
                </w:tcPr>
                <w:p w14:paraId="5CB565CB">
                  <w:pPr>
                    <w:pStyle w:val="64"/>
                    <w:spacing w:line="276" w:lineRule="auto"/>
                    <w:rPr>
                      <w:rFonts w:hint="eastAsia" w:ascii="Times New Roman" w:hAnsi="Times New Roman" w:eastAsia="宋体" w:cs="Times New Roman"/>
                      <w:color w:val="auto"/>
                      <w:kern w:val="2"/>
                      <w:position w:val="-10"/>
                      <w:sz w:val="21"/>
                      <w:szCs w:val="21"/>
                      <w:highlight w:val="none"/>
                      <w:lang w:val="en-US" w:eastAsia="zh-CN" w:bidi="ar-SA"/>
                    </w:rPr>
                  </w:pPr>
                  <w:r>
                    <w:rPr>
                      <w:color w:val="auto"/>
                      <w:kern w:val="2"/>
                      <w:highlight w:val="none"/>
                    </w:rPr>
                    <w:t>颗粒物</w:t>
                  </w:r>
                  <w:r>
                    <w:rPr>
                      <w:rFonts w:hint="eastAsia"/>
                      <w:color w:val="auto"/>
                      <w:kern w:val="2"/>
                      <w:highlight w:val="none"/>
                      <w:lang w:eastAsia="zh-CN"/>
                    </w:rPr>
                    <w:t>、</w:t>
                  </w:r>
                  <w:r>
                    <w:rPr>
                      <w:rFonts w:hint="eastAsia"/>
                      <w:color w:val="auto"/>
                      <w:kern w:val="2"/>
                      <w:highlight w:val="none"/>
                      <w:lang w:val="en-US" w:eastAsia="zh-CN"/>
                    </w:rPr>
                    <w:t>非甲烷总烃、臭气浓度</w:t>
                  </w:r>
                </w:p>
              </w:tc>
            </w:tr>
            <w:tr w14:paraId="59C2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9" w:type="pct"/>
                  <w:vMerge w:val="continue"/>
                  <w:vAlign w:val="center"/>
                </w:tcPr>
                <w:p w14:paraId="62C0BD68">
                  <w:pPr>
                    <w:pStyle w:val="64"/>
                    <w:spacing w:line="276" w:lineRule="auto"/>
                    <w:rPr>
                      <w:color w:val="auto"/>
                      <w:kern w:val="2"/>
                      <w:highlight w:val="none"/>
                    </w:rPr>
                  </w:pPr>
                </w:p>
              </w:tc>
              <w:tc>
                <w:tcPr>
                  <w:tcW w:w="1291" w:type="pct"/>
                  <w:shd w:val="clear" w:color="auto" w:fill="auto"/>
                  <w:vAlign w:val="center"/>
                </w:tcPr>
                <w:p w14:paraId="224F3DD3">
                  <w:pPr>
                    <w:pStyle w:val="64"/>
                    <w:spacing w:line="276" w:lineRule="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position w:val="-10"/>
                      <w:sz w:val="21"/>
                      <w:szCs w:val="21"/>
                      <w:highlight w:val="none"/>
                      <w:lang w:val="en-US" w:eastAsia="zh-CN" w:bidi="ar-SA"/>
                    </w:rPr>
                    <w:t>污水处理站</w:t>
                  </w:r>
                </w:p>
              </w:tc>
              <w:tc>
                <w:tcPr>
                  <w:tcW w:w="1368" w:type="pct"/>
                  <w:shd w:val="clear" w:color="auto" w:fill="auto"/>
                  <w:vAlign w:val="center"/>
                </w:tcPr>
                <w:p w14:paraId="62382FBE">
                  <w:pPr>
                    <w:pStyle w:val="64"/>
                    <w:spacing w:line="276" w:lineRule="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position w:val="-10"/>
                      <w:sz w:val="21"/>
                      <w:szCs w:val="21"/>
                      <w:highlight w:val="none"/>
                      <w:lang w:val="en-US" w:eastAsia="zh-CN" w:bidi="ar-SA"/>
                    </w:rPr>
                    <w:t>恶臭</w:t>
                  </w:r>
                </w:p>
              </w:tc>
              <w:tc>
                <w:tcPr>
                  <w:tcW w:w="1940" w:type="pct"/>
                  <w:shd w:val="clear" w:color="auto" w:fill="auto"/>
                  <w:vAlign w:val="center"/>
                </w:tcPr>
                <w:p w14:paraId="6ECD1C20">
                  <w:pPr>
                    <w:pStyle w:val="64"/>
                    <w:spacing w:line="276" w:lineRule="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position w:val="-10"/>
                      <w:sz w:val="21"/>
                      <w:szCs w:val="21"/>
                      <w:highlight w:val="none"/>
                      <w:lang w:val="en-US" w:eastAsia="zh-CN" w:bidi="ar-SA"/>
                    </w:rPr>
                    <w:t>臭气浓度、氨、硫化氢</w:t>
                  </w:r>
                </w:p>
              </w:tc>
            </w:tr>
            <w:tr w14:paraId="109A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9" w:type="pct"/>
                  <w:vAlign w:val="center"/>
                </w:tcPr>
                <w:p w14:paraId="03369BC4">
                  <w:pPr>
                    <w:pStyle w:val="64"/>
                    <w:spacing w:line="276" w:lineRule="auto"/>
                    <w:rPr>
                      <w:color w:val="auto"/>
                      <w:kern w:val="2"/>
                      <w:highlight w:val="none"/>
                    </w:rPr>
                  </w:pPr>
                  <w:r>
                    <w:rPr>
                      <w:color w:val="auto"/>
                      <w:kern w:val="2"/>
                      <w:highlight w:val="none"/>
                    </w:rPr>
                    <w:t>噪声</w:t>
                  </w:r>
                </w:p>
              </w:tc>
              <w:tc>
                <w:tcPr>
                  <w:tcW w:w="1291" w:type="pct"/>
                  <w:vAlign w:val="center"/>
                </w:tcPr>
                <w:p w14:paraId="1658964E">
                  <w:pPr>
                    <w:pStyle w:val="64"/>
                    <w:spacing w:line="276" w:lineRule="auto"/>
                    <w:rPr>
                      <w:color w:val="auto"/>
                      <w:kern w:val="2"/>
                      <w:highlight w:val="none"/>
                    </w:rPr>
                  </w:pPr>
                  <w:r>
                    <w:rPr>
                      <w:color w:val="auto"/>
                      <w:kern w:val="2"/>
                      <w:highlight w:val="none"/>
                    </w:rPr>
                    <w:t>生产设备、辅助设备</w:t>
                  </w:r>
                </w:p>
              </w:tc>
              <w:tc>
                <w:tcPr>
                  <w:tcW w:w="1368" w:type="pct"/>
                  <w:vAlign w:val="center"/>
                </w:tcPr>
                <w:p w14:paraId="4A7C9C54">
                  <w:pPr>
                    <w:pStyle w:val="64"/>
                    <w:spacing w:line="276" w:lineRule="auto"/>
                    <w:rPr>
                      <w:color w:val="auto"/>
                      <w:kern w:val="2"/>
                      <w:highlight w:val="none"/>
                    </w:rPr>
                  </w:pPr>
                  <w:r>
                    <w:rPr>
                      <w:color w:val="auto"/>
                      <w:kern w:val="2"/>
                      <w:highlight w:val="none"/>
                    </w:rPr>
                    <w:t>噪声</w:t>
                  </w:r>
                </w:p>
              </w:tc>
              <w:tc>
                <w:tcPr>
                  <w:tcW w:w="1940" w:type="pct"/>
                  <w:vAlign w:val="center"/>
                </w:tcPr>
                <w:p w14:paraId="4A40BCFA">
                  <w:pPr>
                    <w:pStyle w:val="64"/>
                    <w:spacing w:line="276" w:lineRule="auto"/>
                    <w:rPr>
                      <w:color w:val="auto"/>
                      <w:kern w:val="2"/>
                      <w:highlight w:val="none"/>
                    </w:rPr>
                  </w:pPr>
                  <w:r>
                    <w:rPr>
                      <w:color w:val="auto"/>
                      <w:kern w:val="2"/>
                      <w:highlight w:val="none"/>
                    </w:rPr>
                    <w:t>设备噪声</w:t>
                  </w:r>
                </w:p>
              </w:tc>
            </w:tr>
            <w:tr w14:paraId="3F3D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399" w:type="pct"/>
                  <w:vMerge w:val="restart"/>
                  <w:vAlign w:val="center"/>
                </w:tcPr>
                <w:p w14:paraId="36BC6ECB">
                  <w:pPr>
                    <w:pStyle w:val="64"/>
                    <w:spacing w:line="276" w:lineRule="auto"/>
                    <w:rPr>
                      <w:color w:val="auto"/>
                      <w:kern w:val="2"/>
                      <w:highlight w:val="none"/>
                    </w:rPr>
                  </w:pPr>
                  <w:r>
                    <w:rPr>
                      <w:color w:val="auto"/>
                      <w:kern w:val="2"/>
                      <w:highlight w:val="none"/>
                    </w:rPr>
                    <w:t>固体废物</w:t>
                  </w:r>
                </w:p>
              </w:tc>
              <w:tc>
                <w:tcPr>
                  <w:tcW w:w="1291" w:type="pct"/>
                  <w:vAlign w:val="center"/>
                </w:tcPr>
                <w:p w14:paraId="4552F512">
                  <w:pPr>
                    <w:pStyle w:val="64"/>
                    <w:spacing w:line="276" w:lineRule="auto"/>
                    <w:rPr>
                      <w:color w:val="auto"/>
                      <w:kern w:val="2"/>
                      <w:highlight w:val="none"/>
                    </w:rPr>
                  </w:pPr>
                  <w:r>
                    <w:rPr>
                      <w:color w:val="auto"/>
                      <w:kern w:val="2"/>
                      <w:highlight w:val="none"/>
                    </w:rPr>
                    <w:t>办公生活</w:t>
                  </w:r>
                </w:p>
              </w:tc>
              <w:tc>
                <w:tcPr>
                  <w:tcW w:w="1368" w:type="pct"/>
                  <w:vAlign w:val="center"/>
                </w:tcPr>
                <w:p w14:paraId="3CF1C03C">
                  <w:pPr>
                    <w:pStyle w:val="64"/>
                    <w:spacing w:line="276" w:lineRule="auto"/>
                    <w:rPr>
                      <w:color w:val="auto"/>
                      <w:kern w:val="2"/>
                      <w:highlight w:val="none"/>
                    </w:rPr>
                  </w:pPr>
                  <w:r>
                    <w:rPr>
                      <w:color w:val="auto"/>
                      <w:kern w:val="2"/>
                      <w:highlight w:val="none"/>
                    </w:rPr>
                    <w:t>生活垃圾</w:t>
                  </w:r>
                </w:p>
              </w:tc>
              <w:tc>
                <w:tcPr>
                  <w:tcW w:w="1940" w:type="pct"/>
                  <w:vAlign w:val="center"/>
                </w:tcPr>
                <w:p w14:paraId="3E7936F2">
                  <w:pPr>
                    <w:pStyle w:val="64"/>
                    <w:spacing w:line="276" w:lineRule="auto"/>
                    <w:rPr>
                      <w:color w:val="auto"/>
                      <w:kern w:val="2"/>
                      <w:highlight w:val="none"/>
                    </w:rPr>
                  </w:pPr>
                  <w:r>
                    <w:rPr>
                      <w:color w:val="auto"/>
                      <w:kern w:val="2"/>
                      <w:highlight w:val="none"/>
                    </w:rPr>
                    <w:t>废纸、果皮、塑料等</w:t>
                  </w:r>
                </w:p>
              </w:tc>
            </w:tr>
            <w:tr w14:paraId="4D24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99" w:type="pct"/>
                  <w:vMerge w:val="continue"/>
                  <w:vAlign w:val="center"/>
                </w:tcPr>
                <w:p w14:paraId="40B8CCC5">
                  <w:pPr>
                    <w:pStyle w:val="64"/>
                    <w:spacing w:line="276" w:lineRule="auto"/>
                    <w:rPr>
                      <w:color w:val="auto"/>
                      <w:kern w:val="2"/>
                      <w:highlight w:val="none"/>
                    </w:rPr>
                  </w:pPr>
                </w:p>
              </w:tc>
              <w:tc>
                <w:tcPr>
                  <w:tcW w:w="1291" w:type="pct"/>
                  <w:vAlign w:val="center"/>
                </w:tcPr>
                <w:p w14:paraId="5622D0C9">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旁流装置</w:t>
                  </w:r>
                </w:p>
              </w:tc>
              <w:tc>
                <w:tcPr>
                  <w:tcW w:w="1368" w:type="pct"/>
                  <w:vAlign w:val="center"/>
                </w:tcPr>
                <w:p w14:paraId="4A1C0458">
                  <w:pPr>
                    <w:pStyle w:val="64"/>
                    <w:spacing w:line="276" w:lineRule="auto"/>
                    <w:rPr>
                      <w:color w:val="auto"/>
                      <w:kern w:val="2"/>
                      <w:highlight w:val="none"/>
                    </w:rPr>
                  </w:pPr>
                  <w:r>
                    <w:rPr>
                      <w:rFonts w:hint="eastAsia"/>
                      <w:color w:val="auto"/>
                      <w:kern w:val="2"/>
                      <w:highlight w:val="none"/>
                    </w:rPr>
                    <w:t>污水处理</w:t>
                  </w:r>
                </w:p>
              </w:tc>
              <w:tc>
                <w:tcPr>
                  <w:tcW w:w="1940" w:type="pct"/>
                  <w:vAlign w:val="center"/>
                </w:tcPr>
                <w:p w14:paraId="5EF126C9">
                  <w:pPr>
                    <w:pStyle w:val="64"/>
                    <w:spacing w:line="276" w:lineRule="auto"/>
                    <w:rPr>
                      <w:rFonts w:hint="eastAsia" w:eastAsia="宋体"/>
                      <w:color w:val="auto"/>
                      <w:kern w:val="2"/>
                      <w:highlight w:val="none"/>
                      <w:lang w:val="en-US" w:eastAsia="zh-CN"/>
                    </w:rPr>
                  </w:pPr>
                  <w:r>
                    <w:rPr>
                      <w:rFonts w:hint="eastAsia"/>
                      <w:color w:val="auto"/>
                      <w:kern w:val="2"/>
                      <w:highlight w:val="none"/>
                      <w:lang w:val="en-US" w:eastAsia="zh-CN"/>
                    </w:rPr>
                    <w:t>废滤料</w:t>
                  </w:r>
                </w:p>
              </w:tc>
            </w:tr>
            <w:tr w14:paraId="5709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399" w:type="pct"/>
                  <w:vMerge w:val="continue"/>
                  <w:vAlign w:val="center"/>
                </w:tcPr>
                <w:p w14:paraId="77B3563E">
                  <w:pPr>
                    <w:pStyle w:val="64"/>
                    <w:spacing w:line="276" w:lineRule="auto"/>
                    <w:rPr>
                      <w:color w:val="auto"/>
                      <w:kern w:val="2"/>
                      <w:highlight w:val="none"/>
                    </w:rPr>
                  </w:pPr>
                </w:p>
              </w:tc>
              <w:tc>
                <w:tcPr>
                  <w:tcW w:w="1291" w:type="pct"/>
                  <w:vAlign w:val="center"/>
                </w:tcPr>
                <w:p w14:paraId="1BC28C58">
                  <w:pPr>
                    <w:pStyle w:val="64"/>
                    <w:spacing w:line="276" w:lineRule="auto"/>
                    <w:rPr>
                      <w:color w:val="auto"/>
                      <w:kern w:val="2"/>
                      <w:highlight w:val="none"/>
                    </w:rPr>
                  </w:pPr>
                  <w:r>
                    <w:rPr>
                      <w:color w:val="auto"/>
                      <w:kern w:val="2"/>
                      <w:highlight w:val="none"/>
                    </w:rPr>
                    <w:t>生产车间</w:t>
                  </w:r>
                </w:p>
              </w:tc>
              <w:tc>
                <w:tcPr>
                  <w:tcW w:w="1368" w:type="pct"/>
                  <w:vAlign w:val="center"/>
                </w:tcPr>
                <w:p w14:paraId="4F5750DC">
                  <w:pPr>
                    <w:pStyle w:val="64"/>
                    <w:spacing w:line="276" w:lineRule="auto"/>
                    <w:rPr>
                      <w:color w:val="auto"/>
                      <w:kern w:val="2"/>
                      <w:highlight w:val="none"/>
                    </w:rPr>
                  </w:pPr>
                  <w:r>
                    <w:rPr>
                      <w:rFonts w:hint="eastAsia"/>
                      <w:color w:val="auto"/>
                      <w:kern w:val="2"/>
                      <w:highlight w:val="none"/>
                    </w:rPr>
                    <w:t>生产过程</w:t>
                  </w:r>
                </w:p>
              </w:tc>
              <w:tc>
                <w:tcPr>
                  <w:tcW w:w="1940" w:type="pct"/>
                  <w:vAlign w:val="center"/>
                </w:tcPr>
                <w:p w14:paraId="5F2DB6DD">
                  <w:pPr>
                    <w:pStyle w:val="64"/>
                    <w:spacing w:line="276" w:lineRule="auto"/>
                    <w:rPr>
                      <w:color w:val="auto"/>
                      <w:kern w:val="2"/>
                      <w:highlight w:val="none"/>
                    </w:rPr>
                  </w:pPr>
                  <w:r>
                    <w:rPr>
                      <w:rFonts w:hint="eastAsia" w:cs="Times New Roman"/>
                      <w:color w:val="auto"/>
                      <w:kern w:val="2"/>
                      <w:sz w:val="21"/>
                      <w:szCs w:val="21"/>
                      <w:highlight w:val="none"/>
                      <w:lang w:val="en-US" w:eastAsia="zh-CN"/>
                    </w:rPr>
                    <w:t>废木屑杂物、废橡胶</w:t>
                  </w:r>
                  <w:r>
                    <w:rPr>
                      <w:rFonts w:hint="default" w:ascii="Times New Roman" w:hAnsi="Times New Roman" w:cs="Times New Roman"/>
                      <w:b w:val="0"/>
                      <w:bCs w:val="0"/>
                      <w:color w:val="auto"/>
                      <w:kern w:val="2"/>
                      <w:sz w:val="21"/>
                      <w:szCs w:val="21"/>
                      <w:highlight w:val="none"/>
                      <w:lang w:eastAsia="zh-CN"/>
                    </w:rPr>
                    <w:t>、</w:t>
                  </w:r>
                  <w:r>
                    <w:rPr>
                      <w:rFonts w:hint="default" w:ascii="Times New Roman" w:hAnsi="Times New Roman" w:cs="Times New Roman"/>
                      <w:color w:val="auto"/>
                      <w:kern w:val="2"/>
                      <w:sz w:val="21"/>
                      <w:szCs w:val="21"/>
                      <w:highlight w:val="none"/>
                    </w:rPr>
                    <w:t>包装废料、废</w:t>
                  </w:r>
                  <w:r>
                    <w:rPr>
                      <w:rFonts w:hint="eastAsia" w:cs="Times New Roman"/>
                      <w:color w:val="auto"/>
                      <w:kern w:val="2"/>
                      <w:sz w:val="21"/>
                      <w:szCs w:val="21"/>
                      <w:highlight w:val="none"/>
                      <w:lang w:val="en-US" w:eastAsia="zh-CN"/>
                    </w:rPr>
                    <w:t>机</w:t>
                  </w:r>
                  <w:r>
                    <w:rPr>
                      <w:rFonts w:hint="default" w:ascii="Times New Roman" w:hAnsi="Times New Roman" w:cs="Times New Roman"/>
                      <w:color w:val="auto"/>
                      <w:kern w:val="2"/>
                      <w:sz w:val="21"/>
                      <w:szCs w:val="21"/>
                      <w:highlight w:val="none"/>
                    </w:rPr>
                    <w:t>油桶、废机油、</w:t>
                  </w:r>
                  <w:r>
                    <w:rPr>
                      <w:rFonts w:hint="eastAsia" w:cs="Times New Roman"/>
                      <w:color w:val="auto"/>
                      <w:kern w:val="2"/>
                      <w:sz w:val="21"/>
                      <w:szCs w:val="21"/>
                      <w:highlight w:val="none"/>
                      <w:lang w:val="en-US" w:eastAsia="zh-CN"/>
                    </w:rPr>
                    <w:t>含油废抹布、废烧碱包装袋、废柴油桶、</w:t>
                  </w:r>
                  <w:r>
                    <w:rPr>
                      <w:rFonts w:hint="eastAsia"/>
                      <w:color w:val="auto"/>
                      <w:kern w:val="2"/>
                      <w:highlight w:val="none"/>
                    </w:rPr>
                    <w:t>废</w:t>
                  </w:r>
                  <w:r>
                    <w:rPr>
                      <w:color w:val="auto"/>
                      <w:kern w:val="2"/>
                      <w:highlight w:val="none"/>
                    </w:rPr>
                    <w:t>包装废料、废</w:t>
                  </w:r>
                  <w:r>
                    <w:rPr>
                      <w:rFonts w:hint="eastAsia"/>
                      <w:color w:val="auto"/>
                      <w:kern w:val="2"/>
                      <w:highlight w:val="none"/>
                    </w:rPr>
                    <w:t>机</w:t>
                  </w:r>
                  <w:r>
                    <w:rPr>
                      <w:color w:val="auto"/>
                      <w:kern w:val="2"/>
                      <w:highlight w:val="none"/>
                    </w:rPr>
                    <w:t>油桶、废机油、</w:t>
                  </w:r>
                  <w:r>
                    <w:rPr>
                      <w:rFonts w:hint="eastAsia"/>
                      <w:color w:val="auto"/>
                      <w:kern w:val="2"/>
                      <w:highlight w:val="none"/>
                    </w:rPr>
                    <w:t>含油废抹布</w:t>
                  </w:r>
                </w:p>
              </w:tc>
            </w:tr>
            <w:tr w14:paraId="29E1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399" w:type="pct"/>
                  <w:vMerge w:val="continue"/>
                  <w:vAlign w:val="center"/>
                </w:tcPr>
                <w:p w14:paraId="104655DF">
                  <w:pPr>
                    <w:pStyle w:val="64"/>
                    <w:spacing w:line="276" w:lineRule="auto"/>
                    <w:rPr>
                      <w:color w:val="auto"/>
                      <w:kern w:val="2"/>
                      <w:highlight w:val="none"/>
                    </w:rPr>
                  </w:pPr>
                </w:p>
              </w:tc>
              <w:tc>
                <w:tcPr>
                  <w:tcW w:w="1291" w:type="pct"/>
                  <w:vAlign w:val="center"/>
                </w:tcPr>
                <w:p w14:paraId="413A9962">
                  <w:pPr>
                    <w:pStyle w:val="64"/>
                    <w:spacing w:line="276" w:lineRule="auto"/>
                    <w:rPr>
                      <w:color w:val="auto"/>
                      <w:kern w:val="2"/>
                      <w:highlight w:val="none"/>
                    </w:rPr>
                  </w:pPr>
                  <w:r>
                    <w:rPr>
                      <w:rFonts w:hint="eastAsia"/>
                      <w:color w:val="auto"/>
                      <w:kern w:val="2"/>
                      <w:highlight w:val="none"/>
                    </w:rPr>
                    <w:t>废气处理设施</w:t>
                  </w:r>
                </w:p>
              </w:tc>
              <w:tc>
                <w:tcPr>
                  <w:tcW w:w="1368" w:type="pct"/>
                  <w:vAlign w:val="center"/>
                </w:tcPr>
                <w:p w14:paraId="7CB5E0EE">
                  <w:pPr>
                    <w:pStyle w:val="64"/>
                    <w:spacing w:line="276" w:lineRule="auto"/>
                    <w:rPr>
                      <w:color w:val="auto"/>
                      <w:kern w:val="2"/>
                      <w:highlight w:val="none"/>
                    </w:rPr>
                  </w:pPr>
                  <w:r>
                    <w:rPr>
                      <w:rFonts w:hint="eastAsia"/>
                      <w:color w:val="auto"/>
                      <w:kern w:val="2"/>
                      <w:highlight w:val="none"/>
                    </w:rPr>
                    <w:t>废气处理</w:t>
                  </w:r>
                </w:p>
              </w:tc>
              <w:tc>
                <w:tcPr>
                  <w:tcW w:w="1940" w:type="pct"/>
                  <w:vAlign w:val="center"/>
                </w:tcPr>
                <w:p w14:paraId="68F75134">
                  <w:pPr>
                    <w:pStyle w:val="64"/>
                    <w:spacing w:line="276" w:lineRule="auto"/>
                    <w:rPr>
                      <w:rFonts w:hint="default" w:eastAsia="宋体"/>
                      <w:color w:val="auto"/>
                      <w:kern w:val="2"/>
                      <w:highlight w:val="none"/>
                      <w:lang w:val="en-US" w:eastAsia="zh-CN"/>
                    </w:rPr>
                  </w:pPr>
                  <w:r>
                    <w:rPr>
                      <w:rFonts w:hint="default" w:ascii="Times New Roman" w:hAnsi="Times New Roman" w:cs="Times New Roman"/>
                      <w:color w:val="auto"/>
                      <w:kern w:val="2"/>
                      <w:sz w:val="21"/>
                      <w:szCs w:val="21"/>
                      <w:highlight w:val="none"/>
                    </w:rPr>
                    <w:t>废</w:t>
                  </w:r>
                  <w:r>
                    <w:rPr>
                      <w:rFonts w:hint="eastAsia" w:cs="Times New Roman"/>
                      <w:color w:val="auto"/>
                      <w:kern w:val="2"/>
                      <w:sz w:val="21"/>
                      <w:szCs w:val="21"/>
                      <w:highlight w:val="none"/>
                      <w:lang w:val="en-US" w:eastAsia="zh-CN"/>
                    </w:rPr>
                    <w:t>布袋、布袋收集粉尘、</w:t>
                  </w:r>
                  <w:r>
                    <w:rPr>
                      <w:rFonts w:hint="eastAsia"/>
                      <w:color w:val="auto"/>
                      <w:kern w:val="2"/>
                      <w:highlight w:val="none"/>
                      <w:lang w:val="en-US" w:eastAsia="zh-CN"/>
                    </w:rPr>
                    <w:t>喷淋沉渣、废活性炭、废过滤棉、废催化剂</w:t>
                  </w:r>
                </w:p>
              </w:tc>
            </w:tr>
          </w:tbl>
          <w:p w14:paraId="76B43348">
            <w:pPr>
              <w:pStyle w:val="26"/>
              <w:ind w:firstLine="0" w:firstLineChars="0"/>
              <w:rPr>
                <w:b/>
                <w:bCs/>
                <w:color w:val="auto"/>
                <w:sz w:val="21"/>
                <w:szCs w:val="21"/>
                <w:highlight w:val="none"/>
              </w:rPr>
            </w:pPr>
          </w:p>
          <w:p w14:paraId="33A7F895">
            <w:pPr>
              <w:pStyle w:val="26"/>
              <w:ind w:firstLine="0" w:firstLineChars="0"/>
              <w:rPr>
                <w:b/>
                <w:bCs/>
                <w:color w:val="auto"/>
                <w:sz w:val="21"/>
                <w:szCs w:val="21"/>
                <w:highlight w:val="none"/>
              </w:rPr>
            </w:pPr>
          </w:p>
        </w:tc>
      </w:tr>
      <w:tr w14:paraId="252D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1" w:type="pct"/>
            <w:vAlign w:val="center"/>
          </w:tcPr>
          <w:p w14:paraId="1609FAB7">
            <w:pPr>
              <w:keepNext/>
              <w:widowControl/>
              <w:numPr>
                <w:ilvl w:val="1"/>
                <w:numId w:val="0"/>
              </w:numPr>
              <w:tabs>
                <w:tab w:val="left" w:pos="420"/>
              </w:tabs>
              <w:adjustRightInd w:val="0"/>
              <w:snapToGrid w:val="0"/>
              <w:rPr>
                <w:color w:val="auto"/>
                <w:highlight w:val="none"/>
              </w:rPr>
            </w:pPr>
            <w:bookmarkStart w:id="33" w:name="_Toc7967"/>
            <w:bookmarkStart w:id="34" w:name="_Toc25856"/>
            <w:bookmarkStart w:id="35" w:name="_Toc7720"/>
            <w:bookmarkStart w:id="36" w:name="_Toc13420"/>
            <w:bookmarkStart w:id="37" w:name="_Toc2438"/>
            <w:bookmarkStart w:id="38" w:name="_Toc5833"/>
            <w:bookmarkStart w:id="39" w:name="_Toc631"/>
            <w:bookmarkStart w:id="40" w:name="_Toc14546"/>
            <w:bookmarkStart w:id="41" w:name="_Toc17328"/>
            <w:bookmarkStart w:id="42" w:name="_Toc28399"/>
            <w:bookmarkStart w:id="43" w:name="_Toc5613"/>
            <w:bookmarkStart w:id="44" w:name="_Toc11592"/>
            <w:bookmarkStart w:id="45" w:name="_Toc24696"/>
            <w:bookmarkStart w:id="46" w:name="_Toc8130"/>
            <w:r>
              <w:rPr>
                <w:b/>
                <w:bCs/>
                <w:color w:val="auto"/>
                <w:highlight w:val="none"/>
              </w:rPr>
              <w:t>与项目有关的原有环境污染问题</w:t>
            </w:r>
            <w:bookmarkEnd w:id="33"/>
            <w:bookmarkEnd w:id="34"/>
            <w:bookmarkEnd w:id="35"/>
            <w:bookmarkEnd w:id="36"/>
            <w:bookmarkEnd w:id="37"/>
            <w:bookmarkEnd w:id="38"/>
            <w:bookmarkEnd w:id="39"/>
            <w:bookmarkEnd w:id="40"/>
            <w:bookmarkEnd w:id="41"/>
            <w:bookmarkEnd w:id="42"/>
            <w:bookmarkEnd w:id="43"/>
            <w:bookmarkEnd w:id="44"/>
            <w:bookmarkEnd w:id="45"/>
            <w:bookmarkEnd w:id="46"/>
          </w:p>
        </w:tc>
        <w:tc>
          <w:tcPr>
            <w:tcW w:w="4758" w:type="pct"/>
            <w:vAlign w:val="center"/>
          </w:tcPr>
          <w:p w14:paraId="54B1243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b/>
                <w:color w:val="auto"/>
                <w:sz w:val="24"/>
                <w:szCs w:val="21"/>
                <w:highlight w:val="none"/>
              </w:rPr>
              <w:t>1.</w:t>
            </w:r>
            <w:r>
              <w:rPr>
                <w:rFonts w:hint="default" w:ascii="Times New Roman" w:hAnsi="Times New Roman" w:eastAsia="宋体" w:cs="Times New Roman"/>
                <w:b/>
                <w:color w:val="auto"/>
                <w:sz w:val="24"/>
                <w:highlight w:val="none"/>
              </w:rPr>
              <w:t>与本项目有关的原有污染情况</w:t>
            </w:r>
          </w:p>
          <w:p w14:paraId="0770565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1"/>
                <w:highlight w:val="none"/>
              </w:rPr>
              <w:t>本项目属新建项目，无与本项目有关的原有污染情况。</w:t>
            </w:r>
          </w:p>
          <w:p w14:paraId="6646AC3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2.园区现状污染源情况</w:t>
            </w:r>
          </w:p>
          <w:p w14:paraId="1D0D6F8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截至202</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月，乐昌产业转移工业园范围内产业现状基本以工业产业为主，共涉及</w:t>
            </w:r>
            <w:r>
              <w:rPr>
                <w:rFonts w:hint="eastAsia" w:cs="Times New Roman"/>
                <w:color w:val="auto"/>
                <w:kern w:val="2"/>
                <w:sz w:val="24"/>
                <w:szCs w:val="24"/>
                <w:highlight w:val="none"/>
                <w:lang w:val="en-US" w:eastAsia="zh-CN" w:bidi="ar-SA"/>
              </w:rPr>
              <w:t>114</w:t>
            </w:r>
            <w:r>
              <w:rPr>
                <w:rFonts w:hint="default" w:ascii="Times New Roman" w:hAnsi="Times New Roman" w:eastAsia="宋体" w:cs="Times New Roman"/>
                <w:color w:val="auto"/>
                <w:kern w:val="2"/>
                <w:sz w:val="24"/>
                <w:szCs w:val="24"/>
                <w:highlight w:val="none"/>
                <w:lang w:val="en-US" w:eastAsia="zh-CN" w:bidi="ar-SA"/>
              </w:rPr>
              <w:t>家企业，其中</w:t>
            </w:r>
            <w:r>
              <w:rPr>
                <w:rFonts w:hint="eastAsia" w:cs="Times New Roman"/>
                <w:color w:val="auto"/>
                <w:kern w:val="2"/>
                <w:sz w:val="24"/>
                <w:szCs w:val="24"/>
                <w:highlight w:val="none"/>
                <w:lang w:val="en-US" w:eastAsia="zh-CN" w:bidi="ar-SA"/>
              </w:rPr>
              <w:t>6家企业</w:t>
            </w:r>
            <w:r>
              <w:rPr>
                <w:rFonts w:hint="default" w:ascii="Times New Roman" w:hAnsi="Times New Roman" w:eastAsia="宋体" w:cs="Times New Roman"/>
                <w:color w:val="auto"/>
                <w:kern w:val="2"/>
                <w:sz w:val="24"/>
                <w:szCs w:val="24"/>
                <w:highlight w:val="none"/>
                <w:lang w:val="en-US" w:eastAsia="zh-CN" w:bidi="ar-SA"/>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E44CCA3">
            <w:pPr>
              <w:pStyle w:val="112"/>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园区</w:t>
            </w:r>
            <w:r>
              <w:rPr>
                <w:rFonts w:hint="default" w:ascii="Times New Roman" w:hAnsi="Times New Roman" w:eastAsia="宋体" w:cs="Times New Roman"/>
                <w:b/>
                <w:bCs/>
                <w:color w:val="auto"/>
                <w:kern w:val="2"/>
                <w:sz w:val="21"/>
                <w:szCs w:val="21"/>
                <w:highlight w:val="none"/>
                <w:lang w:val="en-US" w:eastAsia="zh-CN" w:bidi="ar-SA"/>
              </w:rPr>
              <w:t>通过环评审批企业情况统计</w:t>
            </w:r>
          </w:p>
          <w:tbl>
            <w:tblPr>
              <w:tblStyle w:val="130"/>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27"/>
              <w:gridCol w:w="1522"/>
              <w:gridCol w:w="395"/>
              <w:gridCol w:w="1167"/>
              <w:gridCol w:w="983"/>
              <w:gridCol w:w="2989"/>
              <w:gridCol w:w="1896"/>
            </w:tblGrid>
            <w:tr w14:paraId="1CE34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8" w:type="pct"/>
                  <w:noWrap w:val="0"/>
                  <w:vAlign w:val="center"/>
                </w:tcPr>
                <w:p w14:paraId="71E6F5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bookmarkStart w:id="47" w:name="_Ref11703236"/>
                  <w:r>
                    <w:rPr>
                      <w:rFonts w:hint="default" w:ascii="Times New Roman" w:hAnsi="Times New Roman" w:eastAsia="宋体" w:cs="Times New Roman"/>
                      <w:b/>
                      <w:bCs/>
                      <w:i w:val="0"/>
                      <w:iCs w:val="0"/>
                      <w:color w:val="auto"/>
                      <w:kern w:val="0"/>
                      <w:sz w:val="21"/>
                      <w:szCs w:val="21"/>
                      <w:highlight w:val="none"/>
                      <w:u w:val="none"/>
                      <w:lang w:val="en-US" w:eastAsia="zh-CN"/>
                    </w:rPr>
                    <w:t>序号</w:t>
                  </w:r>
                </w:p>
              </w:tc>
              <w:tc>
                <w:tcPr>
                  <w:tcW w:w="841" w:type="pct"/>
                  <w:noWrap w:val="0"/>
                  <w:vAlign w:val="center"/>
                </w:tcPr>
                <w:p w14:paraId="0CE4F3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企业名称</w:t>
                  </w:r>
                </w:p>
              </w:tc>
              <w:tc>
                <w:tcPr>
                  <w:tcW w:w="234" w:type="pct"/>
                  <w:noWrap w:val="0"/>
                  <w:vAlign w:val="center"/>
                </w:tcPr>
                <w:p w14:paraId="1C608A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建设情况</w:t>
                  </w:r>
                </w:p>
              </w:tc>
              <w:tc>
                <w:tcPr>
                  <w:tcW w:w="650" w:type="pct"/>
                  <w:noWrap w:val="0"/>
                  <w:vAlign w:val="center"/>
                </w:tcPr>
                <w:p w14:paraId="5ED7D2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产业类型</w:t>
                  </w:r>
                </w:p>
              </w:tc>
              <w:tc>
                <w:tcPr>
                  <w:tcW w:w="551" w:type="pct"/>
                  <w:noWrap w:val="0"/>
                  <w:vAlign w:val="center"/>
                </w:tcPr>
                <w:p w14:paraId="0FAF54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占地面积（平方米）</w:t>
                  </w:r>
                </w:p>
              </w:tc>
              <w:tc>
                <w:tcPr>
                  <w:tcW w:w="1631" w:type="pct"/>
                  <w:noWrap w:val="0"/>
                  <w:vAlign w:val="center"/>
                </w:tcPr>
                <w:p w14:paraId="26C238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主要产品及规模</w:t>
                  </w:r>
                </w:p>
              </w:tc>
              <w:tc>
                <w:tcPr>
                  <w:tcW w:w="891" w:type="pct"/>
                  <w:noWrap w:val="0"/>
                  <w:vAlign w:val="center"/>
                </w:tcPr>
                <w:p w14:paraId="72016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环评批复</w:t>
                  </w:r>
                </w:p>
              </w:tc>
            </w:tr>
            <w:tr w14:paraId="4CA3C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6793B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w:t>
                  </w:r>
                </w:p>
              </w:tc>
              <w:tc>
                <w:tcPr>
                  <w:tcW w:w="841" w:type="pct"/>
                  <w:noWrap w:val="0"/>
                  <w:vAlign w:val="center"/>
                </w:tcPr>
                <w:p w14:paraId="0BDCA7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乐昌市金丰机械有限公司</w:t>
                  </w:r>
                </w:p>
              </w:tc>
              <w:tc>
                <w:tcPr>
                  <w:tcW w:w="234" w:type="pct"/>
                  <w:noWrap w:val="0"/>
                  <w:vAlign w:val="center"/>
                </w:tcPr>
                <w:p w14:paraId="7F8879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A37F2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551" w:type="pct"/>
                  <w:noWrap w:val="0"/>
                  <w:vAlign w:val="center"/>
                </w:tcPr>
                <w:p w14:paraId="26A9E5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38528.3</w:t>
                  </w:r>
                </w:p>
              </w:tc>
              <w:tc>
                <w:tcPr>
                  <w:tcW w:w="1631" w:type="pct"/>
                  <w:noWrap w:val="0"/>
                  <w:vAlign w:val="center"/>
                </w:tcPr>
                <w:p w14:paraId="7195CD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2.4 万吨金属铸件，年加工 1800 吨机械零部件</w:t>
                  </w:r>
                </w:p>
              </w:tc>
              <w:tc>
                <w:tcPr>
                  <w:tcW w:w="891" w:type="pct"/>
                  <w:noWrap w:val="0"/>
                  <w:vAlign w:val="center"/>
                </w:tcPr>
                <w:p w14:paraId="19B88C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]33 号、韶环乐审〔2022〕01 号</w:t>
                  </w:r>
                </w:p>
              </w:tc>
            </w:tr>
            <w:tr w14:paraId="42FA8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3E933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w:t>
                  </w:r>
                </w:p>
              </w:tc>
              <w:tc>
                <w:tcPr>
                  <w:tcW w:w="841" w:type="pct"/>
                  <w:noWrap w:val="0"/>
                  <w:vAlign w:val="center"/>
                </w:tcPr>
                <w:p w14:paraId="5BC95B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乐昌市捷凯家具有限公司</w:t>
                  </w:r>
                </w:p>
              </w:tc>
              <w:tc>
                <w:tcPr>
                  <w:tcW w:w="234" w:type="pct"/>
                  <w:noWrap w:val="0"/>
                  <w:vAlign w:val="center"/>
                </w:tcPr>
                <w:p w14:paraId="4C35F2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DB8DD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465683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19980</w:t>
                  </w:r>
                </w:p>
              </w:tc>
              <w:tc>
                <w:tcPr>
                  <w:tcW w:w="1631" w:type="pct"/>
                  <w:noWrap w:val="0"/>
                  <w:vAlign w:val="center"/>
                </w:tcPr>
                <w:p w14:paraId="11D3F9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年产家具铸铁件 1.2 万件</w:t>
                  </w:r>
                </w:p>
              </w:tc>
              <w:tc>
                <w:tcPr>
                  <w:tcW w:w="891" w:type="pct"/>
                  <w:noWrap w:val="0"/>
                  <w:vAlign w:val="center"/>
                </w:tcPr>
                <w:p w14:paraId="2BFEF4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w:t>
                  </w:r>
                </w:p>
              </w:tc>
            </w:tr>
            <w:tr w14:paraId="5D6D9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79368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w:t>
                  </w:r>
                </w:p>
              </w:tc>
              <w:tc>
                <w:tcPr>
                  <w:tcW w:w="841" w:type="pct"/>
                  <w:noWrap w:val="0"/>
                  <w:vAlign w:val="center"/>
                </w:tcPr>
                <w:p w14:paraId="494072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乐昌市瑞创精工制造有限公</w:t>
                  </w:r>
                </w:p>
                <w:p w14:paraId="3972A2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5AE89B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2ED7C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7FFE55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19600</w:t>
                  </w:r>
                </w:p>
              </w:tc>
              <w:tc>
                <w:tcPr>
                  <w:tcW w:w="1631" w:type="pct"/>
                  <w:noWrap w:val="0"/>
                  <w:vAlign w:val="center"/>
                </w:tcPr>
                <w:p w14:paraId="55D28A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年产铸铁电饭煲内胆 10 万件、水泵铸件20 万件、铸铁烤网100 万件、铸铁发热板 220 万件、搪瓷炉架 100 万件</w:t>
                  </w:r>
                </w:p>
              </w:tc>
              <w:tc>
                <w:tcPr>
                  <w:tcW w:w="891" w:type="pct"/>
                  <w:noWrap w:val="0"/>
                  <w:vAlign w:val="center"/>
                </w:tcPr>
                <w:p w14:paraId="04EE0D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]48 号</w:t>
                  </w:r>
                </w:p>
              </w:tc>
            </w:tr>
            <w:tr w14:paraId="1FD27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0B221F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w:t>
                  </w:r>
                </w:p>
              </w:tc>
              <w:tc>
                <w:tcPr>
                  <w:tcW w:w="841" w:type="pct"/>
                  <w:noWrap w:val="0"/>
                  <w:vAlign w:val="center"/>
                </w:tcPr>
                <w:p w14:paraId="51FE26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乐昌市瑛龙高精铸造有限公</w:t>
                  </w:r>
                </w:p>
                <w:p w14:paraId="42B876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31B9EE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A2F54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E427D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10702.96</w:t>
                  </w:r>
                </w:p>
              </w:tc>
              <w:tc>
                <w:tcPr>
                  <w:tcW w:w="1631" w:type="pct"/>
                  <w:noWrap w:val="0"/>
                  <w:vAlign w:val="center"/>
                </w:tcPr>
                <w:p w14:paraId="7CACE0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年产机械设备类的机械设备 1.1 万吨</w:t>
                  </w:r>
                </w:p>
              </w:tc>
              <w:tc>
                <w:tcPr>
                  <w:tcW w:w="891" w:type="pct"/>
                  <w:noWrap w:val="0"/>
                  <w:vAlign w:val="center"/>
                </w:tcPr>
                <w:p w14:paraId="225B6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]40 号</w:t>
                  </w:r>
                </w:p>
              </w:tc>
            </w:tr>
            <w:tr w14:paraId="48CE1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3A32D8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w:t>
                  </w:r>
                </w:p>
              </w:tc>
              <w:tc>
                <w:tcPr>
                  <w:tcW w:w="841" w:type="pct"/>
                  <w:noWrap w:val="0"/>
                  <w:vAlign w:val="center"/>
                </w:tcPr>
                <w:p w14:paraId="641C3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乐昌市湘源金属制品有限公</w:t>
                  </w:r>
                </w:p>
                <w:p w14:paraId="60ACAC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5BCCB3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EC46E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20BA2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13339.8</w:t>
                  </w:r>
                </w:p>
              </w:tc>
              <w:tc>
                <w:tcPr>
                  <w:tcW w:w="1631" w:type="pct"/>
                  <w:noWrap w:val="0"/>
                  <w:vAlign w:val="center"/>
                </w:tcPr>
                <w:p w14:paraId="0EE954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年产铸件 11500 吨</w:t>
                  </w:r>
                </w:p>
              </w:tc>
              <w:tc>
                <w:tcPr>
                  <w:tcW w:w="891" w:type="pct"/>
                  <w:noWrap w:val="0"/>
                  <w:vAlign w:val="center"/>
                </w:tcPr>
                <w:p w14:paraId="146273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]43 号、韶环乐审〔2022〕13 号</w:t>
                  </w:r>
                </w:p>
              </w:tc>
            </w:tr>
            <w:tr w14:paraId="417C4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98" w:type="pct"/>
                  <w:noWrap w:val="0"/>
                  <w:vAlign w:val="center"/>
                </w:tcPr>
                <w:p w14:paraId="73338B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1A60E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w:t>
                  </w:r>
                </w:p>
              </w:tc>
              <w:tc>
                <w:tcPr>
                  <w:tcW w:w="841" w:type="pct"/>
                  <w:noWrap w:val="0"/>
                  <w:vAlign w:val="center"/>
                </w:tcPr>
                <w:p w14:paraId="178844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乐昌市钜宝科技制造有限公</w:t>
                  </w:r>
                </w:p>
                <w:p w14:paraId="35EEDB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7EBBCA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27DAAE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565F0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551" w:type="pct"/>
                  <w:noWrap w:val="0"/>
                  <w:vAlign w:val="center"/>
                </w:tcPr>
                <w:p w14:paraId="7B0BCA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1BC12C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23539.9</w:t>
                  </w:r>
                </w:p>
              </w:tc>
              <w:tc>
                <w:tcPr>
                  <w:tcW w:w="1631" w:type="pct"/>
                  <w:noWrap w:val="0"/>
                  <w:vAlign w:val="center"/>
                </w:tcPr>
                <w:p w14:paraId="0D0C6C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年产户外家具 49.8 万件、水泵铸件 6.52 万件、铸铁烤网 51</w:t>
                  </w:r>
                </w:p>
                <w:p w14:paraId="5F3E87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万件、铸铁发热板 161 万件、机加工铸铁件 4000 吨、喷粉铸</w:t>
                  </w:r>
                </w:p>
                <w:p w14:paraId="79F37B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铁件 1000 吨、搪瓷铸铁件 1000 吨</w:t>
                  </w:r>
                </w:p>
              </w:tc>
              <w:tc>
                <w:tcPr>
                  <w:tcW w:w="891" w:type="pct"/>
                  <w:noWrap w:val="0"/>
                  <w:vAlign w:val="center"/>
                </w:tcPr>
                <w:p w14:paraId="0031B9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]47 号、韶环乐审</w:t>
                  </w:r>
                </w:p>
                <w:p w14:paraId="228D37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]30 号</w:t>
                  </w:r>
                </w:p>
              </w:tc>
            </w:tr>
            <w:tr w14:paraId="0ADE0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62FA9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w:t>
                  </w:r>
                </w:p>
              </w:tc>
              <w:tc>
                <w:tcPr>
                  <w:tcW w:w="841" w:type="pct"/>
                  <w:noWrap w:val="0"/>
                  <w:vAlign w:val="center"/>
                </w:tcPr>
                <w:p w14:paraId="193CE0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乐昌胜旗精工科技有限公司</w:t>
                  </w:r>
                </w:p>
              </w:tc>
              <w:tc>
                <w:tcPr>
                  <w:tcW w:w="234" w:type="pct"/>
                  <w:noWrap w:val="0"/>
                  <w:vAlign w:val="center"/>
                </w:tcPr>
                <w:p w14:paraId="6B23A5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CA566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C4DA5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13322</w:t>
                  </w:r>
                </w:p>
              </w:tc>
              <w:tc>
                <w:tcPr>
                  <w:tcW w:w="1631" w:type="pct"/>
                  <w:noWrap w:val="0"/>
                  <w:vAlign w:val="center"/>
                </w:tcPr>
                <w:p w14:paraId="37F9CB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年产炉架 10 万件、炉排、炉头、家具件、机械件、减速机波</w:t>
                  </w:r>
                </w:p>
                <w:p w14:paraId="6B276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箱各 5 万件、发热盘 3 万件</w:t>
                  </w:r>
                </w:p>
              </w:tc>
              <w:tc>
                <w:tcPr>
                  <w:tcW w:w="891" w:type="pct"/>
                  <w:noWrap w:val="0"/>
                  <w:vAlign w:val="center"/>
                </w:tcPr>
                <w:p w14:paraId="51CC3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]44 号</w:t>
                  </w:r>
                </w:p>
              </w:tc>
            </w:tr>
            <w:tr w14:paraId="3F961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3B06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w:t>
                  </w:r>
                </w:p>
              </w:tc>
              <w:tc>
                <w:tcPr>
                  <w:tcW w:w="841" w:type="pct"/>
                  <w:noWrap w:val="0"/>
                  <w:vAlign w:val="center"/>
                </w:tcPr>
                <w:p w14:paraId="70DB52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乐昌市钜烽机械制造有限公</w:t>
                  </w:r>
                </w:p>
                <w:p w14:paraId="010125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596231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2C194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18DDE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1631" w:type="pct"/>
                  <w:noWrap w:val="0"/>
                  <w:vAlign w:val="center"/>
                </w:tcPr>
                <w:p w14:paraId="7472EE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年产机械铸件 1 万吨</w:t>
                  </w:r>
                </w:p>
              </w:tc>
              <w:tc>
                <w:tcPr>
                  <w:tcW w:w="891" w:type="pct"/>
                  <w:noWrap w:val="0"/>
                  <w:vAlign w:val="center"/>
                </w:tcPr>
                <w:p w14:paraId="4FBC47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4E90F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5CAD24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w:t>
                  </w:r>
                </w:p>
              </w:tc>
              <w:tc>
                <w:tcPr>
                  <w:tcW w:w="841" w:type="pct"/>
                  <w:noWrap w:val="0"/>
                  <w:vAlign w:val="center"/>
                </w:tcPr>
                <w:p w14:paraId="6088D7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乐昌市金利华机械制造有限</w:t>
                  </w:r>
                </w:p>
                <w:p w14:paraId="5F851C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7EF985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14B29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F87F2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1631" w:type="pct"/>
                  <w:noWrap w:val="0"/>
                  <w:vAlign w:val="center"/>
                </w:tcPr>
                <w:p w14:paraId="52EB16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年产食品机械铸件 1 万件</w:t>
                  </w:r>
                </w:p>
              </w:tc>
              <w:tc>
                <w:tcPr>
                  <w:tcW w:w="891" w:type="pct"/>
                  <w:noWrap w:val="0"/>
                  <w:vAlign w:val="center"/>
                </w:tcPr>
                <w:p w14:paraId="221B5A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]42 号</w:t>
                  </w:r>
                </w:p>
              </w:tc>
            </w:tr>
            <w:tr w14:paraId="559FF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6F267B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841" w:type="pct"/>
                  <w:noWrap w:val="0"/>
                  <w:vAlign w:val="center"/>
                </w:tcPr>
                <w:p w14:paraId="3A127C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乐昌市宏信精工制造有限公</w:t>
                  </w:r>
                </w:p>
                <w:p w14:paraId="2DB5E8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1C3A2A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9245E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527FC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1631" w:type="pct"/>
                  <w:noWrap w:val="0"/>
                  <w:vAlign w:val="center"/>
                </w:tcPr>
                <w:p w14:paraId="10CC82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年产球墨模具、零件 4000 吨、灰口模具、零件 6000 吨</w:t>
                  </w:r>
                </w:p>
              </w:tc>
              <w:tc>
                <w:tcPr>
                  <w:tcW w:w="891" w:type="pct"/>
                  <w:noWrap w:val="0"/>
                  <w:vAlign w:val="center"/>
                </w:tcPr>
                <w:p w14:paraId="12C7CB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]39 号、韶环乐审</w:t>
                  </w:r>
                </w:p>
                <w:p w14:paraId="7EBA2F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72416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5204F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w:t>
                  </w:r>
                </w:p>
              </w:tc>
              <w:tc>
                <w:tcPr>
                  <w:tcW w:w="841" w:type="pct"/>
                  <w:noWrap w:val="0"/>
                  <w:vAlign w:val="center"/>
                </w:tcPr>
                <w:p w14:paraId="30505E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乐昌市金来得实业有限公司</w:t>
                  </w:r>
                </w:p>
              </w:tc>
              <w:tc>
                <w:tcPr>
                  <w:tcW w:w="234" w:type="pct"/>
                  <w:noWrap w:val="0"/>
                  <w:vAlign w:val="center"/>
                </w:tcPr>
                <w:p w14:paraId="41541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73A04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橡胶和塑料制品业、家具制造业</w:t>
                  </w:r>
                </w:p>
              </w:tc>
              <w:tc>
                <w:tcPr>
                  <w:tcW w:w="551" w:type="pct"/>
                  <w:noWrap w:val="0"/>
                  <w:vAlign w:val="center"/>
                </w:tcPr>
                <w:p w14:paraId="7F10BB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23018.4</w:t>
                  </w:r>
                </w:p>
              </w:tc>
              <w:tc>
                <w:tcPr>
                  <w:tcW w:w="1631" w:type="pct"/>
                  <w:noWrap w:val="0"/>
                  <w:vAlign w:val="center"/>
                </w:tcPr>
                <w:p w14:paraId="26BCA2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年产卫浴、衣柜 1.6 万套；聚乙烯高分子材料 4.8 万立方米</w:t>
                  </w:r>
                </w:p>
              </w:tc>
              <w:tc>
                <w:tcPr>
                  <w:tcW w:w="891" w:type="pct"/>
                  <w:noWrap w:val="0"/>
                  <w:vAlign w:val="center"/>
                </w:tcPr>
                <w:p w14:paraId="0D6758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号、乐环审〔2020〕</w:t>
                  </w:r>
                </w:p>
                <w:p w14:paraId="113FAE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 号</w:t>
                  </w:r>
                </w:p>
              </w:tc>
            </w:tr>
            <w:tr w14:paraId="76D4C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198" w:type="pct"/>
                  <w:noWrap w:val="0"/>
                  <w:vAlign w:val="center"/>
                </w:tcPr>
                <w:p w14:paraId="7BA43D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07B229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w:t>
                  </w:r>
                </w:p>
              </w:tc>
              <w:tc>
                <w:tcPr>
                  <w:tcW w:w="841" w:type="pct"/>
                  <w:noWrap w:val="0"/>
                  <w:vAlign w:val="center"/>
                </w:tcPr>
                <w:p w14:paraId="20E05F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广东沃府实业有限公司</w:t>
                  </w:r>
                </w:p>
              </w:tc>
              <w:tc>
                <w:tcPr>
                  <w:tcW w:w="234" w:type="pct"/>
                  <w:noWrap w:val="0"/>
                  <w:vAlign w:val="center"/>
                </w:tcPr>
                <w:p w14:paraId="6DE520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D1502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7CECEF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03938D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551" w:type="pct"/>
                  <w:noWrap w:val="0"/>
                  <w:vAlign w:val="center"/>
                </w:tcPr>
                <w:p w14:paraId="375427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73337</w:t>
                  </w:r>
                </w:p>
              </w:tc>
              <w:tc>
                <w:tcPr>
                  <w:tcW w:w="1631" w:type="pct"/>
                  <w:noWrap w:val="0"/>
                  <w:vAlign w:val="center"/>
                </w:tcPr>
                <w:p w14:paraId="0C63DB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10 万吨、家电塑料配件2000 吨</w:t>
                  </w:r>
                </w:p>
              </w:tc>
              <w:tc>
                <w:tcPr>
                  <w:tcW w:w="891" w:type="pct"/>
                  <w:noWrap w:val="0"/>
                  <w:vAlign w:val="center"/>
                </w:tcPr>
                <w:p w14:paraId="35230D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177 号、乐环审</w:t>
                  </w:r>
                </w:p>
                <w:p w14:paraId="46FFB5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〔2021〕05 号、韶环乐审〔2025〕</w:t>
                  </w:r>
                </w:p>
                <w:p w14:paraId="6C7B58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 号</w:t>
                  </w:r>
                </w:p>
              </w:tc>
            </w:tr>
            <w:tr w14:paraId="5CA0E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198" w:type="pct"/>
                  <w:noWrap w:val="0"/>
                  <w:vAlign w:val="center"/>
                </w:tcPr>
                <w:p w14:paraId="3CA2C2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46628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w:t>
                  </w:r>
                </w:p>
              </w:tc>
              <w:tc>
                <w:tcPr>
                  <w:tcW w:w="841" w:type="pct"/>
                  <w:noWrap w:val="0"/>
                  <w:vAlign w:val="center"/>
                </w:tcPr>
                <w:p w14:paraId="3B85C7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韶关乐淇包装材料有限公司</w:t>
                  </w:r>
                </w:p>
              </w:tc>
              <w:tc>
                <w:tcPr>
                  <w:tcW w:w="234" w:type="pct"/>
                  <w:noWrap w:val="0"/>
                  <w:vAlign w:val="center"/>
                </w:tcPr>
                <w:p w14:paraId="41B2DD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09035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3FB67E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34323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551" w:type="pct"/>
                  <w:noWrap w:val="0"/>
                  <w:vAlign w:val="center"/>
                </w:tcPr>
                <w:p w14:paraId="7D9A5C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50991.9</w:t>
                  </w:r>
                </w:p>
              </w:tc>
              <w:tc>
                <w:tcPr>
                  <w:tcW w:w="1631" w:type="pct"/>
                  <w:noWrap w:val="0"/>
                  <w:vAlign w:val="center"/>
                </w:tcPr>
                <w:p w14:paraId="6AD84D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年产塑料新材料 7.22 万吨</w:t>
                  </w:r>
                </w:p>
              </w:tc>
              <w:tc>
                <w:tcPr>
                  <w:tcW w:w="891" w:type="pct"/>
                  <w:noWrap w:val="0"/>
                  <w:vAlign w:val="center"/>
                </w:tcPr>
                <w:p w14:paraId="2E3682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]04 号</w:t>
                  </w:r>
                </w:p>
              </w:tc>
            </w:tr>
            <w:tr w14:paraId="71B11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5AD762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w:t>
                  </w:r>
                </w:p>
              </w:tc>
              <w:tc>
                <w:tcPr>
                  <w:tcW w:w="841" w:type="pct"/>
                  <w:noWrap w:val="0"/>
                  <w:vAlign w:val="center"/>
                </w:tcPr>
                <w:p w14:paraId="0051FB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乐昌市华国艺术装饰建材有</w:t>
                  </w:r>
                </w:p>
                <w:p w14:paraId="132737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234" w:type="pct"/>
                  <w:noWrap w:val="0"/>
                  <w:vAlign w:val="center"/>
                </w:tcPr>
                <w:p w14:paraId="38128F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D646D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4FA2F2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27375.05</w:t>
                  </w:r>
                </w:p>
              </w:tc>
              <w:tc>
                <w:tcPr>
                  <w:tcW w:w="1631" w:type="pct"/>
                  <w:noWrap w:val="0"/>
                  <w:vAlign w:val="center"/>
                </w:tcPr>
                <w:p w14:paraId="427BBA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891" w:type="pct"/>
                  <w:noWrap w:val="0"/>
                  <w:vAlign w:val="center"/>
                </w:tcPr>
                <w:p w14:paraId="67697F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]35 号</w:t>
                  </w:r>
                </w:p>
              </w:tc>
            </w:tr>
            <w:tr w14:paraId="69F8F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3EBABC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w:t>
                  </w:r>
                </w:p>
              </w:tc>
              <w:tc>
                <w:tcPr>
                  <w:tcW w:w="841" w:type="pct"/>
                  <w:noWrap w:val="0"/>
                  <w:vAlign w:val="center"/>
                </w:tcPr>
                <w:p w14:paraId="687138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汇隽新材料科技（乐昌）有限</w:t>
                  </w:r>
                </w:p>
                <w:p w14:paraId="640E85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34C723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28AE9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3DB3B6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7349.3</w:t>
                  </w:r>
                </w:p>
              </w:tc>
              <w:tc>
                <w:tcPr>
                  <w:tcW w:w="1631" w:type="pct"/>
                  <w:noWrap w:val="0"/>
                  <w:vAlign w:val="center"/>
                </w:tcPr>
                <w:p w14:paraId="14F504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750 吨、聚氨酯装饰制品 250 吨</w:t>
                  </w:r>
                </w:p>
              </w:tc>
              <w:tc>
                <w:tcPr>
                  <w:tcW w:w="891" w:type="pct"/>
                  <w:noWrap w:val="0"/>
                  <w:vAlign w:val="center"/>
                </w:tcPr>
                <w:p w14:paraId="59E79D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13 号</w:t>
                  </w:r>
                </w:p>
              </w:tc>
            </w:tr>
            <w:tr w14:paraId="6B2ED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198" w:type="pct"/>
                  <w:noWrap w:val="0"/>
                  <w:vAlign w:val="center"/>
                </w:tcPr>
                <w:p w14:paraId="6969EA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w:t>
                  </w:r>
                </w:p>
              </w:tc>
              <w:tc>
                <w:tcPr>
                  <w:tcW w:w="841" w:type="pct"/>
                  <w:noWrap w:val="0"/>
                  <w:vAlign w:val="center"/>
                </w:tcPr>
                <w:p w14:paraId="23D291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广东宝创环保新材料制品有</w:t>
                  </w:r>
                </w:p>
                <w:p w14:paraId="1C2940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234" w:type="pct"/>
                  <w:noWrap w:val="0"/>
                  <w:vAlign w:val="center"/>
                </w:tcPr>
                <w:p w14:paraId="749350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2C5BE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551" w:type="pct"/>
                  <w:noWrap w:val="0"/>
                  <w:vAlign w:val="center"/>
                </w:tcPr>
                <w:p w14:paraId="063903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32671.2</w:t>
                  </w:r>
                </w:p>
              </w:tc>
              <w:tc>
                <w:tcPr>
                  <w:tcW w:w="1631" w:type="pct"/>
                  <w:noWrap w:val="0"/>
                  <w:vAlign w:val="center"/>
                </w:tcPr>
                <w:p w14:paraId="6ABECD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年产热轧无纺布 2800 吨、口罩 30000 万片、纺粘熔喷无纺布</w:t>
                  </w:r>
                </w:p>
                <w:p w14:paraId="4057FC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7440 吨、衬布 5720 万米、热风无纺布 860 吨、复合芯体 1430</w:t>
                  </w:r>
                </w:p>
                <w:p w14:paraId="36480B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吨、湿巾 360 万包、熔喷无纺布 1500 吨、网膜无纺布 825</w:t>
                  </w:r>
                </w:p>
                <w:p w14:paraId="542D96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万米、无纺布抽取式干巾 57 万盒、无纺布床单 570 万张、口</w:t>
                  </w:r>
                </w:p>
                <w:p w14:paraId="56FAD3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罩衬布 2000 万米、其他衬布 7000 万米</w:t>
                  </w:r>
                </w:p>
              </w:tc>
              <w:tc>
                <w:tcPr>
                  <w:tcW w:w="891" w:type="pct"/>
                  <w:noWrap w:val="0"/>
                  <w:vAlign w:val="center"/>
                </w:tcPr>
                <w:p w14:paraId="36F58D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号、乐环审〔2020〕 23 号、韶环乐审〔2021〕26 号</w:t>
                  </w:r>
                </w:p>
              </w:tc>
            </w:tr>
            <w:tr w14:paraId="4E8D8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9ABE8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w:t>
                  </w:r>
                </w:p>
              </w:tc>
              <w:tc>
                <w:tcPr>
                  <w:tcW w:w="841" w:type="pct"/>
                  <w:noWrap w:val="0"/>
                  <w:vAlign w:val="center"/>
                </w:tcPr>
                <w:p w14:paraId="68DB45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广东泰邦耐磨金属科技有限</w:t>
                  </w:r>
                </w:p>
                <w:p w14:paraId="7393B4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251506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89153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A0B66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33583</w:t>
                  </w:r>
                </w:p>
              </w:tc>
              <w:tc>
                <w:tcPr>
                  <w:tcW w:w="1631" w:type="pct"/>
                  <w:noWrap w:val="0"/>
                  <w:vAlign w:val="center"/>
                </w:tcPr>
                <w:p w14:paraId="71F0EE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 1 万吨</w:t>
                  </w:r>
                </w:p>
              </w:tc>
              <w:tc>
                <w:tcPr>
                  <w:tcW w:w="891" w:type="pct"/>
                  <w:noWrap w:val="0"/>
                  <w:vAlign w:val="center"/>
                </w:tcPr>
                <w:p w14:paraId="55D89D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]25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 号</w:t>
                  </w:r>
                </w:p>
              </w:tc>
            </w:tr>
            <w:tr w14:paraId="4411D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198" w:type="pct"/>
                  <w:noWrap w:val="0"/>
                  <w:vAlign w:val="center"/>
                </w:tcPr>
                <w:p w14:paraId="7073C4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w:t>
                  </w:r>
                </w:p>
              </w:tc>
              <w:tc>
                <w:tcPr>
                  <w:tcW w:w="841" w:type="pct"/>
                  <w:noWrap w:val="0"/>
                  <w:vAlign w:val="center"/>
                </w:tcPr>
                <w:p w14:paraId="73C407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乐昌市明俊铸造有限公司</w:t>
                  </w:r>
                </w:p>
              </w:tc>
              <w:tc>
                <w:tcPr>
                  <w:tcW w:w="234" w:type="pct"/>
                  <w:noWrap w:val="0"/>
                  <w:vAlign w:val="center"/>
                </w:tcPr>
                <w:p w14:paraId="729214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3D80E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568406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12666</w:t>
                  </w:r>
                </w:p>
              </w:tc>
              <w:tc>
                <w:tcPr>
                  <w:tcW w:w="1631" w:type="pct"/>
                  <w:noWrap w:val="0"/>
                  <w:vAlign w:val="center"/>
                </w:tcPr>
                <w:p w14:paraId="0586E7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年产水泵类铸件、油泵 6000 吨</w:t>
                  </w:r>
                </w:p>
              </w:tc>
              <w:tc>
                <w:tcPr>
                  <w:tcW w:w="891" w:type="pct"/>
                  <w:noWrap w:val="0"/>
                  <w:vAlign w:val="center"/>
                </w:tcPr>
                <w:p w14:paraId="615BFF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12 号、乐环审</w:t>
                  </w:r>
                </w:p>
                <w:p w14:paraId="0620A2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号、韶环乐审〔2022〕14</w:t>
                  </w:r>
                </w:p>
                <w:p w14:paraId="63DAB7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号</w:t>
                  </w:r>
                </w:p>
              </w:tc>
            </w:tr>
            <w:tr w14:paraId="06C67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BB4DE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w:t>
                  </w:r>
                </w:p>
              </w:tc>
              <w:tc>
                <w:tcPr>
                  <w:tcW w:w="841" w:type="pct"/>
                  <w:noWrap w:val="0"/>
                  <w:vAlign w:val="center"/>
                </w:tcPr>
                <w:p w14:paraId="1EF6B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乐昌市翔辉皮革有限公司</w:t>
                  </w:r>
                </w:p>
              </w:tc>
              <w:tc>
                <w:tcPr>
                  <w:tcW w:w="234" w:type="pct"/>
                  <w:noWrap w:val="0"/>
                  <w:vAlign w:val="center"/>
                </w:tcPr>
                <w:p w14:paraId="0960D3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82D14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551" w:type="pct"/>
                  <w:noWrap w:val="0"/>
                  <w:vAlign w:val="center"/>
                </w:tcPr>
                <w:p w14:paraId="043D84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14014.6</w:t>
                  </w:r>
                </w:p>
              </w:tc>
              <w:tc>
                <w:tcPr>
                  <w:tcW w:w="1631" w:type="pct"/>
                  <w:noWrap w:val="0"/>
                  <w:vAlign w:val="center"/>
                </w:tcPr>
                <w:p w14:paraId="3C57DF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年产二层贴膜榔皮 200 万呎、3 贴膜 PU0 万码</w:t>
                  </w:r>
                </w:p>
              </w:tc>
              <w:tc>
                <w:tcPr>
                  <w:tcW w:w="891" w:type="pct"/>
                  <w:noWrap w:val="0"/>
                  <w:vAlign w:val="center"/>
                </w:tcPr>
                <w:p w14:paraId="43BF1F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]07 号</w:t>
                  </w:r>
                </w:p>
              </w:tc>
            </w:tr>
            <w:tr w14:paraId="12A4F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04285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w:t>
                  </w:r>
                </w:p>
              </w:tc>
              <w:tc>
                <w:tcPr>
                  <w:tcW w:w="841" w:type="pct"/>
                  <w:noWrap w:val="0"/>
                  <w:vAlign w:val="center"/>
                </w:tcPr>
                <w:p w14:paraId="36E517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广东欧匹特智能装备有限公</w:t>
                  </w:r>
                </w:p>
                <w:p w14:paraId="7D0C17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3A5666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513FC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2BA563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26032</w:t>
                  </w:r>
                </w:p>
              </w:tc>
              <w:tc>
                <w:tcPr>
                  <w:tcW w:w="1631" w:type="pct"/>
                  <w:noWrap w:val="0"/>
                  <w:vAlign w:val="center"/>
                </w:tcPr>
                <w:p w14:paraId="5B9634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年产数控机床 450 台</w:t>
                  </w:r>
                </w:p>
              </w:tc>
              <w:tc>
                <w:tcPr>
                  <w:tcW w:w="891" w:type="pct"/>
                  <w:noWrap w:val="0"/>
                  <w:vAlign w:val="center"/>
                </w:tcPr>
                <w:p w14:paraId="2ADFCF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乐环审〔2020〕16 号</w:t>
                  </w:r>
                </w:p>
              </w:tc>
            </w:tr>
            <w:tr w14:paraId="6E0B0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FEC51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21</w:t>
                  </w:r>
                </w:p>
              </w:tc>
              <w:tc>
                <w:tcPr>
                  <w:tcW w:w="841" w:type="pct"/>
                  <w:noWrap w:val="0"/>
                  <w:vAlign w:val="center"/>
                </w:tcPr>
                <w:p w14:paraId="488869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乐昌市泰瑞菲实业有限公司</w:t>
                  </w:r>
                </w:p>
              </w:tc>
              <w:tc>
                <w:tcPr>
                  <w:tcW w:w="234" w:type="pct"/>
                  <w:noWrap w:val="0"/>
                  <w:vAlign w:val="center"/>
                </w:tcPr>
                <w:p w14:paraId="007BD2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C31E8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03BDA9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15266</w:t>
                  </w:r>
                </w:p>
              </w:tc>
              <w:tc>
                <w:tcPr>
                  <w:tcW w:w="1631" w:type="pct"/>
                  <w:noWrap w:val="0"/>
                  <w:vAlign w:val="center"/>
                </w:tcPr>
                <w:p w14:paraId="1BB89A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年产新型塑料装饰材料 1 万吨</w:t>
                  </w:r>
                </w:p>
              </w:tc>
              <w:tc>
                <w:tcPr>
                  <w:tcW w:w="891" w:type="pct"/>
                  <w:noWrap w:val="0"/>
                  <w:vAlign w:val="center"/>
                </w:tcPr>
                <w:p w14:paraId="361D46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]55 号</w:t>
                  </w:r>
                </w:p>
              </w:tc>
            </w:tr>
            <w:tr w14:paraId="36FDD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8CBCE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w:t>
                  </w:r>
                </w:p>
              </w:tc>
              <w:tc>
                <w:tcPr>
                  <w:tcW w:w="841" w:type="pct"/>
                  <w:noWrap w:val="0"/>
                  <w:vAlign w:val="center"/>
                </w:tcPr>
                <w:p w14:paraId="5B3812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韶关韶瑞铸钢有限公司</w:t>
                  </w:r>
                </w:p>
              </w:tc>
              <w:tc>
                <w:tcPr>
                  <w:tcW w:w="234" w:type="pct"/>
                  <w:noWrap w:val="0"/>
                  <w:vAlign w:val="center"/>
                </w:tcPr>
                <w:p w14:paraId="3D0B0A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C73C8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A6B18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75085</w:t>
                  </w:r>
                </w:p>
              </w:tc>
              <w:tc>
                <w:tcPr>
                  <w:tcW w:w="1631" w:type="pct"/>
                  <w:noWrap w:val="0"/>
                  <w:vAlign w:val="center"/>
                </w:tcPr>
                <w:p w14:paraId="4EF422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年产铸钢件、铸铁件 4.1 万吨</w:t>
                  </w:r>
                </w:p>
              </w:tc>
              <w:tc>
                <w:tcPr>
                  <w:tcW w:w="891" w:type="pct"/>
                  <w:noWrap w:val="0"/>
                  <w:vAlign w:val="center"/>
                </w:tcPr>
                <w:p w14:paraId="69E674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163 号、乐环审 [</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]01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19 号</w:t>
                  </w:r>
                </w:p>
              </w:tc>
            </w:tr>
            <w:tr w14:paraId="20454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B1C45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w:t>
                  </w:r>
                </w:p>
              </w:tc>
              <w:tc>
                <w:tcPr>
                  <w:tcW w:w="841" w:type="pct"/>
                  <w:noWrap w:val="0"/>
                  <w:vAlign w:val="center"/>
                </w:tcPr>
                <w:p w14:paraId="351E0A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精信（乐昌）机械有限公司</w:t>
                  </w:r>
                </w:p>
              </w:tc>
              <w:tc>
                <w:tcPr>
                  <w:tcW w:w="234" w:type="pct"/>
                  <w:noWrap w:val="0"/>
                  <w:vAlign w:val="center"/>
                </w:tcPr>
                <w:p w14:paraId="6D91DD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7E625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5231E1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16950.3</w:t>
                  </w:r>
                </w:p>
              </w:tc>
              <w:tc>
                <w:tcPr>
                  <w:tcW w:w="1631" w:type="pct"/>
                  <w:noWrap w:val="0"/>
                  <w:vAlign w:val="center"/>
                </w:tcPr>
                <w:p w14:paraId="5371AC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年产人防门配件 11250 套</w:t>
                  </w:r>
                </w:p>
              </w:tc>
              <w:tc>
                <w:tcPr>
                  <w:tcW w:w="891" w:type="pct"/>
                  <w:noWrap w:val="0"/>
                  <w:vAlign w:val="center"/>
                </w:tcPr>
                <w:p w14:paraId="22F0A1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韶环乐审〔2021〕25 号</w:t>
                  </w:r>
                </w:p>
              </w:tc>
            </w:tr>
            <w:tr w14:paraId="70739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3B2A0F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w:t>
                  </w:r>
                </w:p>
              </w:tc>
              <w:tc>
                <w:tcPr>
                  <w:tcW w:w="841" w:type="pct"/>
                  <w:noWrap w:val="0"/>
                  <w:vAlign w:val="center"/>
                </w:tcPr>
                <w:p w14:paraId="0A18D1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韶关高尔德防雷科技有限公</w:t>
                  </w:r>
                </w:p>
                <w:p w14:paraId="2CC18F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2598F2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D001E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3494A0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15561.5</w:t>
                  </w:r>
                </w:p>
              </w:tc>
              <w:tc>
                <w:tcPr>
                  <w:tcW w:w="1631" w:type="pct"/>
                  <w:noWrap w:val="0"/>
                  <w:vAlign w:val="center"/>
                </w:tcPr>
                <w:p w14:paraId="2C6E51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年产防雷电子器件 10 万套、3 万台移动通信基站电源、 480</w:t>
                  </w:r>
                </w:p>
                <w:p w14:paraId="11DBED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 AH 铁锂电池</w:t>
                  </w:r>
                </w:p>
              </w:tc>
              <w:tc>
                <w:tcPr>
                  <w:tcW w:w="891" w:type="pct"/>
                  <w:noWrap w:val="0"/>
                  <w:vAlign w:val="center"/>
                </w:tcPr>
                <w:p w14:paraId="1B62CA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2015</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]240 号、乐环审〔2020〕12 号</w:t>
                  </w:r>
                </w:p>
              </w:tc>
            </w:tr>
            <w:tr w14:paraId="0DDE5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903B4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841" w:type="pct"/>
                  <w:noWrap w:val="0"/>
                  <w:vAlign w:val="center"/>
                </w:tcPr>
                <w:p w14:paraId="30CC49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韶关博尔兹阀门工业有限公</w:t>
                  </w:r>
                </w:p>
                <w:p w14:paraId="1DD153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022882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E8392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B9F9B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20198.7</w:t>
                  </w:r>
                </w:p>
              </w:tc>
              <w:tc>
                <w:tcPr>
                  <w:tcW w:w="1631" w:type="pct"/>
                  <w:noWrap w:val="0"/>
                  <w:vAlign w:val="center"/>
                </w:tcPr>
                <w:p w14:paraId="1C289E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年产阀门 5000 件、铸钢件 1.2 万件、铸铁件2.3 万件、机械</w:t>
                  </w:r>
                </w:p>
                <w:p w14:paraId="16158F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配件 1 万件</w:t>
                  </w:r>
                </w:p>
              </w:tc>
              <w:tc>
                <w:tcPr>
                  <w:tcW w:w="891" w:type="pct"/>
                  <w:noWrap w:val="0"/>
                  <w:vAlign w:val="center"/>
                </w:tcPr>
                <w:p w14:paraId="6B2C3B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]94 号、乐环审〔2018〕</w:t>
                  </w:r>
                </w:p>
                <w:p w14:paraId="3D82D4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 号</w:t>
                  </w:r>
                </w:p>
              </w:tc>
            </w:tr>
            <w:tr w14:paraId="47FAF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0E5B3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w:t>
                  </w:r>
                </w:p>
              </w:tc>
              <w:tc>
                <w:tcPr>
                  <w:tcW w:w="841" w:type="pct"/>
                  <w:noWrap w:val="0"/>
                  <w:vAlign w:val="center"/>
                </w:tcPr>
                <w:p w14:paraId="5F6A50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广东科拓电子元件有限公司</w:t>
                  </w:r>
                </w:p>
              </w:tc>
              <w:tc>
                <w:tcPr>
                  <w:tcW w:w="234" w:type="pct"/>
                  <w:noWrap w:val="0"/>
                  <w:vAlign w:val="center"/>
                </w:tcPr>
                <w:p w14:paraId="108DC2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DFD26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3E6297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1720.83</w:t>
                  </w:r>
                </w:p>
              </w:tc>
              <w:tc>
                <w:tcPr>
                  <w:tcW w:w="1631" w:type="pct"/>
                  <w:noWrap w:val="0"/>
                  <w:vAlign w:val="center"/>
                </w:tcPr>
                <w:p w14:paraId="2E0EC7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年产电容、电阻器 8 亿只</w:t>
                  </w:r>
                </w:p>
              </w:tc>
              <w:tc>
                <w:tcPr>
                  <w:tcW w:w="891" w:type="pct"/>
                  <w:noWrap w:val="0"/>
                  <w:vAlign w:val="center"/>
                </w:tcPr>
                <w:p w14:paraId="7C482C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韶环乐审〔2021〕13 号</w:t>
                  </w:r>
                </w:p>
              </w:tc>
            </w:tr>
            <w:tr w14:paraId="426E6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9BB94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w:t>
                  </w:r>
                </w:p>
              </w:tc>
              <w:tc>
                <w:tcPr>
                  <w:tcW w:w="841" w:type="pct"/>
                  <w:noWrap w:val="0"/>
                  <w:vAlign w:val="center"/>
                </w:tcPr>
                <w:p w14:paraId="3A4D35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宇创箱包制品（韶关市乐昌）</w:t>
                  </w:r>
                </w:p>
                <w:p w14:paraId="2FBCAD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234" w:type="pct"/>
                  <w:noWrap w:val="0"/>
                  <w:vAlign w:val="center"/>
                </w:tcPr>
                <w:p w14:paraId="50820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F0CFA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551" w:type="pct"/>
                  <w:noWrap w:val="0"/>
                  <w:vAlign w:val="center"/>
                </w:tcPr>
                <w:p w14:paraId="4B1DDB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1200</w:t>
                  </w:r>
                </w:p>
              </w:tc>
              <w:tc>
                <w:tcPr>
                  <w:tcW w:w="1631" w:type="pct"/>
                  <w:noWrap w:val="0"/>
                  <w:vAlign w:val="center"/>
                </w:tcPr>
                <w:p w14:paraId="195568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年产钱包 30 万个，手袋 50 万个</w:t>
                  </w:r>
                </w:p>
              </w:tc>
              <w:tc>
                <w:tcPr>
                  <w:tcW w:w="891" w:type="pct"/>
                  <w:noWrap w:val="0"/>
                  <w:vAlign w:val="center"/>
                </w:tcPr>
                <w:p w14:paraId="4CCDAB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乐环审〔2020〕09 号</w:t>
                  </w:r>
                </w:p>
              </w:tc>
            </w:tr>
            <w:tr w14:paraId="5DC5F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0E44A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28</w:t>
                  </w:r>
                </w:p>
              </w:tc>
              <w:tc>
                <w:tcPr>
                  <w:tcW w:w="841" w:type="pct"/>
                  <w:noWrap w:val="0"/>
                  <w:vAlign w:val="center"/>
                </w:tcPr>
                <w:p w14:paraId="367B73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广东启轮金属制品有限公司</w:t>
                  </w:r>
                </w:p>
              </w:tc>
              <w:tc>
                <w:tcPr>
                  <w:tcW w:w="234" w:type="pct"/>
                  <w:noWrap w:val="0"/>
                  <w:vAlign w:val="center"/>
                </w:tcPr>
                <w:p w14:paraId="2208A0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C0D3A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32E21E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10679.3</w:t>
                  </w:r>
                </w:p>
              </w:tc>
              <w:tc>
                <w:tcPr>
                  <w:tcW w:w="1631" w:type="pct"/>
                  <w:noWrap w:val="0"/>
                  <w:vAlign w:val="center"/>
                </w:tcPr>
                <w:p w14:paraId="25223C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年产脚轮 100 万个</w:t>
                  </w:r>
                </w:p>
              </w:tc>
              <w:tc>
                <w:tcPr>
                  <w:tcW w:w="891" w:type="pct"/>
                  <w:noWrap w:val="0"/>
                  <w:vAlign w:val="center"/>
                </w:tcPr>
                <w:p w14:paraId="254A88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韶环乐审〔2021〕22 号、韶环乐审〔2025〕09 号</w:t>
                  </w:r>
                </w:p>
              </w:tc>
            </w:tr>
            <w:tr w14:paraId="0DA37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198" w:type="pct"/>
                  <w:noWrap w:val="0"/>
                  <w:vAlign w:val="center"/>
                </w:tcPr>
                <w:p w14:paraId="64BD95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w:t>
                  </w:r>
                </w:p>
              </w:tc>
              <w:tc>
                <w:tcPr>
                  <w:tcW w:w="841" w:type="pct"/>
                  <w:noWrap w:val="0"/>
                  <w:vAlign w:val="center"/>
                </w:tcPr>
                <w:p w14:paraId="4D2F1B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深圳艾尔康电子元器件有限公司乐昌分公司</w:t>
                  </w:r>
                </w:p>
              </w:tc>
              <w:tc>
                <w:tcPr>
                  <w:tcW w:w="234" w:type="pct"/>
                  <w:noWrap w:val="0"/>
                  <w:vAlign w:val="center"/>
                </w:tcPr>
                <w:p w14:paraId="753767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B36BC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551" w:type="pct"/>
                  <w:noWrap w:val="0"/>
                  <w:vAlign w:val="center"/>
                </w:tcPr>
                <w:p w14:paraId="3DD082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20006.9</w:t>
                  </w:r>
                </w:p>
              </w:tc>
              <w:tc>
                <w:tcPr>
                  <w:tcW w:w="1631" w:type="pct"/>
                  <w:noWrap w:val="0"/>
                  <w:vAlign w:val="center"/>
                </w:tcPr>
                <w:p w14:paraId="169B08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年产探针 422 万、接线端子及其零部件 36000 万、感应器及其零部件 200 万、接插件及其零部件 2500 万、模具 50 套、五金产品 30000 万、塑胶配件 30000 万、自动化装备 50 台</w:t>
                  </w:r>
                </w:p>
              </w:tc>
              <w:tc>
                <w:tcPr>
                  <w:tcW w:w="891" w:type="pct"/>
                  <w:noWrap w:val="0"/>
                  <w:vAlign w:val="center"/>
                </w:tcPr>
                <w:p w14:paraId="75B76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326CF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ECD29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841" w:type="pct"/>
                  <w:noWrap w:val="0"/>
                  <w:vAlign w:val="center"/>
                </w:tcPr>
                <w:p w14:paraId="4217CE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乐昌市缔恒科技有限公司</w:t>
                  </w:r>
                </w:p>
              </w:tc>
              <w:tc>
                <w:tcPr>
                  <w:tcW w:w="234" w:type="pct"/>
                  <w:noWrap w:val="0"/>
                  <w:vAlign w:val="center"/>
                </w:tcPr>
                <w:p w14:paraId="53C5A7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6FF1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3B005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5000</w:t>
                  </w:r>
                </w:p>
              </w:tc>
              <w:tc>
                <w:tcPr>
                  <w:tcW w:w="1631" w:type="pct"/>
                  <w:noWrap w:val="0"/>
                  <w:vAlign w:val="center"/>
                </w:tcPr>
                <w:p w14:paraId="10AE09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年产金刚石复合片 50 万片</w:t>
                  </w:r>
                </w:p>
              </w:tc>
              <w:tc>
                <w:tcPr>
                  <w:tcW w:w="891" w:type="pct"/>
                  <w:noWrap w:val="0"/>
                  <w:vAlign w:val="center"/>
                </w:tcPr>
                <w:p w14:paraId="3693CF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0891D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22990E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w:t>
                  </w:r>
                </w:p>
              </w:tc>
              <w:tc>
                <w:tcPr>
                  <w:tcW w:w="841" w:type="pct"/>
                  <w:noWrap w:val="0"/>
                  <w:vAlign w:val="center"/>
                </w:tcPr>
                <w:p w14:paraId="1146DB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乐昌市盛昌钢构有限公司</w:t>
                  </w:r>
                </w:p>
              </w:tc>
              <w:tc>
                <w:tcPr>
                  <w:tcW w:w="234" w:type="pct"/>
                  <w:noWrap w:val="0"/>
                  <w:vAlign w:val="center"/>
                </w:tcPr>
                <w:p w14:paraId="3CE624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E1DA2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78EE09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9000</w:t>
                  </w:r>
                </w:p>
              </w:tc>
              <w:tc>
                <w:tcPr>
                  <w:tcW w:w="1631" w:type="pct"/>
                  <w:noWrap w:val="0"/>
                  <w:vAlign w:val="center"/>
                </w:tcPr>
                <w:p w14:paraId="3B9C5A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 500 吨钢结构</w:t>
                  </w:r>
                </w:p>
              </w:tc>
              <w:tc>
                <w:tcPr>
                  <w:tcW w:w="891" w:type="pct"/>
                  <w:noWrap w:val="0"/>
                  <w:vAlign w:val="center"/>
                </w:tcPr>
                <w:p w14:paraId="768557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]80 号</w:t>
                  </w:r>
                </w:p>
              </w:tc>
            </w:tr>
            <w:tr w14:paraId="6BD56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308F7B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w:t>
                  </w:r>
                </w:p>
              </w:tc>
              <w:tc>
                <w:tcPr>
                  <w:tcW w:w="841" w:type="pct"/>
                  <w:noWrap w:val="0"/>
                  <w:vAlign w:val="center"/>
                </w:tcPr>
                <w:p w14:paraId="68232A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乐昌市安莉琪服饰有限公司</w:t>
                  </w:r>
                </w:p>
              </w:tc>
              <w:tc>
                <w:tcPr>
                  <w:tcW w:w="234" w:type="pct"/>
                  <w:noWrap w:val="0"/>
                  <w:vAlign w:val="center"/>
                </w:tcPr>
                <w:p w14:paraId="57F244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F6BB1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纺织服装、服饰业</w:t>
                  </w:r>
                </w:p>
              </w:tc>
              <w:tc>
                <w:tcPr>
                  <w:tcW w:w="551" w:type="pct"/>
                  <w:noWrap w:val="0"/>
                  <w:vAlign w:val="center"/>
                </w:tcPr>
                <w:p w14:paraId="3B4C7D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13164.82</w:t>
                  </w:r>
                </w:p>
              </w:tc>
              <w:tc>
                <w:tcPr>
                  <w:tcW w:w="1631" w:type="pct"/>
                  <w:noWrap w:val="0"/>
                  <w:vAlign w:val="center"/>
                </w:tcPr>
                <w:p w14:paraId="08DB36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 万件服装</w:t>
                  </w:r>
                </w:p>
              </w:tc>
              <w:tc>
                <w:tcPr>
                  <w:tcW w:w="891" w:type="pct"/>
                  <w:noWrap w:val="0"/>
                  <w:vAlign w:val="center"/>
                </w:tcPr>
                <w:p w14:paraId="21451E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]61 号</w:t>
                  </w:r>
                </w:p>
              </w:tc>
            </w:tr>
            <w:tr w14:paraId="41D05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021FA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w:t>
                  </w:r>
                </w:p>
              </w:tc>
              <w:tc>
                <w:tcPr>
                  <w:tcW w:w="841" w:type="pct"/>
                  <w:noWrap w:val="0"/>
                  <w:vAlign w:val="center"/>
                </w:tcPr>
                <w:p w14:paraId="5FA02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乐昌市宏泰机械制造有限公</w:t>
                  </w:r>
                </w:p>
                <w:p w14:paraId="3CB984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3C2FD4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CBA86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113C06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17320</w:t>
                  </w:r>
                </w:p>
              </w:tc>
              <w:tc>
                <w:tcPr>
                  <w:tcW w:w="1631" w:type="pct"/>
                  <w:noWrap w:val="0"/>
                  <w:vAlign w:val="center"/>
                </w:tcPr>
                <w:p w14:paraId="02D065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 1.5 万吨、铸铁件 5000 吨</w:t>
                  </w:r>
                </w:p>
              </w:tc>
              <w:tc>
                <w:tcPr>
                  <w:tcW w:w="891" w:type="pct"/>
                  <w:noWrap w:val="0"/>
                  <w:vAlign w:val="center"/>
                </w:tcPr>
                <w:p w14:paraId="754812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]36 号、乐环审〔2019〕</w:t>
                  </w:r>
                </w:p>
                <w:p w14:paraId="33C40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 号</w:t>
                  </w:r>
                </w:p>
              </w:tc>
            </w:tr>
            <w:tr w14:paraId="3C3AF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198" w:type="pct"/>
                  <w:noWrap w:val="0"/>
                  <w:vAlign w:val="center"/>
                </w:tcPr>
                <w:p w14:paraId="686320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w:t>
                  </w:r>
                </w:p>
              </w:tc>
              <w:tc>
                <w:tcPr>
                  <w:tcW w:w="841" w:type="pct"/>
                  <w:noWrap w:val="0"/>
                  <w:vAlign w:val="center"/>
                </w:tcPr>
                <w:p w14:paraId="252DE5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乐昌市特安消防器材有限公</w:t>
                  </w:r>
                </w:p>
                <w:p w14:paraId="2C9C2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78A0B7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A19A3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14D0A2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1283.1</w:t>
                  </w:r>
                </w:p>
              </w:tc>
              <w:tc>
                <w:tcPr>
                  <w:tcW w:w="1631" w:type="pct"/>
                  <w:noWrap w:val="0"/>
                  <w:vAlign w:val="center"/>
                </w:tcPr>
                <w:p w14:paraId="1EF5E0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60 万件（含霍加拉特剂生产 600</w:t>
                  </w:r>
                </w:p>
                <w:p w14:paraId="4969A1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吨），逃生缓降器 3000 套，急逃生绳 3000 条，消防防护服2</w:t>
                  </w:r>
                </w:p>
                <w:p w14:paraId="2589F2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万套，家庭应急供氧组合装备 1500 台，灭火毯 3000 张，箔</w:t>
                  </w:r>
                </w:p>
                <w:p w14:paraId="1C48DD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隔热服 3000 套，以及应急包、应急箱 6000 套等</w:t>
                  </w:r>
                </w:p>
              </w:tc>
              <w:tc>
                <w:tcPr>
                  <w:tcW w:w="891" w:type="pct"/>
                  <w:noWrap w:val="0"/>
                  <w:vAlign w:val="center"/>
                </w:tcPr>
                <w:p w14:paraId="1B64E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w:t>
                  </w:r>
                </w:p>
              </w:tc>
            </w:tr>
            <w:tr w14:paraId="6FD42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573138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w:t>
                  </w:r>
                </w:p>
              </w:tc>
              <w:tc>
                <w:tcPr>
                  <w:tcW w:w="841" w:type="pct"/>
                  <w:noWrap w:val="0"/>
                  <w:vAlign w:val="center"/>
                </w:tcPr>
                <w:p w14:paraId="56A7D1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乐昌市同路单采血浆有限公</w:t>
                  </w:r>
                </w:p>
                <w:p w14:paraId="185DDE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5BEAF4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AF978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卫生</w:t>
                  </w:r>
                </w:p>
              </w:tc>
              <w:tc>
                <w:tcPr>
                  <w:tcW w:w="551" w:type="pct"/>
                  <w:noWrap w:val="0"/>
                  <w:vAlign w:val="center"/>
                </w:tcPr>
                <w:p w14:paraId="7BC929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9379</w:t>
                  </w:r>
                </w:p>
              </w:tc>
              <w:tc>
                <w:tcPr>
                  <w:tcW w:w="1631" w:type="pct"/>
                  <w:noWrap w:val="0"/>
                  <w:vAlign w:val="center"/>
                </w:tcPr>
                <w:p w14:paraId="7178D3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采浆量为 40t/a</w:t>
                  </w:r>
                </w:p>
              </w:tc>
              <w:tc>
                <w:tcPr>
                  <w:tcW w:w="891" w:type="pct"/>
                  <w:noWrap w:val="0"/>
                  <w:vAlign w:val="center"/>
                </w:tcPr>
                <w:p w14:paraId="44246B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2016</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]20 号</w:t>
                  </w:r>
                </w:p>
              </w:tc>
            </w:tr>
            <w:tr w14:paraId="226DE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788902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w:t>
                  </w:r>
                </w:p>
              </w:tc>
              <w:tc>
                <w:tcPr>
                  <w:tcW w:w="841" w:type="pct"/>
                  <w:noWrap w:val="0"/>
                  <w:vAlign w:val="center"/>
                </w:tcPr>
                <w:p w14:paraId="605D47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韶关鑫瑞智能装备有限公司</w:t>
                  </w:r>
                </w:p>
              </w:tc>
              <w:tc>
                <w:tcPr>
                  <w:tcW w:w="234" w:type="pct"/>
                  <w:noWrap w:val="0"/>
                  <w:vAlign w:val="center"/>
                </w:tcPr>
                <w:p w14:paraId="65DFEA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1E03E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7DD963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17693</w:t>
                  </w:r>
                </w:p>
              </w:tc>
              <w:tc>
                <w:tcPr>
                  <w:tcW w:w="1631" w:type="pct"/>
                  <w:noWrap w:val="0"/>
                  <w:vAlign w:val="center"/>
                </w:tcPr>
                <w:p w14:paraId="64C727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年产破碎、筛分单机设备，移动式破碎筛分装备和模块化装</w:t>
                  </w:r>
                </w:p>
                <w:p w14:paraId="6CF2F6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备 803 台</w:t>
                  </w:r>
                </w:p>
              </w:tc>
              <w:tc>
                <w:tcPr>
                  <w:tcW w:w="891" w:type="pct"/>
                  <w:noWrap w:val="0"/>
                  <w:vAlign w:val="center"/>
                </w:tcPr>
                <w:p w14:paraId="7E31B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乐环审〔2019〕25 号</w:t>
                  </w:r>
                </w:p>
              </w:tc>
            </w:tr>
            <w:tr w14:paraId="4DF97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23E19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w:t>
                  </w:r>
                </w:p>
              </w:tc>
              <w:tc>
                <w:tcPr>
                  <w:tcW w:w="841" w:type="pct"/>
                  <w:noWrap w:val="0"/>
                  <w:vAlign w:val="center"/>
                </w:tcPr>
                <w:p w14:paraId="3D9788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韶关龙督装饰材料有限公司</w:t>
                  </w:r>
                </w:p>
              </w:tc>
              <w:tc>
                <w:tcPr>
                  <w:tcW w:w="234" w:type="pct"/>
                  <w:noWrap w:val="0"/>
                  <w:vAlign w:val="center"/>
                </w:tcPr>
                <w:p w14:paraId="3FF91C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5E3CE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365C1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33812.1</w:t>
                  </w:r>
                </w:p>
              </w:tc>
              <w:tc>
                <w:tcPr>
                  <w:tcW w:w="1631" w:type="pct"/>
                  <w:noWrap w:val="0"/>
                  <w:vAlign w:val="center"/>
                </w:tcPr>
                <w:p w14:paraId="79A5D5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年产彩涂铝卷 400 万平方米，铝幕墙板、铝天花板 100 万平</w:t>
                  </w:r>
                </w:p>
                <w:p w14:paraId="5EED11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方米</w:t>
                  </w:r>
                </w:p>
              </w:tc>
              <w:tc>
                <w:tcPr>
                  <w:tcW w:w="891" w:type="pct"/>
                  <w:noWrap w:val="0"/>
                  <w:vAlign w:val="center"/>
                </w:tcPr>
                <w:p w14:paraId="48EC5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w:t>
                  </w:r>
                </w:p>
              </w:tc>
            </w:tr>
            <w:tr w14:paraId="0A07D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A98C1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w:t>
                  </w:r>
                </w:p>
              </w:tc>
              <w:tc>
                <w:tcPr>
                  <w:tcW w:w="841" w:type="pct"/>
                  <w:noWrap w:val="0"/>
                  <w:vAlign w:val="center"/>
                </w:tcPr>
                <w:p w14:paraId="2AA79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乐昌市胜兴新材料有限公司</w:t>
                  </w:r>
                </w:p>
              </w:tc>
              <w:tc>
                <w:tcPr>
                  <w:tcW w:w="234" w:type="pct"/>
                  <w:noWrap w:val="0"/>
                  <w:vAlign w:val="center"/>
                </w:tcPr>
                <w:p w14:paraId="2AEABC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6132A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551" w:type="pct"/>
                  <w:noWrap w:val="0"/>
                  <w:vAlign w:val="center"/>
                </w:tcPr>
                <w:p w14:paraId="6845C6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5760</w:t>
                  </w:r>
                </w:p>
              </w:tc>
              <w:tc>
                <w:tcPr>
                  <w:tcW w:w="1631" w:type="pct"/>
                  <w:noWrap w:val="0"/>
                  <w:vAlign w:val="center"/>
                </w:tcPr>
                <w:p w14:paraId="055FEA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年产衬布 6000 万米</w:t>
                  </w:r>
                </w:p>
              </w:tc>
              <w:tc>
                <w:tcPr>
                  <w:tcW w:w="891" w:type="pct"/>
                  <w:noWrap w:val="0"/>
                  <w:vAlign w:val="center"/>
                </w:tcPr>
                <w:p w14:paraId="578CB2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18 号</w:t>
                  </w:r>
                </w:p>
              </w:tc>
            </w:tr>
            <w:tr w14:paraId="76361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80D3A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w:t>
                  </w:r>
                </w:p>
              </w:tc>
              <w:tc>
                <w:tcPr>
                  <w:tcW w:w="841" w:type="pct"/>
                  <w:noWrap w:val="0"/>
                  <w:vAlign w:val="center"/>
                </w:tcPr>
                <w:p w14:paraId="05A1CF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乐昌市鸿鑫机械设备有限公</w:t>
                  </w:r>
                </w:p>
                <w:p w14:paraId="39B712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1AA037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8ACD4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72A225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700</w:t>
                  </w:r>
                </w:p>
              </w:tc>
              <w:tc>
                <w:tcPr>
                  <w:tcW w:w="1631" w:type="pct"/>
                  <w:noWrap w:val="0"/>
                  <w:vAlign w:val="center"/>
                </w:tcPr>
                <w:p w14:paraId="615E43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年产液压元件 1000 套</w:t>
                  </w:r>
                </w:p>
              </w:tc>
              <w:tc>
                <w:tcPr>
                  <w:tcW w:w="891" w:type="pct"/>
                  <w:noWrap w:val="0"/>
                  <w:vAlign w:val="center"/>
                </w:tcPr>
                <w:p w14:paraId="3DD0BE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乐环审〔2019〕38 号</w:t>
                  </w:r>
                </w:p>
              </w:tc>
            </w:tr>
            <w:tr w14:paraId="59E6A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48DC6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w:t>
                  </w:r>
                </w:p>
              </w:tc>
              <w:tc>
                <w:tcPr>
                  <w:tcW w:w="841" w:type="pct"/>
                  <w:noWrap w:val="0"/>
                  <w:vAlign w:val="center"/>
                </w:tcPr>
                <w:p w14:paraId="0D036C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广东柏创智能装备有限公司</w:t>
                  </w:r>
                </w:p>
              </w:tc>
              <w:tc>
                <w:tcPr>
                  <w:tcW w:w="234" w:type="pct"/>
                  <w:noWrap w:val="0"/>
                  <w:vAlign w:val="center"/>
                </w:tcPr>
                <w:p w14:paraId="2471E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B54C5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3DB944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1631" w:type="pct"/>
                  <w:noWrap w:val="0"/>
                  <w:vAlign w:val="center"/>
                </w:tcPr>
                <w:p w14:paraId="51C1D9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年产单晶炉热交换器 1.2 万套、腔体部件 200 套、晶棒相关</w:t>
                  </w:r>
                </w:p>
                <w:p w14:paraId="360EB4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自动化设备 200 套</w:t>
                  </w:r>
                </w:p>
              </w:tc>
              <w:tc>
                <w:tcPr>
                  <w:tcW w:w="891" w:type="pct"/>
                  <w:noWrap w:val="0"/>
                  <w:vAlign w:val="center"/>
                </w:tcPr>
                <w:p w14:paraId="22DC90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韶环乐审〔2023〕33 号</w:t>
                  </w:r>
                </w:p>
              </w:tc>
            </w:tr>
            <w:tr w14:paraId="26C81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7D83F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41</w:t>
                  </w:r>
                </w:p>
              </w:tc>
              <w:tc>
                <w:tcPr>
                  <w:tcW w:w="841" w:type="pct"/>
                  <w:noWrap w:val="0"/>
                  <w:vAlign w:val="center"/>
                </w:tcPr>
                <w:p w14:paraId="4E0E09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广东中衡能源设备有限公司</w:t>
                  </w:r>
                </w:p>
              </w:tc>
              <w:tc>
                <w:tcPr>
                  <w:tcW w:w="234" w:type="pct"/>
                  <w:noWrap w:val="0"/>
                  <w:vAlign w:val="center"/>
                </w:tcPr>
                <w:p w14:paraId="3C69E8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325C7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F321F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13940.57</w:t>
                  </w:r>
                </w:p>
              </w:tc>
              <w:tc>
                <w:tcPr>
                  <w:tcW w:w="1631" w:type="pct"/>
                  <w:noWrap w:val="0"/>
                  <w:vAlign w:val="center"/>
                </w:tcPr>
                <w:p w14:paraId="37C7D6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年产移动通信基站设备 3 万套、移动通信机柜 2 万套</w:t>
                  </w:r>
                </w:p>
              </w:tc>
              <w:tc>
                <w:tcPr>
                  <w:tcW w:w="891" w:type="pct"/>
                  <w:noWrap w:val="0"/>
                  <w:vAlign w:val="center"/>
                </w:tcPr>
                <w:p w14:paraId="1F3CCE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韶环乐审〔2022〕12 号</w:t>
                  </w:r>
                </w:p>
              </w:tc>
            </w:tr>
            <w:tr w14:paraId="75709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198" w:type="pct"/>
                  <w:noWrap w:val="0"/>
                  <w:vAlign w:val="center"/>
                </w:tcPr>
                <w:p w14:paraId="6CF431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42</w:t>
                  </w:r>
                </w:p>
              </w:tc>
              <w:tc>
                <w:tcPr>
                  <w:tcW w:w="841" w:type="pct"/>
                  <w:noWrap w:val="0"/>
                  <w:vAlign w:val="center"/>
                </w:tcPr>
                <w:p w14:paraId="5540BB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韶关欧亚特电子制品有限公</w:t>
                  </w:r>
                </w:p>
                <w:p w14:paraId="2BD2B7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3839BC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80D57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w:t>
                  </w:r>
                </w:p>
                <w:p w14:paraId="5A450D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他电子设备制造</w:t>
                  </w:r>
                </w:p>
                <w:p w14:paraId="4B7FBC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业、电气机械和器</w:t>
                  </w:r>
                </w:p>
                <w:p w14:paraId="33FD6A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材制造业、橡胶和</w:t>
                  </w:r>
                </w:p>
                <w:p w14:paraId="19AD57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塑料制品业</w:t>
                  </w:r>
                </w:p>
              </w:tc>
              <w:tc>
                <w:tcPr>
                  <w:tcW w:w="551" w:type="pct"/>
                  <w:noWrap w:val="0"/>
                  <w:vAlign w:val="center"/>
                </w:tcPr>
                <w:p w14:paraId="65696D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18664</w:t>
                  </w:r>
                </w:p>
              </w:tc>
              <w:tc>
                <w:tcPr>
                  <w:tcW w:w="1631" w:type="pct"/>
                  <w:noWrap w:val="0"/>
                  <w:vAlign w:val="center"/>
                </w:tcPr>
                <w:p w14:paraId="659407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1000 万支热熔胶枪及 1000 万根插头线、3000 万条热熔</w:t>
                  </w:r>
                </w:p>
                <w:p w14:paraId="35F140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胶条</w:t>
                  </w:r>
                </w:p>
              </w:tc>
              <w:tc>
                <w:tcPr>
                  <w:tcW w:w="891" w:type="pct"/>
                  <w:noWrap w:val="0"/>
                  <w:vAlign w:val="center"/>
                </w:tcPr>
                <w:p w14:paraId="416025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号、乐环审</w:t>
                  </w:r>
                </w:p>
                <w:p w14:paraId="4D6326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]09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]52 号、</w:t>
                  </w:r>
                </w:p>
                <w:p w14:paraId="42C1BC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乐环审〔2020〕05 号</w:t>
                  </w:r>
                </w:p>
              </w:tc>
            </w:tr>
            <w:tr w14:paraId="4CB18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BB35B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w:t>
                  </w:r>
                </w:p>
              </w:tc>
              <w:tc>
                <w:tcPr>
                  <w:tcW w:w="841" w:type="pct"/>
                  <w:noWrap w:val="0"/>
                  <w:vAlign w:val="center"/>
                </w:tcPr>
                <w:p w14:paraId="1A8CE5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德尔安科技（广东）有限公司</w:t>
                  </w:r>
                </w:p>
              </w:tc>
              <w:tc>
                <w:tcPr>
                  <w:tcW w:w="234" w:type="pct"/>
                  <w:noWrap w:val="0"/>
                  <w:vAlign w:val="center"/>
                </w:tcPr>
                <w:p w14:paraId="75DE2C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F6D5A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2FE7D1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27672.2</w:t>
                  </w:r>
                </w:p>
              </w:tc>
              <w:tc>
                <w:tcPr>
                  <w:tcW w:w="1631" w:type="pct"/>
                  <w:noWrap w:val="0"/>
                  <w:vAlign w:val="center"/>
                </w:tcPr>
                <w:p w14:paraId="05D4DA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400 万具，水基型灭火器 100 万具，催化剂 600 吨和水系灭火剂2400 吨等</w:t>
                  </w:r>
                </w:p>
              </w:tc>
              <w:tc>
                <w:tcPr>
                  <w:tcW w:w="891" w:type="pct"/>
                  <w:noWrap w:val="0"/>
                  <w:vAlign w:val="center"/>
                </w:tcPr>
                <w:p w14:paraId="29C3BF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韶环乐审〔2021〕23 号</w:t>
                  </w:r>
                </w:p>
              </w:tc>
            </w:tr>
            <w:tr w14:paraId="6AA4E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9394E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w:t>
                  </w:r>
                </w:p>
              </w:tc>
              <w:tc>
                <w:tcPr>
                  <w:tcW w:w="841" w:type="pct"/>
                  <w:noWrap w:val="0"/>
                  <w:vAlign w:val="center"/>
                </w:tcPr>
                <w:p w14:paraId="5B28DA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广东东田实业有限公司</w:t>
                  </w:r>
                </w:p>
              </w:tc>
              <w:tc>
                <w:tcPr>
                  <w:tcW w:w="234" w:type="pct"/>
                  <w:noWrap w:val="0"/>
                  <w:vAlign w:val="center"/>
                </w:tcPr>
                <w:p w14:paraId="7E878A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F38D0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0D2802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1557.48</w:t>
                  </w:r>
                </w:p>
              </w:tc>
              <w:tc>
                <w:tcPr>
                  <w:tcW w:w="1631" w:type="pct"/>
                  <w:noWrap w:val="0"/>
                  <w:vAlign w:val="center"/>
                </w:tcPr>
                <w:p w14:paraId="14E269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年产移动通信基站电源钣金件 5 万套</w:t>
                  </w:r>
                </w:p>
              </w:tc>
              <w:tc>
                <w:tcPr>
                  <w:tcW w:w="891" w:type="pct"/>
                  <w:noWrap w:val="0"/>
                  <w:vAlign w:val="center"/>
                </w:tcPr>
                <w:p w14:paraId="19AE30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乐环审〔2020〕27 号</w:t>
                  </w:r>
                </w:p>
              </w:tc>
            </w:tr>
            <w:tr w14:paraId="02897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6509D1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45</w:t>
                  </w:r>
                </w:p>
              </w:tc>
              <w:tc>
                <w:tcPr>
                  <w:tcW w:w="841" w:type="pct"/>
                  <w:noWrap w:val="0"/>
                  <w:vAlign w:val="center"/>
                </w:tcPr>
                <w:p w14:paraId="0FF707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广东弘德宝厨具有限公司</w:t>
                  </w:r>
                </w:p>
              </w:tc>
              <w:tc>
                <w:tcPr>
                  <w:tcW w:w="234" w:type="pct"/>
                  <w:noWrap w:val="0"/>
                  <w:vAlign w:val="center"/>
                </w:tcPr>
                <w:p w14:paraId="2498F2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A512A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0AFA1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26640</w:t>
                  </w:r>
                </w:p>
              </w:tc>
              <w:tc>
                <w:tcPr>
                  <w:tcW w:w="1631" w:type="pct"/>
                  <w:noWrap w:val="0"/>
                  <w:vAlign w:val="center"/>
                </w:tcPr>
                <w:p w14:paraId="3BE982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年产铸铁厨房用具 2.5 万吨</w:t>
                  </w:r>
                </w:p>
              </w:tc>
              <w:tc>
                <w:tcPr>
                  <w:tcW w:w="891" w:type="pct"/>
                  <w:noWrap w:val="0"/>
                  <w:vAlign w:val="center"/>
                </w:tcPr>
                <w:p w14:paraId="11CC16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韶环乐审〔2022〕18 号</w:t>
                  </w:r>
                </w:p>
              </w:tc>
            </w:tr>
            <w:tr w14:paraId="73748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198" w:type="pct"/>
                  <w:noWrap w:val="0"/>
                  <w:vAlign w:val="center"/>
                </w:tcPr>
                <w:p w14:paraId="50CE64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46</w:t>
                  </w:r>
                </w:p>
              </w:tc>
              <w:tc>
                <w:tcPr>
                  <w:tcW w:w="841" w:type="pct"/>
                  <w:noWrap w:val="0"/>
                  <w:vAlign w:val="center"/>
                </w:tcPr>
                <w:p w14:paraId="673A0D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冠荣科技（韶关）有限公司</w:t>
                  </w:r>
                </w:p>
              </w:tc>
              <w:tc>
                <w:tcPr>
                  <w:tcW w:w="234" w:type="pct"/>
                  <w:noWrap w:val="0"/>
                  <w:vAlign w:val="center"/>
                </w:tcPr>
                <w:p w14:paraId="5F1D76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A76EA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4D75A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业、印刷和记录媒</w:t>
                  </w:r>
                </w:p>
                <w:p w14:paraId="0D15FF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介复制业</w:t>
                  </w:r>
                </w:p>
              </w:tc>
              <w:tc>
                <w:tcPr>
                  <w:tcW w:w="551" w:type="pct"/>
                  <w:noWrap w:val="0"/>
                  <w:vAlign w:val="center"/>
                </w:tcPr>
                <w:p w14:paraId="440CE6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1631" w:type="pct"/>
                  <w:noWrap w:val="0"/>
                  <w:vAlign w:val="center"/>
                </w:tcPr>
                <w:p w14:paraId="7190E8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年产商标 18000 万个、TPU 材料和硅胶材料 50 万平方米</w:t>
                  </w:r>
                </w:p>
              </w:tc>
              <w:tc>
                <w:tcPr>
                  <w:tcW w:w="891" w:type="pct"/>
                  <w:noWrap w:val="0"/>
                  <w:vAlign w:val="center"/>
                </w:tcPr>
                <w:p w14:paraId="6368EB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韶环乐审〔2023〕07 号</w:t>
                  </w:r>
                </w:p>
              </w:tc>
            </w:tr>
            <w:tr w14:paraId="37C7E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45C051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w:t>
                  </w:r>
                </w:p>
              </w:tc>
              <w:tc>
                <w:tcPr>
                  <w:tcW w:w="841" w:type="pct"/>
                  <w:noWrap w:val="0"/>
                  <w:vAlign w:val="center"/>
                </w:tcPr>
                <w:p w14:paraId="603B40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添亿包装（广东）有限公司</w:t>
                  </w:r>
                </w:p>
              </w:tc>
              <w:tc>
                <w:tcPr>
                  <w:tcW w:w="234" w:type="pct"/>
                  <w:noWrap w:val="0"/>
                  <w:vAlign w:val="center"/>
                </w:tcPr>
                <w:p w14:paraId="5A5A6B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0401A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纸制品制造</w:t>
                  </w:r>
                </w:p>
              </w:tc>
              <w:tc>
                <w:tcPr>
                  <w:tcW w:w="551" w:type="pct"/>
                  <w:noWrap w:val="0"/>
                  <w:vAlign w:val="center"/>
                </w:tcPr>
                <w:p w14:paraId="1A51F6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16564.72</w:t>
                  </w:r>
                </w:p>
              </w:tc>
              <w:tc>
                <w:tcPr>
                  <w:tcW w:w="1631" w:type="pct"/>
                  <w:noWrap w:val="0"/>
                  <w:vAlign w:val="center"/>
                </w:tcPr>
                <w:p w14:paraId="18769E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10 亿套</w:t>
                  </w:r>
                </w:p>
              </w:tc>
              <w:tc>
                <w:tcPr>
                  <w:tcW w:w="891" w:type="pct"/>
                  <w:noWrap w:val="0"/>
                  <w:vAlign w:val="center"/>
                </w:tcPr>
                <w:p w14:paraId="213AAF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韶环乐审〔2021〕24 号</w:t>
                  </w:r>
                </w:p>
              </w:tc>
            </w:tr>
            <w:tr w14:paraId="011D9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1C8864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48</w:t>
                  </w:r>
                </w:p>
              </w:tc>
              <w:tc>
                <w:tcPr>
                  <w:tcW w:w="841" w:type="pct"/>
                  <w:noWrap w:val="0"/>
                  <w:vAlign w:val="center"/>
                </w:tcPr>
                <w:p w14:paraId="3B7B5C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广东光宝微电子有限公司</w:t>
                  </w:r>
                </w:p>
              </w:tc>
              <w:tc>
                <w:tcPr>
                  <w:tcW w:w="234" w:type="pct"/>
                  <w:noWrap w:val="0"/>
                  <w:vAlign w:val="center"/>
                </w:tcPr>
                <w:p w14:paraId="14D16C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41441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551" w:type="pct"/>
                  <w:noWrap w:val="0"/>
                  <w:vAlign w:val="center"/>
                </w:tcPr>
                <w:p w14:paraId="4EFDE8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w:t>
                  </w:r>
                </w:p>
              </w:tc>
              <w:tc>
                <w:tcPr>
                  <w:tcW w:w="1631" w:type="pct"/>
                  <w:noWrap w:val="0"/>
                  <w:vAlign w:val="center"/>
                </w:tcPr>
                <w:p w14:paraId="2EF23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年产发光二极管 1.2 亿个、光电耦合器件 1500 万个</w:t>
                  </w:r>
                </w:p>
              </w:tc>
              <w:tc>
                <w:tcPr>
                  <w:tcW w:w="891" w:type="pct"/>
                  <w:noWrap w:val="0"/>
                  <w:vAlign w:val="center"/>
                </w:tcPr>
                <w:p w14:paraId="6C00A3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韶环乐审〔2024〕21 号</w:t>
                  </w:r>
                </w:p>
              </w:tc>
            </w:tr>
            <w:tr w14:paraId="75DB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571FF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49</w:t>
                  </w:r>
                </w:p>
              </w:tc>
              <w:tc>
                <w:tcPr>
                  <w:tcW w:w="841" w:type="pct"/>
                  <w:noWrap w:val="0"/>
                  <w:vAlign w:val="center"/>
                </w:tcPr>
                <w:p w14:paraId="0266CD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韶关博鑫工程服务有限公司</w:t>
                  </w:r>
                </w:p>
              </w:tc>
              <w:tc>
                <w:tcPr>
                  <w:tcW w:w="234" w:type="pct"/>
                  <w:noWrap w:val="0"/>
                  <w:vAlign w:val="center"/>
                </w:tcPr>
                <w:p w14:paraId="77097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DA1D8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1751CB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51544.6</w:t>
                  </w:r>
                </w:p>
              </w:tc>
              <w:tc>
                <w:tcPr>
                  <w:tcW w:w="1631" w:type="pct"/>
                  <w:noWrap w:val="0"/>
                  <w:vAlign w:val="center"/>
                </w:tcPr>
                <w:p w14:paraId="30FC86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年产铝合金模板 20 万立方米、翻新铝合金模板20 万立方米、</w:t>
                  </w:r>
                </w:p>
                <w:p w14:paraId="7A24F9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翻新背楞 2000 吨、其他配套产品 3000 吨</w:t>
                  </w:r>
                </w:p>
              </w:tc>
              <w:tc>
                <w:tcPr>
                  <w:tcW w:w="891" w:type="pct"/>
                  <w:noWrap w:val="0"/>
                  <w:vAlign w:val="center"/>
                </w:tcPr>
                <w:p w14:paraId="6E3AA9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韶环乐审〔2024〕34 号</w:t>
                  </w:r>
                </w:p>
              </w:tc>
            </w:tr>
            <w:tr w14:paraId="50D33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137C7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w:t>
                  </w:r>
                </w:p>
              </w:tc>
              <w:tc>
                <w:tcPr>
                  <w:tcW w:w="841" w:type="pct"/>
                  <w:noWrap w:val="0"/>
                  <w:vAlign w:val="center"/>
                </w:tcPr>
                <w:p w14:paraId="6B6086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乐昌市安顺达管道天然气有</w:t>
                  </w:r>
                </w:p>
                <w:p w14:paraId="7DDB5E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234" w:type="pct"/>
                  <w:noWrap w:val="0"/>
                  <w:vAlign w:val="center"/>
                </w:tcPr>
                <w:p w14:paraId="757DF8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A9845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燃气生产和供应业</w:t>
                  </w:r>
                </w:p>
              </w:tc>
              <w:tc>
                <w:tcPr>
                  <w:tcW w:w="551" w:type="pct"/>
                  <w:noWrap w:val="0"/>
                  <w:vAlign w:val="center"/>
                </w:tcPr>
                <w:p w14:paraId="431635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20080</w:t>
                  </w:r>
                </w:p>
              </w:tc>
              <w:tc>
                <w:tcPr>
                  <w:tcW w:w="1631" w:type="pct"/>
                  <w:noWrap w:val="0"/>
                  <w:vAlign w:val="center"/>
                </w:tcPr>
                <w:p w14:paraId="68EA3C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日供气量约 15 万立方</w:t>
                  </w:r>
                </w:p>
              </w:tc>
              <w:tc>
                <w:tcPr>
                  <w:tcW w:w="891" w:type="pct"/>
                  <w:noWrap w:val="0"/>
                  <w:vAlign w:val="center"/>
                </w:tcPr>
                <w:p w14:paraId="6C41C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]53 号</w:t>
                  </w:r>
                </w:p>
              </w:tc>
            </w:tr>
            <w:tr w14:paraId="745B7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BFDA9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w:t>
                  </w:r>
                </w:p>
              </w:tc>
              <w:tc>
                <w:tcPr>
                  <w:tcW w:w="841" w:type="pct"/>
                  <w:noWrap w:val="0"/>
                  <w:vAlign w:val="center"/>
                </w:tcPr>
                <w:p w14:paraId="68950E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广东利生源生物饲料有限公</w:t>
                  </w:r>
                </w:p>
                <w:p w14:paraId="160A66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739ED3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0ACA0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农副食品加工业</w:t>
                  </w:r>
                </w:p>
              </w:tc>
              <w:tc>
                <w:tcPr>
                  <w:tcW w:w="551" w:type="pct"/>
                  <w:noWrap w:val="0"/>
                  <w:vAlign w:val="center"/>
                </w:tcPr>
                <w:p w14:paraId="041D06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10770</w:t>
                  </w:r>
                </w:p>
              </w:tc>
              <w:tc>
                <w:tcPr>
                  <w:tcW w:w="1631" w:type="pct"/>
                  <w:noWrap w:val="0"/>
                  <w:vAlign w:val="center"/>
                </w:tcPr>
                <w:p w14:paraId="53D0F0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年产优能乳 10800 吨、利生宝 3000 吨</w:t>
                  </w:r>
                </w:p>
              </w:tc>
              <w:tc>
                <w:tcPr>
                  <w:tcW w:w="891" w:type="pct"/>
                  <w:noWrap w:val="0"/>
                  <w:vAlign w:val="center"/>
                </w:tcPr>
                <w:p w14:paraId="2728DB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78824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126A4C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w:t>
                  </w:r>
                </w:p>
              </w:tc>
              <w:tc>
                <w:tcPr>
                  <w:tcW w:w="841" w:type="pct"/>
                  <w:noWrap w:val="0"/>
                  <w:vAlign w:val="center"/>
                </w:tcPr>
                <w:p w14:paraId="7DB8D3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乐昌市自来水有限公司</w:t>
                  </w:r>
                </w:p>
              </w:tc>
              <w:tc>
                <w:tcPr>
                  <w:tcW w:w="234" w:type="pct"/>
                  <w:noWrap w:val="0"/>
                  <w:vAlign w:val="center"/>
                </w:tcPr>
                <w:p w14:paraId="4E8E0A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C80D8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自来水生产和供应业</w:t>
                  </w:r>
                </w:p>
              </w:tc>
              <w:tc>
                <w:tcPr>
                  <w:tcW w:w="551" w:type="pct"/>
                  <w:noWrap w:val="0"/>
                  <w:vAlign w:val="center"/>
                </w:tcPr>
                <w:p w14:paraId="1583EC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9303.8</w:t>
                  </w:r>
                </w:p>
              </w:tc>
              <w:tc>
                <w:tcPr>
                  <w:tcW w:w="1631" w:type="pct"/>
                  <w:noWrap w:val="0"/>
                  <w:vAlign w:val="center"/>
                </w:tcPr>
                <w:p w14:paraId="5064D8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加压泵站建设，供应水量 5000 立方</w:t>
                  </w:r>
                </w:p>
              </w:tc>
              <w:tc>
                <w:tcPr>
                  <w:tcW w:w="891" w:type="pct"/>
                  <w:noWrap w:val="0"/>
                  <w:vAlign w:val="center"/>
                </w:tcPr>
                <w:p w14:paraId="038C5E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2E6CC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1CFBE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w:t>
                  </w:r>
                </w:p>
              </w:tc>
              <w:tc>
                <w:tcPr>
                  <w:tcW w:w="841" w:type="pct"/>
                  <w:noWrap w:val="0"/>
                  <w:vAlign w:val="center"/>
                </w:tcPr>
                <w:p w14:paraId="27AC86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东莞东坑（乐昌）产业转移园</w:t>
                  </w:r>
                </w:p>
                <w:p w14:paraId="33EBED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污水处理厂</w:t>
                  </w:r>
                </w:p>
              </w:tc>
              <w:tc>
                <w:tcPr>
                  <w:tcW w:w="234" w:type="pct"/>
                  <w:noWrap w:val="0"/>
                  <w:vAlign w:val="center"/>
                </w:tcPr>
                <w:p w14:paraId="3F12AF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039D6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551" w:type="pct"/>
                  <w:noWrap w:val="0"/>
                  <w:vAlign w:val="center"/>
                </w:tcPr>
                <w:p w14:paraId="43E313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15400</w:t>
                  </w:r>
                </w:p>
              </w:tc>
              <w:tc>
                <w:tcPr>
                  <w:tcW w:w="1631" w:type="pct"/>
                  <w:noWrap w:val="0"/>
                  <w:vAlign w:val="center"/>
                </w:tcPr>
                <w:p w14:paraId="24852F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处理水量 10000 立方米/d</w:t>
                  </w:r>
                </w:p>
              </w:tc>
              <w:tc>
                <w:tcPr>
                  <w:tcW w:w="891" w:type="pct"/>
                  <w:noWrap w:val="0"/>
                  <w:vAlign w:val="center"/>
                </w:tcPr>
                <w:p w14:paraId="3E9682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2010</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107 号</w:t>
                  </w:r>
                </w:p>
              </w:tc>
            </w:tr>
            <w:tr w14:paraId="521A7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7959BC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w:t>
                  </w:r>
                </w:p>
              </w:tc>
              <w:tc>
                <w:tcPr>
                  <w:tcW w:w="841" w:type="pct"/>
                  <w:noWrap w:val="0"/>
                  <w:vAlign w:val="center"/>
                </w:tcPr>
                <w:p w14:paraId="03B0AB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乐昌市玉煌科技有限公司</w:t>
                  </w:r>
                </w:p>
              </w:tc>
              <w:tc>
                <w:tcPr>
                  <w:tcW w:w="234" w:type="pct"/>
                  <w:noWrap w:val="0"/>
                  <w:vAlign w:val="center"/>
                </w:tcPr>
                <w:p w14:paraId="7E0294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29B5A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7FF2D7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15291.1</w:t>
                  </w:r>
                </w:p>
              </w:tc>
              <w:tc>
                <w:tcPr>
                  <w:tcW w:w="1631" w:type="pct"/>
                  <w:noWrap w:val="0"/>
                  <w:vAlign w:val="center"/>
                </w:tcPr>
                <w:p w14:paraId="13FCBB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年产螺丝紧固件 2000 吨</w:t>
                  </w:r>
                </w:p>
              </w:tc>
              <w:tc>
                <w:tcPr>
                  <w:tcW w:w="891" w:type="pct"/>
                  <w:noWrap w:val="0"/>
                  <w:vAlign w:val="center"/>
                </w:tcPr>
                <w:p w14:paraId="471246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]54 号</w:t>
                  </w:r>
                </w:p>
              </w:tc>
            </w:tr>
            <w:tr w14:paraId="2DFA8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198" w:type="pct"/>
                  <w:noWrap w:val="0"/>
                  <w:vAlign w:val="center"/>
                </w:tcPr>
                <w:p w14:paraId="0C0B19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55</w:t>
                  </w:r>
                </w:p>
              </w:tc>
              <w:tc>
                <w:tcPr>
                  <w:tcW w:w="841" w:type="pct"/>
                  <w:noWrap w:val="0"/>
                  <w:vAlign w:val="center"/>
                </w:tcPr>
                <w:p w14:paraId="76D94C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广东科优精密机械制造有限</w:t>
                  </w:r>
                </w:p>
                <w:p w14:paraId="231408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4EDB9D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8DEC1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290FE5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12528.8</w:t>
                  </w:r>
                </w:p>
              </w:tc>
              <w:tc>
                <w:tcPr>
                  <w:tcW w:w="1631" w:type="pct"/>
                  <w:noWrap w:val="0"/>
                  <w:vAlign w:val="center"/>
                </w:tcPr>
                <w:p w14:paraId="3C3B2D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年产电磁阀用汇流板 5000 吨、精抽加工铝制品 400 吨，表面</w:t>
                  </w:r>
                </w:p>
                <w:p w14:paraId="4EDAA0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处理汇流板产品 1800 吨</w:t>
                  </w:r>
                </w:p>
              </w:tc>
              <w:tc>
                <w:tcPr>
                  <w:tcW w:w="891" w:type="pct"/>
                  <w:noWrap w:val="0"/>
                  <w:vAlign w:val="center"/>
                </w:tcPr>
                <w:p w14:paraId="6B809A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w:t>
                  </w:r>
                </w:p>
                <w:p w14:paraId="08C115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 号、韶环乐审〔2024〕04号</w:t>
                  </w:r>
                </w:p>
              </w:tc>
            </w:tr>
            <w:tr w14:paraId="5EFB0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601C1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w:t>
                  </w:r>
                </w:p>
              </w:tc>
              <w:tc>
                <w:tcPr>
                  <w:tcW w:w="841" w:type="pct"/>
                  <w:noWrap w:val="0"/>
                  <w:vAlign w:val="center"/>
                </w:tcPr>
                <w:p w14:paraId="0A6AE3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广东中博交通环保设备有限公司</w:t>
                  </w:r>
                </w:p>
              </w:tc>
              <w:tc>
                <w:tcPr>
                  <w:tcW w:w="234" w:type="pct"/>
                  <w:noWrap w:val="0"/>
                  <w:vAlign w:val="center"/>
                </w:tcPr>
                <w:p w14:paraId="16F8C8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41A75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2DE814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20059.4</w:t>
                  </w:r>
                </w:p>
              </w:tc>
              <w:tc>
                <w:tcPr>
                  <w:tcW w:w="1631" w:type="pct"/>
                  <w:noWrap w:val="0"/>
                  <w:vAlign w:val="center"/>
                </w:tcPr>
                <w:p w14:paraId="78D9A8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年加工生产交通环保材料 50 万件</w:t>
                  </w:r>
                </w:p>
              </w:tc>
              <w:tc>
                <w:tcPr>
                  <w:tcW w:w="891" w:type="pct"/>
                  <w:noWrap w:val="0"/>
                  <w:vAlign w:val="center"/>
                </w:tcPr>
                <w:p w14:paraId="50893A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]59 号</w:t>
                  </w:r>
                </w:p>
              </w:tc>
            </w:tr>
            <w:tr w14:paraId="7B955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AD4E5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w:t>
                  </w:r>
                </w:p>
              </w:tc>
              <w:tc>
                <w:tcPr>
                  <w:tcW w:w="841" w:type="pct"/>
                  <w:noWrap w:val="0"/>
                  <w:vAlign w:val="center"/>
                </w:tcPr>
                <w:p w14:paraId="50821C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乐昌欧典高分子装饰材料有</w:t>
                  </w:r>
                </w:p>
                <w:p w14:paraId="5BF213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234" w:type="pct"/>
                  <w:noWrap w:val="0"/>
                  <w:vAlign w:val="center"/>
                </w:tcPr>
                <w:p w14:paraId="7956A9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47D5C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601E39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8631.1</w:t>
                  </w:r>
                </w:p>
              </w:tc>
              <w:tc>
                <w:tcPr>
                  <w:tcW w:w="1631" w:type="pct"/>
                  <w:noWrap w:val="0"/>
                  <w:vAlign w:val="center"/>
                </w:tcPr>
                <w:p w14:paraId="5D1AE4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墙板 300 万平方、PVC 墙板配套线条约 200 万米</w:t>
                  </w:r>
                </w:p>
              </w:tc>
              <w:tc>
                <w:tcPr>
                  <w:tcW w:w="891" w:type="pct"/>
                  <w:noWrap w:val="0"/>
                  <w:vAlign w:val="center"/>
                </w:tcPr>
                <w:p w14:paraId="562512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]68 号</w:t>
                  </w:r>
                </w:p>
              </w:tc>
            </w:tr>
            <w:tr w14:paraId="0AF85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98" w:type="pct"/>
                  <w:noWrap w:val="0"/>
                  <w:vAlign w:val="center"/>
                </w:tcPr>
                <w:p w14:paraId="4677B0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7419ED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58</w:t>
                  </w:r>
                </w:p>
              </w:tc>
              <w:tc>
                <w:tcPr>
                  <w:tcW w:w="841" w:type="pct"/>
                  <w:noWrap w:val="0"/>
                  <w:vAlign w:val="center"/>
                </w:tcPr>
                <w:p w14:paraId="305F60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韶关豪立再生资源利用有限</w:t>
                  </w:r>
                </w:p>
                <w:p w14:paraId="2B1FFD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2E9E38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E348E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551" w:type="pct"/>
                  <w:noWrap w:val="0"/>
                  <w:vAlign w:val="center"/>
                </w:tcPr>
                <w:p w14:paraId="0DAC20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17646</w:t>
                  </w:r>
                </w:p>
              </w:tc>
              <w:tc>
                <w:tcPr>
                  <w:tcW w:w="1631" w:type="pct"/>
                  <w:noWrap w:val="0"/>
                  <w:vAlign w:val="center"/>
                </w:tcPr>
                <w:p w14:paraId="175E0F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年处理废金属 79760 吨、废纸 5982 吨、拆解设备 2000 台，</w:t>
                  </w:r>
                </w:p>
                <w:p w14:paraId="4C7683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年产再生玻璃 11.4 万吨、玻璃纤维 3 万吨、玻璃纤维增强塑</w:t>
                  </w:r>
                </w:p>
                <w:p w14:paraId="6A0010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料制品 7200 吨</w:t>
                  </w:r>
                </w:p>
              </w:tc>
              <w:tc>
                <w:tcPr>
                  <w:tcW w:w="891" w:type="pct"/>
                  <w:noWrap w:val="0"/>
                  <w:vAlign w:val="center"/>
                </w:tcPr>
                <w:p w14:paraId="0E0531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]69 号、韶环乐审</w:t>
                  </w:r>
                </w:p>
                <w:p w14:paraId="7B797E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〔2021〕06 号、韶环乐审〔2023〕</w:t>
                  </w:r>
                </w:p>
                <w:p w14:paraId="75E2C1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2D0A9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543084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59</w:t>
                  </w:r>
                </w:p>
              </w:tc>
              <w:tc>
                <w:tcPr>
                  <w:tcW w:w="841" w:type="pct"/>
                  <w:noWrap w:val="0"/>
                  <w:vAlign w:val="center"/>
                </w:tcPr>
                <w:p w14:paraId="66134F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5CCE67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（创业就业基地）</w:t>
                  </w:r>
                </w:p>
              </w:tc>
              <w:tc>
                <w:tcPr>
                  <w:tcW w:w="234" w:type="pct"/>
                  <w:noWrap w:val="0"/>
                  <w:vAlign w:val="center"/>
                </w:tcPr>
                <w:p w14:paraId="1684DD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38FDA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484DF9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3504</w:t>
                  </w:r>
                </w:p>
              </w:tc>
              <w:tc>
                <w:tcPr>
                  <w:tcW w:w="1631" w:type="pct"/>
                  <w:noWrap w:val="0"/>
                  <w:vAlign w:val="center"/>
                </w:tcPr>
                <w:p w14:paraId="0D8432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年产塑料及五金制品 280 万件</w:t>
                  </w:r>
                </w:p>
              </w:tc>
              <w:tc>
                <w:tcPr>
                  <w:tcW w:w="891" w:type="pct"/>
                  <w:noWrap w:val="0"/>
                  <w:vAlign w:val="center"/>
                </w:tcPr>
                <w:p w14:paraId="46048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乐环审〔2019〕28 号</w:t>
                  </w:r>
                </w:p>
              </w:tc>
            </w:tr>
            <w:tr w14:paraId="63FA1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5B4E3E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w:t>
                  </w:r>
                </w:p>
              </w:tc>
              <w:tc>
                <w:tcPr>
                  <w:tcW w:w="841" w:type="pct"/>
                  <w:noWrap w:val="0"/>
                  <w:vAlign w:val="center"/>
                </w:tcPr>
                <w:p w14:paraId="32CFFA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4FB339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(金玲三路）</w:t>
                  </w:r>
                </w:p>
              </w:tc>
              <w:tc>
                <w:tcPr>
                  <w:tcW w:w="234" w:type="pct"/>
                  <w:noWrap w:val="0"/>
                  <w:vAlign w:val="center"/>
                </w:tcPr>
                <w:p w14:paraId="2394AF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73080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441706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15173</w:t>
                  </w:r>
                </w:p>
              </w:tc>
              <w:tc>
                <w:tcPr>
                  <w:tcW w:w="1631" w:type="pct"/>
                  <w:noWrap w:val="0"/>
                  <w:vAlign w:val="center"/>
                </w:tcPr>
                <w:p w14:paraId="018624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年产家用小电器（电吹风、直发器、卷发器等）250 万台</w:t>
                  </w:r>
                </w:p>
              </w:tc>
              <w:tc>
                <w:tcPr>
                  <w:tcW w:w="891" w:type="pct"/>
                  <w:noWrap w:val="0"/>
                  <w:vAlign w:val="center"/>
                </w:tcPr>
                <w:p w14:paraId="3590BD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乐环审〔2019〕40 号</w:t>
                  </w:r>
                </w:p>
              </w:tc>
            </w:tr>
            <w:tr w14:paraId="54403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70A741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61</w:t>
                  </w:r>
                </w:p>
              </w:tc>
              <w:tc>
                <w:tcPr>
                  <w:tcW w:w="841" w:type="pct"/>
                  <w:noWrap w:val="0"/>
                  <w:vAlign w:val="center"/>
                </w:tcPr>
                <w:p w14:paraId="6A6495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广东昊奕智能科技有限公司</w:t>
                  </w:r>
                </w:p>
              </w:tc>
              <w:tc>
                <w:tcPr>
                  <w:tcW w:w="234" w:type="pct"/>
                  <w:noWrap w:val="0"/>
                  <w:vAlign w:val="center"/>
                </w:tcPr>
                <w:p w14:paraId="7C1CF7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CD376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3C4DBB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9533.38</w:t>
                  </w:r>
                </w:p>
              </w:tc>
              <w:tc>
                <w:tcPr>
                  <w:tcW w:w="1631" w:type="pct"/>
                  <w:noWrap w:val="0"/>
                  <w:vAlign w:val="center"/>
                </w:tcPr>
                <w:p w14:paraId="39A024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年产不锈钢线材 5000 吨</w:t>
                  </w:r>
                </w:p>
              </w:tc>
              <w:tc>
                <w:tcPr>
                  <w:tcW w:w="891" w:type="pct"/>
                  <w:noWrap w:val="0"/>
                  <w:vAlign w:val="center"/>
                </w:tcPr>
                <w:p w14:paraId="72A0A9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韶环乐审〔2023〕01 号</w:t>
                  </w:r>
                </w:p>
              </w:tc>
            </w:tr>
            <w:tr w14:paraId="0361C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3322D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62</w:t>
                  </w:r>
                </w:p>
              </w:tc>
              <w:tc>
                <w:tcPr>
                  <w:tcW w:w="841" w:type="pct"/>
                  <w:noWrap w:val="0"/>
                  <w:vAlign w:val="center"/>
                </w:tcPr>
                <w:p w14:paraId="6F6084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三创复合材料(乐昌)有限公司</w:t>
                  </w:r>
                </w:p>
              </w:tc>
              <w:tc>
                <w:tcPr>
                  <w:tcW w:w="234" w:type="pct"/>
                  <w:noWrap w:val="0"/>
                  <w:vAlign w:val="center"/>
                </w:tcPr>
                <w:p w14:paraId="30411C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2A63F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551" w:type="pct"/>
                  <w:noWrap w:val="0"/>
                  <w:vAlign w:val="center"/>
                </w:tcPr>
                <w:p w14:paraId="1B99E3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25577.13</w:t>
                  </w:r>
                </w:p>
              </w:tc>
              <w:tc>
                <w:tcPr>
                  <w:tcW w:w="1631" w:type="pct"/>
                  <w:noWrap w:val="0"/>
                  <w:vAlign w:val="center"/>
                </w:tcPr>
                <w:p w14:paraId="3B307C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年产玻璃纤维和碳素纤维复合材料制品 6365 吨</w:t>
                  </w:r>
                </w:p>
              </w:tc>
              <w:tc>
                <w:tcPr>
                  <w:tcW w:w="891" w:type="pct"/>
                  <w:noWrap w:val="0"/>
                  <w:vAlign w:val="center"/>
                </w:tcPr>
                <w:p w14:paraId="2FC32A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11BDE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7B2257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63</w:t>
                  </w:r>
                </w:p>
              </w:tc>
              <w:tc>
                <w:tcPr>
                  <w:tcW w:w="841" w:type="pct"/>
                  <w:noWrap w:val="0"/>
                  <w:vAlign w:val="center"/>
                </w:tcPr>
                <w:p w14:paraId="348F8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广东联丰科技有限公司</w:t>
                  </w:r>
                </w:p>
              </w:tc>
              <w:tc>
                <w:tcPr>
                  <w:tcW w:w="234" w:type="pct"/>
                  <w:noWrap w:val="0"/>
                  <w:vAlign w:val="center"/>
                </w:tcPr>
                <w:p w14:paraId="075EE2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E991E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4FF211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11862.25</w:t>
                  </w:r>
                </w:p>
              </w:tc>
              <w:tc>
                <w:tcPr>
                  <w:tcW w:w="1631" w:type="pct"/>
                  <w:noWrap w:val="0"/>
                  <w:vAlign w:val="center"/>
                </w:tcPr>
                <w:p w14:paraId="28AA88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年产HDPE 双壁波纹管 2800 吨、HDPE 缠绕管 2350 吨、HDPE</w:t>
                  </w:r>
                </w:p>
                <w:p w14:paraId="54846A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供水管 2580 吨、PVC 管 2270 吨</w:t>
                  </w:r>
                </w:p>
              </w:tc>
              <w:tc>
                <w:tcPr>
                  <w:tcW w:w="891" w:type="pct"/>
                  <w:noWrap w:val="0"/>
                  <w:vAlign w:val="center"/>
                </w:tcPr>
                <w:p w14:paraId="23F422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韶环乐审〔2025〕03 号</w:t>
                  </w:r>
                </w:p>
              </w:tc>
            </w:tr>
            <w:tr w14:paraId="75356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442236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64</w:t>
                  </w:r>
                </w:p>
              </w:tc>
              <w:tc>
                <w:tcPr>
                  <w:tcW w:w="841" w:type="pct"/>
                  <w:noWrap w:val="0"/>
                  <w:vAlign w:val="center"/>
                </w:tcPr>
                <w:p w14:paraId="7F4A24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材通(乐昌)管业科技有限公司</w:t>
                  </w:r>
                </w:p>
              </w:tc>
              <w:tc>
                <w:tcPr>
                  <w:tcW w:w="234" w:type="pct"/>
                  <w:noWrap w:val="0"/>
                  <w:vAlign w:val="center"/>
                </w:tcPr>
                <w:p w14:paraId="79A750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F4E89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5DC819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47574.68</w:t>
                  </w:r>
                </w:p>
              </w:tc>
              <w:tc>
                <w:tcPr>
                  <w:tcW w:w="1631" w:type="pct"/>
                  <w:noWrap w:val="0"/>
                  <w:vAlign w:val="center"/>
                </w:tcPr>
                <w:p w14:paraId="7731B2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管材 16820 吨</w:t>
                  </w:r>
                </w:p>
              </w:tc>
              <w:tc>
                <w:tcPr>
                  <w:tcW w:w="891" w:type="pct"/>
                  <w:noWrap w:val="0"/>
                  <w:vAlign w:val="center"/>
                </w:tcPr>
                <w:p w14:paraId="261F99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乐环审〔2020〕08 号</w:t>
                  </w:r>
                </w:p>
              </w:tc>
            </w:tr>
            <w:tr w14:paraId="32135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59B6B4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w:t>
                  </w:r>
                </w:p>
              </w:tc>
              <w:tc>
                <w:tcPr>
                  <w:tcW w:w="841" w:type="pct"/>
                  <w:noWrap w:val="0"/>
                  <w:vAlign w:val="center"/>
                </w:tcPr>
                <w:p w14:paraId="32B036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乐昌市鑫东穗汽车用品有限</w:t>
                  </w:r>
                </w:p>
                <w:p w14:paraId="260894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76F535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BF414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551" w:type="pct"/>
                  <w:noWrap w:val="0"/>
                  <w:vAlign w:val="center"/>
                </w:tcPr>
                <w:p w14:paraId="565822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17932.7</w:t>
                  </w:r>
                </w:p>
              </w:tc>
              <w:tc>
                <w:tcPr>
                  <w:tcW w:w="1631" w:type="pct"/>
                  <w:noWrap w:val="0"/>
                  <w:vAlign w:val="center"/>
                </w:tcPr>
                <w:p w14:paraId="16C890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年产汽车零配件 30 万套</w:t>
                  </w:r>
                </w:p>
              </w:tc>
              <w:tc>
                <w:tcPr>
                  <w:tcW w:w="891" w:type="pct"/>
                  <w:noWrap w:val="0"/>
                  <w:vAlign w:val="center"/>
                </w:tcPr>
                <w:p w14:paraId="2BE927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乐环审〔2021〕02 号、韶环乐审</w:t>
                  </w:r>
                </w:p>
                <w:p w14:paraId="780401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〔2024〕23 号</w:t>
                  </w:r>
                </w:p>
              </w:tc>
            </w:tr>
            <w:tr w14:paraId="39036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5716D6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w:t>
                  </w:r>
                </w:p>
              </w:tc>
              <w:tc>
                <w:tcPr>
                  <w:tcW w:w="841" w:type="pct"/>
                  <w:noWrap w:val="0"/>
                  <w:vAlign w:val="center"/>
                </w:tcPr>
                <w:p w14:paraId="2BD63C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杨氏婴童用品(广东)有限公司</w:t>
                  </w:r>
                </w:p>
              </w:tc>
              <w:tc>
                <w:tcPr>
                  <w:tcW w:w="234" w:type="pct"/>
                  <w:noWrap w:val="0"/>
                  <w:vAlign w:val="center"/>
                </w:tcPr>
                <w:p w14:paraId="14D4FF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6B445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748F42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20215.42</w:t>
                  </w:r>
                </w:p>
              </w:tc>
              <w:tc>
                <w:tcPr>
                  <w:tcW w:w="1631" w:type="pct"/>
                  <w:noWrap w:val="0"/>
                  <w:vAlign w:val="center"/>
                </w:tcPr>
                <w:p w14:paraId="30BC45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年产奶瓶、水杯 600 万件</w:t>
                  </w:r>
                </w:p>
              </w:tc>
              <w:tc>
                <w:tcPr>
                  <w:tcW w:w="891" w:type="pct"/>
                  <w:noWrap w:val="0"/>
                  <w:vAlign w:val="center"/>
                </w:tcPr>
                <w:p w14:paraId="25EE8D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韶环乐审〔2023〕06 号</w:t>
                  </w:r>
                </w:p>
              </w:tc>
            </w:tr>
            <w:tr w14:paraId="61B1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5803DF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67</w:t>
                  </w:r>
                </w:p>
              </w:tc>
              <w:tc>
                <w:tcPr>
                  <w:tcW w:w="841" w:type="pct"/>
                  <w:noWrap w:val="0"/>
                  <w:vAlign w:val="center"/>
                </w:tcPr>
                <w:p w14:paraId="2200BB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广东邦嘉硅胶科技有限公司</w:t>
                  </w:r>
                </w:p>
              </w:tc>
              <w:tc>
                <w:tcPr>
                  <w:tcW w:w="234" w:type="pct"/>
                  <w:noWrap w:val="0"/>
                  <w:vAlign w:val="center"/>
                </w:tcPr>
                <w:p w14:paraId="26A021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7A625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16AFF5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36000</w:t>
                  </w:r>
                </w:p>
              </w:tc>
              <w:tc>
                <w:tcPr>
                  <w:tcW w:w="1631" w:type="pct"/>
                  <w:noWrap w:val="0"/>
                  <w:vAlign w:val="center"/>
                </w:tcPr>
                <w:p w14:paraId="3C3564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年产固体硅胶 300 吨、注塑件 300 万件、硅胶件（奶嘴）100万个、玻璃奶瓶 100 万个、硅胶护层产品 100 万件</w:t>
                  </w:r>
                </w:p>
              </w:tc>
              <w:tc>
                <w:tcPr>
                  <w:tcW w:w="891" w:type="pct"/>
                  <w:noWrap w:val="0"/>
                  <w:vAlign w:val="center"/>
                </w:tcPr>
                <w:p w14:paraId="2E3779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韶关乐审〔2023〕03 号</w:t>
                  </w:r>
                </w:p>
              </w:tc>
            </w:tr>
            <w:tr w14:paraId="492AC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3EAD0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68</w:t>
                  </w:r>
                </w:p>
              </w:tc>
              <w:tc>
                <w:tcPr>
                  <w:tcW w:w="841" w:type="pct"/>
                  <w:noWrap w:val="0"/>
                  <w:vAlign w:val="center"/>
                </w:tcPr>
                <w:p w14:paraId="2011A5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广东奕宸汽车科技有限公司</w:t>
                  </w:r>
                </w:p>
              </w:tc>
              <w:tc>
                <w:tcPr>
                  <w:tcW w:w="234" w:type="pct"/>
                  <w:noWrap w:val="0"/>
                  <w:vAlign w:val="center"/>
                </w:tcPr>
                <w:p w14:paraId="7934ED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DC337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551" w:type="pct"/>
                  <w:noWrap w:val="0"/>
                  <w:vAlign w:val="center"/>
                </w:tcPr>
                <w:p w14:paraId="7FFAC4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33915.52</w:t>
                  </w:r>
                </w:p>
              </w:tc>
              <w:tc>
                <w:tcPr>
                  <w:tcW w:w="1631" w:type="pct"/>
                  <w:noWrap w:val="0"/>
                  <w:vAlign w:val="center"/>
                </w:tcPr>
                <w:p w14:paraId="7178E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年产汽车散热器 50 万件</w:t>
                  </w:r>
                </w:p>
              </w:tc>
              <w:tc>
                <w:tcPr>
                  <w:tcW w:w="891" w:type="pct"/>
                  <w:noWrap w:val="0"/>
                  <w:vAlign w:val="center"/>
                </w:tcPr>
                <w:p w14:paraId="3FD976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韶环乐审〔2022〕28 号</w:t>
                  </w:r>
                </w:p>
              </w:tc>
            </w:tr>
            <w:tr w14:paraId="10B4D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FBCF9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69</w:t>
                  </w:r>
                </w:p>
              </w:tc>
              <w:tc>
                <w:tcPr>
                  <w:tcW w:w="841" w:type="pct"/>
                  <w:noWrap w:val="0"/>
                  <w:vAlign w:val="center"/>
                </w:tcPr>
                <w:p w14:paraId="551869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广东熙诚环保科技有限公司</w:t>
                  </w:r>
                </w:p>
              </w:tc>
              <w:tc>
                <w:tcPr>
                  <w:tcW w:w="234" w:type="pct"/>
                  <w:noWrap w:val="0"/>
                  <w:vAlign w:val="center"/>
                </w:tcPr>
                <w:p w14:paraId="27EAFE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8316E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598626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13335</w:t>
                  </w:r>
                </w:p>
              </w:tc>
              <w:tc>
                <w:tcPr>
                  <w:tcW w:w="1631" w:type="pct"/>
                  <w:noWrap w:val="0"/>
                  <w:vAlign w:val="center"/>
                </w:tcPr>
                <w:p w14:paraId="152386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PP 喷淋塔 500 台、PP 活性炭吸附箱 500 台</w:t>
                  </w:r>
                </w:p>
              </w:tc>
              <w:tc>
                <w:tcPr>
                  <w:tcW w:w="891" w:type="pct"/>
                  <w:noWrap w:val="0"/>
                  <w:vAlign w:val="center"/>
                </w:tcPr>
                <w:p w14:paraId="24E600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4B2DD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3360F2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w:t>
                  </w:r>
                </w:p>
              </w:tc>
              <w:tc>
                <w:tcPr>
                  <w:tcW w:w="841" w:type="pct"/>
                  <w:noWrap w:val="0"/>
                  <w:vAlign w:val="center"/>
                </w:tcPr>
                <w:p w14:paraId="40A7E5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韶关市盛源优贝橡塑制品有</w:t>
                  </w:r>
                </w:p>
                <w:p w14:paraId="766B35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234" w:type="pct"/>
                  <w:noWrap w:val="0"/>
                  <w:vAlign w:val="center"/>
                </w:tcPr>
                <w:p w14:paraId="3D30EA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738DE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1406A8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6664</w:t>
                  </w:r>
                </w:p>
              </w:tc>
              <w:tc>
                <w:tcPr>
                  <w:tcW w:w="1631" w:type="pct"/>
                  <w:noWrap w:val="0"/>
                  <w:vAlign w:val="center"/>
                </w:tcPr>
                <w:p w14:paraId="43DEAF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年产硅胶件 330 万个、注塑件 200 万个、吹瓶件 602 万个</w:t>
                  </w:r>
                </w:p>
              </w:tc>
              <w:tc>
                <w:tcPr>
                  <w:tcW w:w="891" w:type="pct"/>
                  <w:noWrap w:val="0"/>
                  <w:vAlign w:val="center"/>
                </w:tcPr>
                <w:p w14:paraId="1B453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韶关乐审〔2022〕33 号</w:t>
                  </w:r>
                </w:p>
              </w:tc>
            </w:tr>
            <w:tr w14:paraId="0197B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641BD7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71</w:t>
                  </w:r>
                </w:p>
              </w:tc>
              <w:tc>
                <w:tcPr>
                  <w:tcW w:w="841" w:type="pct"/>
                  <w:noWrap w:val="0"/>
                  <w:vAlign w:val="center"/>
                </w:tcPr>
                <w:p w14:paraId="62541A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韶关市南源铜材有限公司</w:t>
                  </w:r>
                </w:p>
              </w:tc>
              <w:tc>
                <w:tcPr>
                  <w:tcW w:w="234" w:type="pct"/>
                  <w:noWrap w:val="0"/>
                  <w:vAlign w:val="center"/>
                </w:tcPr>
                <w:p w14:paraId="1D52FE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FF7D5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453DD1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44981.3</w:t>
                  </w:r>
                </w:p>
              </w:tc>
              <w:tc>
                <w:tcPr>
                  <w:tcW w:w="1631" w:type="pct"/>
                  <w:noWrap w:val="0"/>
                  <w:vAlign w:val="center"/>
                </w:tcPr>
                <w:p w14:paraId="7AFA47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年产含铅黄铜棒 18000 吨、无铅黄铜棒 12000 吨</w:t>
                  </w:r>
                </w:p>
              </w:tc>
              <w:tc>
                <w:tcPr>
                  <w:tcW w:w="891" w:type="pct"/>
                  <w:noWrap w:val="0"/>
                  <w:vAlign w:val="center"/>
                </w:tcPr>
                <w:p w14:paraId="2566DF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韶环乐审〔2021〕21 号</w:t>
                  </w:r>
                </w:p>
              </w:tc>
            </w:tr>
            <w:tr w14:paraId="01BA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38998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72</w:t>
                  </w:r>
                </w:p>
              </w:tc>
              <w:tc>
                <w:tcPr>
                  <w:tcW w:w="841" w:type="pct"/>
                  <w:noWrap w:val="0"/>
                  <w:vAlign w:val="center"/>
                </w:tcPr>
                <w:p w14:paraId="1BFBD3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碧宏自动化（广东）有限责任</w:t>
                  </w:r>
                </w:p>
                <w:p w14:paraId="564B7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234" w:type="pct"/>
                  <w:noWrap w:val="0"/>
                  <w:vAlign w:val="center"/>
                </w:tcPr>
                <w:p w14:paraId="26C5DF7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2361E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通用设备制造业、专用设备制造业</w:t>
                  </w:r>
                </w:p>
              </w:tc>
              <w:tc>
                <w:tcPr>
                  <w:tcW w:w="551" w:type="pct"/>
                  <w:noWrap w:val="0"/>
                  <w:vAlign w:val="center"/>
                </w:tcPr>
                <w:p w14:paraId="09EBEB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31172.2</w:t>
                  </w:r>
                </w:p>
              </w:tc>
              <w:tc>
                <w:tcPr>
                  <w:tcW w:w="1631" w:type="pct"/>
                  <w:noWrap w:val="0"/>
                  <w:vAlign w:val="center"/>
                </w:tcPr>
                <w:p w14:paraId="01E61A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年产椭圆印花机 500 台、数码印花机 100 台、拉网机 100 台、</w:t>
                  </w:r>
                </w:p>
                <w:p w14:paraId="33709D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激光切割机 300 台</w:t>
                  </w:r>
                </w:p>
              </w:tc>
              <w:tc>
                <w:tcPr>
                  <w:tcW w:w="891" w:type="pct"/>
                  <w:noWrap w:val="0"/>
                  <w:vAlign w:val="center"/>
                </w:tcPr>
                <w:p w14:paraId="0A24F9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韶环乐审〔2023〕10 号</w:t>
                  </w:r>
                </w:p>
              </w:tc>
            </w:tr>
            <w:tr w14:paraId="3D605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523FFE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w:t>
                  </w:r>
                </w:p>
              </w:tc>
              <w:tc>
                <w:tcPr>
                  <w:tcW w:w="841" w:type="pct"/>
                  <w:noWrap w:val="0"/>
                  <w:vAlign w:val="center"/>
                </w:tcPr>
                <w:p w14:paraId="76A714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广东冠益灯饰有限公司</w:t>
                  </w:r>
                </w:p>
              </w:tc>
              <w:tc>
                <w:tcPr>
                  <w:tcW w:w="234" w:type="pct"/>
                  <w:noWrap w:val="0"/>
                  <w:vAlign w:val="center"/>
                </w:tcPr>
                <w:p w14:paraId="6A7B45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B5CD2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454D2C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13333.4</w:t>
                  </w:r>
                </w:p>
              </w:tc>
              <w:tc>
                <w:tcPr>
                  <w:tcW w:w="1631" w:type="pct"/>
                  <w:noWrap w:val="0"/>
                  <w:vAlign w:val="center"/>
                </w:tcPr>
                <w:p w14:paraId="7A236B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年产灯串 200 万套</w:t>
                  </w:r>
                </w:p>
              </w:tc>
              <w:tc>
                <w:tcPr>
                  <w:tcW w:w="891" w:type="pct"/>
                  <w:noWrap w:val="0"/>
                  <w:vAlign w:val="center"/>
                </w:tcPr>
                <w:p w14:paraId="629D83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韶环乐审〔2024〕06 号</w:t>
                  </w:r>
                </w:p>
              </w:tc>
            </w:tr>
            <w:tr w14:paraId="00B55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D7CFE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w:t>
                  </w:r>
                </w:p>
              </w:tc>
              <w:tc>
                <w:tcPr>
                  <w:tcW w:w="841" w:type="pct"/>
                  <w:noWrap w:val="0"/>
                  <w:vAlign w:val="center"/>
                </w:tcPr>
                <w:p w14:paraId="582BF1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韶关三和磁材电子有限公司</w:t>
                  </w:r>
                </w:p>
              </w:tc>
              <w:tc>
                <w:tcPr>
                  <w:tcW w:w="234" w:type="pct"/>
                  <w:noWrap w:val="0"/>
                  <w:vAlign w:val="center"/>
                </w:tcPr>
                <w:p w14:paraId="78CB9E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88827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551" w:type="pct"/>
                  <w:noWrap w:val="0"/>
                  <w:vAlign w:val="center"/>
                </w:tcPr>
                <w:p w14:paraId="4A5E0D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27014.09</w:t>
                  </w:r>
                </w:p>
              </w:tc>
              <w:tc>
                <w:tcPr>
                  <w:tcW w:w="1631" w:type="pct"/>
                  <w:noWrap w:val="0"/>
                  <w:vAlign w:val="center"/>
                </w:tcPr>
                <w:p w14:paraId="18E16A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年产干法铁氧体磁铁 10 亿个</w:t>
                  </w:r>
                </w:p>
              </w:tc>
              <w:tc>
                <w:tcPr>
                  <w:tcW w:w="891" w:type="pct"/>
                  <w:noWrap w:val="0"/>
                  <w:vAlign w:val="center"/>
                </w:tcPr>
                <w:p w14:paraId="6E46E9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韶环乐审〔2025〕06 号</w:t>
                  </w:r>
                </w:p>
              </w:tc>
            </w:tr>
            <w:tr w14:paraId="0F970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F37FD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w:t>
                  </w:r>
                </w:p>
              </w:tc>
              <w:tc>
                <w:tcPr>
                  <w:tcW w:w="841" w:type="pct"/>
                  <w:noWrap w:val="0"/>
                  <w:vAlign w:val="center"/>
                </w:tcPr>
                <w:p w14:paraId="768D19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广东立恒新材料科技有限公</w:t>
                  </w:r>
                </w:p>
                <w:p w14:paraId="1080A3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48A2FB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3B82E8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6DC9E8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9333</w:t>
                  </w:r>
                </w:p>
              </w:tc>
              <w:tc>
                <w:tcPr>
                  <w:tcW w:w="1631" w:type="pct"/>
                  <w:noWrap w:val="0"/>
                  <w:vAlign w:val="center"/>
                </w:tcPr>
                <w:p w14:paraId="6A9DFD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8000 吨</w:t>
                  </w:r>
                </w:p>
              </w:tc>
              <w:tc>
                <w:tcPr>
                  <w:tcW w:w="891" w:type="pct"/>
                  <w:noWrap w:val="0"/>
                  <w:vAlign w:val="center"/>
                </w:tcPr>
                <w:p w14:paraId="4D0F2F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]60 号</w:t>
                  </w:r>
                </w:p>
              </w:tc>
            </w:tr>
            <w:tr w14:paraId="5CF62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3394B0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76</w:t>
                  </w:r>
                </w:p>
              </w:tc>
              <w:tc>
                <w:tcPr>
                  <w:tcW w:w="841" w:type="pct"/>
                  <w:noWrap w:val="0"/>
                  <w:vAlign w:val="center"/>
                </w:tcPr>
                <w:p w14:paraId="3BC127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乐昌市赫尔龙体育用品有限公司</w:t>
                  </w:r>
                </w:p>
              </w:tc>
              <w:tc>
                <w:tcPr>
                  <w:tcW w:w="234" w:type="pct"/>
                  <w:noWrap w:val="0"/>
                  <w:vAlign w:val="center"/>
                </w:tcPr>
                <w:p w14:paraId="68D6A8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AA36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551" w:type="pct"/>
                  <w:noWrap w:val="0"/>
                  <w:vAlign w:val="center"/>
                </w:tcPr>
                <w:p w14:paraId="40B711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14604.85</w:t>
                  </w:r>
                </w:p>
              </w:tc>
              <w:tc>
                <w:tcPr>
                  <w:tcW w:w="1631" w:type="pct"/>
                  <w:noWrap w:val="0"/>
                  <w:vAlign w:val="center"/>
                </w:tcPr>
                <w:p w14:paraId="26A7FD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年产运动服等运动产品 100 万件</w:t>
                  </w:r>
                </w:p>
              </w:tc>
              <w:tc>
                <w:tcPr>
                  <w:tcW w:w="891" w:type="pct"/>
                  <w:noWrap w:val="0"/>
                  <w:vAlign w:val="center"/>
                </w:tcPr>
                <w:p w14:paraId="0BE4E8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乐环审〔2019〕21 号</w:t>
                  </w:r>
                </w:p>
              </w:tc>
            </w:tr>
            <w:tr w14:paraId="7F900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198" w:type="pct"/>
                  <w:noWrap w:val="0"/>
                  <w:vAlign w:val="center"/>
                </w:tcPr>
                <w:p w14:paraId="7A5E49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77</w:t>
                  </w:r>
                </w:p>
              </w:tc>
              <w:tc>
                <w:tcPr>
                  <w:tcW w:w="841" w:type="pct"/>
                  <w:noWrap w:val="0"/>
                  <w:vAlign w:val="center"/>
                </w:tcPr>
                <w:p w14:paraId="363D01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广东省合高复合材料有限公司</w:t>
                  </w:r>
                </w:p>
              </w:tc>
              <w:tc>
                <w:tcPr>
                  <w:tcW w:w="234" w:type="pct"/>
                  <w:noWrap w:val="0"/>
                  <w:vAlign w:val="center"/>
                </w:tcPr>
                <w:p w14:paraId="1B0483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C4A4F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551" w:type="pct"/>
                  <w:noWrap w:val="0"/>
                  <w:vAlign w:val="center"/>
                </w:tcPr>
                <w:p w14:paraId="17509A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27017.8</w:t>
                  </w:r>
                </w:p>
              </w:tc>
              <w:tc>
                <w:tcPr>
                  <w:tcW w:w="1631" w:type="pct"/>
                  <w:noWrap w:val="0"/>
                  <w:vAlign w:val="center"/>
                </w:tcPr>
                <w:p w14:paraId="7A641B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年产玻璃纤维板材 1 万吨、玻璃钢拉挤制品 4500 吨、缠绕制</w:t>
                  </w:r>
                </w:p>
                <w:p w14:paraId="63F751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品、SMC 模压及玻璃纤维热塑板以及制品各 500 吨、玻璃钢</w:t>
                  </w:r>
                </w:p>
                <w:p w14:paraId="0BA979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格栅 5000 吨、碳纤维制品及彩色胶衣各200 吨、 玻璃钢夹</w:t>
                  </w:r>
                </w:p>
                <w:p w14:paraId="4C57BA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芯板 2700 吨、 RTM 制品 100 吨</w:t>
                  </w:r>
                </w:p>
              </w:tc>
              <w:tc>
                <w:tcPr>
                  <w:tcW w:w="891" w:type="pct"/>
                  <w:noWrap w:val="0"/>
                  <w:vAlign w:val="center"/>
                </w:tcPr>
                <w:p w14:paraId="208857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韶环乐审〔2021〕20 号</w:t>
                  </w:r>
                </w:p>
              </w:tc>
            </w:tr>
            <w:tr w14:paraId="2BA6F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3D148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78</w:t>
                  </w:r>
                </w:p>
              </w:tc>
              <w:tc>
                <w:tcPr>
                  <w:tcW w:w="841" w:type="pct"/>
                  <w:noWrap w:val="0"/>
                  <w:vAlign w:val="center"/>
                </w:tcPr>
                <w:p w14:paraId="7D1EF1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同向（乐昌）精密机械有限公司</w:t>
                  </w:r>
                </w:p>
              </w:tc>
              <w:tc>
                <w:tcPr>
                  <w:tcW w:w="234" w:type="pct"/>
                  <w:noWrap w:val="0"/>
                  <w:vAlign w:val="center"/>
                </w:tcPr>
                <w:p w14:paraId="246016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6B708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4ABA9B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1631" w:type="pct"/>
                  <w:noWrap w:val="0"/>
                  <w:vAlign w:val="center"/>
                </w:tcPr>
                <w:p w14:paraId="33B905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年产登机桥、环保水箱、压力机械、建筑自动化设备、加工</w:t>
                  </w:r>
                </w:p>
                <w:p w14:paraId="4F2652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中心设备。压铸机等合计 3350 套（台）</w:t>
                  </w:r>
                </w:p>
              </w:tc>
              <w:tc>
                <w:tcPr>
                  <w:tcW w:w="891" w:type="pct"/>
                  <w:noWrap w:val="0"/>
                  <w:vAlign w:val="center"/>
                </w:tcPr>
                <w:p w14:paraId="75A176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韶环乐审〔2021〕16 号</w:t>
                  </w:r>
                </w:p>
              </w:tc>
            </w:tr>
            <w:tr w14:paraId="71BCC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053827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79</w:t>
                  </w:r>
                </w:p>
              </w:tc>
              <w:tc>
                <w:tcPr>
                  <w:tcW w:w="841" w:type="pct"/>
                  <w:noWrap w:val="0"/>
                  <w:vAlign w:val="center"/>
                </w:tcPr>
                <w:p w14:paraId="403641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乐昌市信达实业有限公司</w:t>
                  </w:r>
                </w:p>
              </w:tc>
              <w:tc>
                <w:tcPr>
                  <w:tcW w:w="234" w:type="pct"/>
                  <w:noWrap w:val="0"/>
                  <w:vAlign w:val="center"/>
                </w:tcPr>
                <w:p w14:paraId="46E453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C7B3C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551" w:type="pct"/>
                  <w:noWrap w:val="0"/>
                  <w:vAlign w:val="center"/>
                </w:tcPr>
                <w:p w14:paraId="41293F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20000</w:t>
                  </w:r>
                </w:p>
              </w:tc>
              <w:tc>
                <w:tcPr>
                  <w:tcW w:w="1631" w:type="pct"/>
                  <w:noWrap w:val="0"/>
                  <w:vAlign w:val="center"/>
                </w:tcPr>
                <w:p w14:paraId="1C3F49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年产滑板 100 万台</w:t>
                  </w:r>
                </w:p>
              </w:tc>
              <w:tc>
                <w:tcPr>
                  <w:tcW w:w="891" w:type="pct"/>
                  <w:noWrap w:val="0"/>
                  <w:vAlign w:val="center"/>
                </w:tcPr>
                <w:p w14:paraId="6E23B2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乐环审〔2019〕09 号</w:t>
                  </w:r>
                </w:p>
              </w:tc>
            </w:tr>
            <w:tr w14:paraId="6481F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AB97A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w:t>
                  </w:r>
                </w:p>
              </w:tc>
              <w:tc>
                <w:tcPr>
                  <w:tcW w:w="841" w:type="pct"/>
                  <w:noWrap w:val="0"/>
                  <w:vAlign w:val="center"/>
                </w:tcPr>
                <w:p w14:paraId="103812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广东威柏乐器制造有限公司</w:t>
                  </w:r>
                </w:p>
              </w:tc>
              <w:tc>
                <w:tcPr>
                  <w:tcW w:w="234" w:type="pct"/>
                  <w:noWrap w:val="0"/>
                  <w:vAlign w:val="center"/>
                </w:tcPr>
                <w:p w14:paraId="50440A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4EB4A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551" w:type="pct"/>
                  <w:noWrap w:val="0"/>
                  <w:vAlign w:val="center"/>
                </w:tcPr>
                <w:p w14:paraId="192793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43586.57</w:t>
                  </w:r>
                </w:p>
              </w:tc>
              <w:tc>
                <w:tcPr>
                  <w:tcW w:w="1631" w:type="pct"/>
                  <w:noWrap w:val="0"/>
                  <w:vAlign w:val="center"/>
                </w:tcPr>
                <w:p w14:paraId="58E56D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年产电吉他 35 万把、木吉他 15 万把</w:t>
                  </w:r>
                </w:p>
              </w:tc>
              <w:tc>
                <w:tcPr>
                  <w:tcW w:w="891" w:type="pct"/>
                  <w:noWrap w:val="0"/>
                  <w:vAlign w:val="center"/>
                </w:tcPr>
                <w:p w14:paraId="45160A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韶环乐审〔2025〕02 号、韶环乐审〔2026〕03 号</w:t>
                  </w:r>
                </w:p>
              </w:tc>
            </w:tr>
            <w:tr w14:paraId="79A11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16A428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81</w:t>
                  </w:r>
                </w:p>
              </w:tc>
              <w:tc>
                <w:tcPr>
                  <w:tcW w:w="841" w:type="pct"/>
                  <w:noWrap w:val="0"/>
                  <w:vAlign w:val="center"/>
                </w:tcPr>
                <w:p w14:paraId="25DACE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广东维创兴电子科技有限公</w:t>
                  </w:r>
                </w:p>
                <w:p w14:paraId="63BC62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2B4A03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BFE53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551" w:type="pct"/>
                  <w:noWrap w:val="0"/>
                  <w:vAlign w:val="center"/>
                </w:tcPr>
                <w:p w14:paraId="589091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3925.74</w:t>
                  </w:r>
                </w:p>
              </w:tc>
              <w:tc>
                <w:tcPr>
                  <w:tcW w:w="1631" w:type="pct"/>
                  <w:noWrap w:val="0"/>
                  <w:vAlign w:val="center"/>
                </w:tcPr>
                <w:p w14:paraId="75369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年产触摸屏 100 万片</w:t>
                  </w:r>
                </w:p>
              </w:tc>
              <w:tc>
                <w:tcPr>
                  <w:tcW w:w="891" w:type="pct"/>
                  <w:noWrap w:val="0"/>
                  <w:vAlign w:val="center"/>
                </w:tcPr>
                <w:p w14:paraId="1FC84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韶环乐审〔2025〕20 号</w:t>
                  </w:r>
                </w:p>
              </w:tc>
            </w:tr>
            <w:tr w14:paraId="34C60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98" w:type="pct"/>
                  <w:noWrap w:val="0"/>
                  <w:vAlign w:val="center"/>
                </w:tcPr>
                <w:p w14:paraId="5BCC57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82</w:t>
                  </w:r>
                </w:p>
              </w:tc>
              <w:tc>
                <w:tcPr>
                  <w:tcW w:w="841" w:type="pct"/>
                  <w:noWrap w:val="0"/>
                  <w:vAlign w:val="center"/>
                </w:tcPr>
                <w:p w14:paraId="55B29E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韶关金利达塑料制品有限公司</w:t>
                  </w:r>
                </w:p>
              </w:tc>
              <w:tc>
                <w:tcPr>
                  <w:tcW w:w="234" w:type="pct"/>
                  <w:noWrap w:val="0"/>
                  <w:vAlign w:val="center"/>
                </w:tcPr>
                <w:p w14:paraId="386A55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90133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780005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689611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551" w:type="pct"/>
                  <w:noWrap w:val="0"/>
                  <w:vAlign w:val="center"/>
                </w:tcPr>
                <w:p w14:paraId="60CEEF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18748.8</w:t>
                  </w:r>
                </w:p>
              </w:tc>
              <w:tc>
                <w:tcPr>
                  <w:tcW w:w="1631" w:type="pct"/>
                  <w:noWrap w:val="0"/>
                  <w:vAlign w:val="center"/>
                </w:tcPr>
                <w:p w14:paraId="707E00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年产再生塑胶颗粒 3000 吨</w:t>
                  </w:r>
                </w:p>
              </w:tc>
              <w:tc>
                <w:tcPr>
                  <w:tcW w:w="891" w:type="pct"/>
                  <w:noWrap w:val="0"/>
                  <w:vAlign w:val="center"/>
                </w:tcPr>
                <w:p w14:paraId="00D98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韶环乐审〔2025〕13 号</w:t>
                  </w:r>
                </w:p>
              </w:tc>
            </w:tr>
            <w:tr w14:paraId="1853F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3E990D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83</w:t>
                  </w:r>
                </w:p>
              </w:tc>
              <w:tc>
                <w:tcPr>
                  <w:tcW w:w="841" w:type="pct"/>
                  <w:noWrap w:val="0"/>
                  <w:vAlign w:val="center"/>
                </w:tcPr>
                <w:p w14:paraId="0593A7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广东铭洋应急消防器材有限公司</w:t>
                  </w:r>
                </w:p>
              </w:tc>
              <w:tc>
                <w:tcPr>
                  <w:tcW w:w="234" w:type="pct"/>
                  <w:noWrap w:val="0"/>
                  <w:vAlign w:val="center"/>
                </w:tcPr>
                <w:p w14:paraId="4A9E8F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53810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551" w:type="pct"/>
                  <w:noWrap w:val="0"/>
                  <w:vAlign w:val="center"/>
                </w:tcPr>
                <w:p w14:paraId="6BFBB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9850</w:t>
                  </w:r>
                </w:p>
              </w:tc>
              <w:tc>
                <w:tcPr>
                  <w:tcW w:w="1631" w:type="pct"/>
                  <w:noWrap w:val="0"/>
                  <w:vAlign w:val="center"/>
                </w:tcPr>
                <w:p w14:paraId="79756D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750 万具，配套催化剂 720 吨，</w:t>
                  </w:r>
                </w:p>
                <w:p w14:paraId="79AC47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卡加拉特剂 1080 吨</w:t>
                  </w:r>
                </w:p>
              </w:tc>
              <w:tc>
                <w:tcPr>
                  <w:tcW w:w="891" w:type="pct"/>
                  <w:noWrap w:val="0"/>
                  <w:vAlign w:val="center"/>
                </w:tcPr>
                <w:p w14:paraId="1879C3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韶环审〔2025〕24  号</w:t>
                  </w:r>
                </w:p>
              </w:tc>
            </w:tr>
            <w:tr w14:paraId="7D35A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198" w:type="pct"/>
                  <w:noWrap w:val="0"/>
                  <w:vAlign w:val="center"/>
                </w:tcPr>
                <w:p w14:paraId="4C0C3F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84</w:t>
                  </w:r>
                </w:p>
              </w:tc>
              <w:tc>
                <w:tcPr>
                  <w:tcW w:w="841" w:type="pct"/>
                  <w:noWrap w:val="0"/>
                  <w:vAlign w:val="center"/>
                </w:tcPr>
                <w:p w14:paraId="720EF9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韶关市建兴新材料科技有限公司</w:t>
                  </w:r>
                </w:p>
              </w:tc>
              <w:tc>
                <w:tcPr>
                  <w:tcW w:w="234" w:type="pct"/>
                  <w:noWrap w:val="0"/>
                  <w:vAlign w:val="center"/>
                </w:tcPr>
                <w:p w14:paraId="7B5250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79F7C9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非金属矿采选业</w:t>
                  </w:r>
                </w:p>
              </w:tc>
              <w:tc>
                <w:tcPr>
                  <w:tcW w:w="551" w:type="pct"/>
                  <w:noWrap w:val="0"/>
                  <w:vAlign w:val="center"/>
                </w:tcPr>
                <w:p w14:paraId="45EE33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33562.6</w:t>
                  </w:r>
                </w:p>
              </w:tc>
              <w:tc>
                <w:tcPr>
                  <w:tcW w:w="1631" w:type="pct"/>
                  <w:noWrap w:val="0"/>
                  <w:vAlign w:val="center"/>
                </w:tcPr>
                <w:p w14:paraId="0D288D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年产堂石精矿 5 万吨</w:t>
                  </w:r>
                </w:p>
              </w:tc>
              <w:tc>
                <w:tcPr>
                  <w:tcW w:w="891" w:type="pct"/>
                  <w:noWrap w:val="0"/>
                  <w:vAlign w:val="center"/>
                </w:tcPr>
                <w:p w14:paraId="526A7B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韶环乐审〔2025〕14  号</w:t>
                  </w:r>
                </w:p>
              </w:tc>
            </w:tr>
            <w:tr w14:paraId="04DAA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C1E17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85</w:t>
                  </w:r>
                </w:p>
              </w:tc>
              <w:tc>
                <w:tcPr>
                  <w:tcW w:w="841" w:type="pct"/>
                  <w:noWrap w:val="0"/>
                  <w:vAlign w:val="center"/>
                </w:tcPr>
                <w:p w14:paraId="69286C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韶关市泳金构造机械有限公</w:t>
                  </w:r>
                </w:p>
                <w:p w14:paraId="7491A9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1C2630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5888A4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36E66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20477.32</w:t>
                  </w:r>
                </w:p>
              </w:tc>
              <w:tc>
                <w:tcPr>
                  <w:tcW w:w="1631" w:type="pct"/>
                  <w:noWrap w:val="0"/>
                  <w:vAlign w:val="center"/>
                </w:tcPr>
                <w:p w14:paraId="28E13D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年产钢结构成品 1.3 万吨</w:t>
                  </w:r>
                </w:p>
              </w:tc>
              <w:tc>
                <w:tcPr>
                  <w:tcW w:w="891" w:type="pct"/>
                  <w:noWrap w:val="0"/>
                  <w:vAlign w:val="center"/>
                </w:tcPr>
                <w:p w14:paraId="70E88C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韶环乐审〔2025〕05 号</w:t>
                  </w:r>
                </w:p>
              </w:tc>
            </w:tr>
            <w:tr w14:paraId="61B28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70DAA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w:t>
                  </w:r>
                </w:p>
              </w:tc>
              <w:tc>
                <w:tcPr>
                  <w:tcW w:w="841" w:type="pct"/>
                  <w:noWrap w:val="0"/>
                  <w:vAlign w:val="center"/>
                </w:tcPr>
                <w:p w14:paraId="5F8952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广东欣汇复合材料有限公司</w:t>
                  </w:r>
                </w:p>
              </w:tc>
              <w:tc>
                <w:tcPr>
                  <w:tcW w:w="234" w:type="pct"/>
                  <w:noWrap w:val="0"/>
                  <w:vAlign w:val="center"/>
                </w:tcPr>
                <w:p w14:paraId="637E76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171493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551" w:type="pct"/>
                  <w:noWrap w:val="0"/>
                  <w:vAlign w:val="center"/>
                </w:tcPr>
                <w:p w14:paraId="135218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29024.94</w:t>
                  </w:r>
                </w:p>
              </w:tc>
              <w:tc>
                <w:tcPr>
                  <w:tcW w:w="1631" w:type="pct"/>
                  <w:noWrap w:val="0"/>
                  <w:vAlign w:val="center"/>
                </w:tcPr>
                <w:p w14:paraId="0CC3A1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年产玻璃纤维增强塑料制品 7200 吨、玻纤布 1200 吨、生活</w:t>
                  </w:r>
                </w:p>
                <w:p w14:paraId="0D50E6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用品 3500 吨、塑料配件 15 吨</w:t>
                  </w:r>
                </w:p>
              </w:tc>
              <w:tc>
                <w:tcPr>
                  <w:tcW w:w="891" w:type="pct"/>
                  <w:noWrap w:val="0"/>
                  <w:vAlign w:val="center"/>
                </w:tcPr>
                <w:p w14:paraId="647E17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韶环乐审〔2024〕26 号</w:t>
                  </w:r>
                </w:p>
              </w:tc>
            </w:tr>
            <w:tr w14:paraId="578D1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0E7714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87</w:t>
                  </w:r>
                </w:p>
              </w:tc>
              <w:tc>
                <w:tcPr>
                  <w:tcW w:w="841" w:type="pct"/>
                  <w:noWrap w:val="0"/>
                  <w:vAlign w:val="center"/>
                </w:tcPr>
                <w:p w14:paraId="00D586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乐昌市鑫盛塑业有限公司</w:t>
                  </w:r>
                </w:p>
              </w:tc>
              <w:tc>
                <w:tcPr>
                  <w:tcW w:w="234" w:type="pct"/>
                  <w:noWrap w:val="0"/>
                  <w:vAlign w:val="center"/>
                </w:tcPr>
                <w:p w14:paraId="2E9B2B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17F87A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2F46A2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1182.71</w:t>
                  </w:r>
                </w:p>
              </w:tc>
              <w:tc>
                <w:tcPr>
                  <w:tcW w:w="1631" w:type="pct"/>
                  <w:noWrap w:val="0"/>
                  <w:vAlign w:val="center"/>
                </w:tcPr>
                <w:p w14:paraId="438BCF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年产编织袋 5000 吨</w:t>
                  </w:r>
                </w:p>
              </w:tc>
              <w:tc>
                <w:tcPr>
                  <w:tcW w:w="891" w:type="pct"/>
                  <w:noWrap w:val="0"/>
                  <w:vAlign w:val="center"/>
                </w:tcPr>
                <w:p w14:paraId="531A23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7DB9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D7788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88</w:t>
                  </w:r>
                </w:p>
              </w:tc>
              <w:tc>
                <w:tcPr>
                  <w:tcW w:w="841" w:type="pct"/>
                  <w:noWrap w:val="0"/>
                  <w:vAlign w:val="center"/>
                </w:tcPr>
                <w:p w14:paraId="013CF5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广东金康新材料有限公司</w:t>
                  </w:r>
                </w:p>
              </w:tc>
              <w:tc>
                <w:tcPr>
                  <w:tcW w:w="234" w:type="pct"/>
                  <w:noWrap w:val="0"/>
                  <w:vAlign w:val="center"/>
                </w:tcPr>
                <w:p w14:paraId="6B12B0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80A1A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化学原料和化学制品制造业</w:t>
                  </w:r>
                </w:p>
              </w:tc>
              <w:tc>
                <w:tcPr>
                  <w:tcW w:w="551" w:type="pct"/>
                  <w:noWrap w:val="0"/>
                  <w:vAlign w:val="center"/>
                </w:tcPr>
                <w:p w14:paraId="6CDB5D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11260.7</w:t>
                  </w:r>
                </w:p>
              </w:tc>
              <w:tc>
                <w:tcPr>
                  <w:tcW w:w="1631" w:type="pct"/>
                  <w:noWrap w:val="0"/>
                  <w:vAlign w:val="center"/>
                </w:tcPr>
                <w:p w14:paraId="776E6C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稳定剂 3600 吨、助剂 2400 吨</w:t>
                  </w:r>
                </w:p>
              </w:tc>
              <w:tc>
                <w:tcPr>
                  <w:tcW w:w="891" w:type="pct"/>
                  <w:noWrap w:val="0"/>
                  <w:vAlign w:val="center"/>
                </w:tcPr>
                <w:p w14:paraId="21171A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乐环审〔2020〕10 号</w:t>
                  </w:r>
                </w:p>
              </w:tc>
            </w:tr>
            <w:tr w14:paraId="77F1A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497A50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89</w:t>
                  </w:r>
                </w:p>
              </w:tc>
              <w:tc>
                <w:tcPr>
                  <w:tcW w:w="841" w:type="pct"/>
                  <w:noWrap w:val="0"/>
                  <w:vAlign w:val="center"/>
                </w:tcPr>
                <w:p w14:paraId="2A5B3B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韶关市恒琦耐磨材料有限公司</w:t>
                  </w:r>
                </w:p>
              </w:tc>
              <w:tc>
                <w:tcPr>
                  <w:tcW w:w="234" w:type="pct"/>
                  <w:noWrap w:val="0"/>
                  <w:vAlign w:val="center"/>
                </w:tcPr>
                <w:p w14:paraId="5B6359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267D30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83190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2200</w:t>
                  </w:r>
                </w:p>
              </w:tc>
              <w:tc>
                <w:tcPr>
                  <w:tcW w:w="1631" w:type="pct"/>
                  <w:noWrap w:val="0"/>
                  <w:vAlign w:val="center"/>
                </w:tcPr>
                <w:p w14:paraId="7254D9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年产耐磨钢球 1 万吨</w:t>
                  </w:r>
                </w:p>
              </w:tc>
              <w:tc>
                <w:tcPr>
                  <w:tcW w:w="891" w:type="pct"/>
                  <w:noWrap w:val="0"/>
                  <w:vAlign w:val="center"/>
                </w:tcPr>
                <w:p w14:paraId="67732E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韶环乐审〔2023〕26 号</w:t>
                  </w:r>
                </w:p>
              </w:tc>
            </w:tr>
            <w:tr w14:paraId="47195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98" w:type="pct"/>
                  <w:noWrap w:val="0"/>
                  <w:vAlign w:val="center"/>
                </w:tcPr>
                <w:p w14:paraId="374162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w:t>
                  </w:r>
                </w:p>
              </w:tc>
              <w:tc>
                <w:tcPr>
                  <w:tcW w:w="841" w:type="pct"/>
                  <w:noWrap w:val="0"/>
                  <w:vAlign w:val="center"/>
                </w:tcPr>
                <w:p w14:paraId="618DE3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乐昌市永成智能厨房设备制造有限公司</w:t>
                  </w:r>
                </w:p>
              </w:tc>
              <w:tc>
                <w:tcPr>
                  <w:tcW w:w="234" w:type="pct"/>
                  <w:noWrap w:val="0"/>
                  <w:vAlign w:val="center"/>
                </w:tcPr>
                <w:p w14:paraId="7FA683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71F15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551" w:type="pct"/>
                  <w:noWrap w:val="0"/>
                  <w:vAlign w:val="center"/>
                </w:tcPr>
                <w:p w14:paraId="285CDC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33333.33</w:t>
                  </w:r>
                </w:p>
              </w:tc>
              <w:tc>
                <w:tcPr>
                  <w:tcW w:w="1631" w:type="pct"/>
                  <w:noWrap w:val="0"/>
                  <w:vAlign w:val="center"/>
                </w:tcPr>
                <w:p w14:paraId="37204C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年产锅炉具类、蒸炉具类、工作台类、层架类、星盆类、柜</w:t>
                  </w:r>
                </w:p>
                <w:p w14:paraId="7484E4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式类、消毒柜类、备餐类、餐车类、餐台类、西餐类、环保</w:t>
                  </w:r>
                </w:p>
                <w:p w14:paraId="3D25D5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设备类 12570 台</w:t>
                  </w:r>
                </w:p>
              </w:tc>
              <w:tc>
                <w:tcPr>
                  <w:tcW w:w="891" w:type="pct"/>
                  <w:noWrap w:val="0"/>
                  <w:vAlign w:val="center"/>
                </w:tcPr>
                <w:p w14:paraId="393414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20D33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0258CD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91</w:t>
                  </w:r>
                </w:p>
              </w:tc>
              <w:tc>
                <w:tcPr>
                  <w:tcW w:w="841" w:type="pct"/>
                  <w:noWrap w:val="0"/>
                  <w:vAlign w:val="center"/>
                </w:tcPr>
                <w:p w14:paraId="5C35A7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广东润昕新材料有限公司</w:t>
                  </w:r>
                </w:p>
              </w:tc>
              <w:tc>
                <w:tcPr>
                  <w:tcW w:w="234" w:type="pct"/>
                  <w:noWrap w:val="0"/>
                  <w:vAlign w:val="center"/>
                </w:tcPr>
                <w:p w14:paraId="6E9357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487EFA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3F0CFE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34905.44</w:t>
                  </w:r>
                </w:p>
              </w:tc>
              <w:tc>
                <w:tcPr>
                  <w:tcW w:w="1631" w:type="pct"/>
                  <w:noWrap w:val="0"/>
                  <w:vAlign w:val="center"/>
                </w:tcPr>
                <w:p w14:paraId="5FF96E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100 万平方米</w:t>
                  </w:r>
                </w:p>
              </w:tc>
              <w:tc>
                <w:tcPr>
                  <w:tcW w:w="891" w:type="pct"/>
                  <w:noWrap w:val="0"/>
                  <w:vAlign w:val="center"/>
                </w:tcPr>
                <w:p w14:paraId="258504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韶环乐审〔2025〕21 号</w:t>
                  </w:r>
                </w:p>
              </w:tc>
            </w:tr>
            <w:tr w14:paraId="2CF65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47020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92</w:t>
                  </w:r>
                </w:p>
              </w:tc>
              <w:tc>
                <w:tcPr>
                  <w:tcW w:w="841" w:type="pct"/>
                  <w:noWrap w:val="0"/>
                  <w:vAlign w:val="center"/>
                </w:tcPr>
                <w:p w14:paraId="2AF831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筑能（韶关）精工制造有限公司</w:t>
                  </w:r>
                </w:p>
              </w:tc>
              <w:tc>
                <w:tcPr>
                  <w:tcW w:w="234" w:type="pct"/>
                  <w:noWrap w:val="0"/>
                  <w:vAlign w:val="center"/>
                </w:tcPr>
                <w:p w14:paraId="1FDC6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1319F1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1EDF61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36212.64</w:t>
                  </w:r>
                </w:p>
              </w:tc>
              <w:tc>
                <w:tcPr>
                  <w:tcW w:w="1631" w:type="pct"/>
                  <w:noWrap w:val="0"/>
                  <w:vAlign w:val="center"/>
                </w:tcPr>
                <w:p w14:paraId="397DF8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150 万平方米</w:t>
                  </w:r>
                </w:p>
              </w:tc>
              <w:tc>
                <w:tcPr>
                  <w:tcW w:w="891" w:type="pct"/>
                  <w:noWrap w:val="0"/>
                  <w:vAlign w:val="center"/>
                </w:tcPr>
                <w:p w14:paraId="058F08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韶环乐审〔2025〕19 号</w:t>
                  </w:r>
                </w:p>
              </w:tc>
            </w:tr>
            <w:tr w14:paraId="195EE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4DEA5C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w:t>
                  </w:r>
                </w:p>
              </w:tc>
              <w:tc>
                <w:tcPr>
                  <w:tcW w:w="841" w:type="pct"/>
                  <w:noWrap w:val="0"/>
                  <w:vAlign w:val="center"/>
                </w:tcPr>
                <w:p w14:paraId="36F55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美伦建材（韶关）有限公司</w:t>
                  </w:r>
                </w:p>
              </w:tc>
              <w:tc>
                <w:tcPr>
                  <w:tcW w:w="234" w:type="pct"/>
                  <w:noWrap w:val="0"/>
                  <w:vAlign w:val="center"/>
                </w:tcPr>
                <w:p w14:paraId="467339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0933FD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4397E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54969.22</w:t>
                  </w:r>
                </w:p>
              </w:tc>
              <w:tc>
                <w:tcPr>
                  <w:tcW w:w="1631" w:type="pct"/>
                  <w:noWrap w:val="0"/>
                  <w:vAlign w:val="center"/>
                </w:tcPr>
                <w:p w14:paraId="2569FA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200 万平方米</w:t>
                  </w:r>
                </w:p>
              </w:tc>
              <w:tc>
                <w:tcPr>
                  <w:tcW w:w="891" w:type="pct"/>
                  <w:noWrap w:val="0"/>
                  <w:vAlign w:val="center"/>
                </w:tcPr>
                <w:p w14:paraId="0C6538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韶环乐审〔2025〕08 号</w:t>
                  </w:r>
                </w:p>
              </w:tc>
            </w:tr>
            <w:tr w14:paraId="68E5B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B4DDC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94</w:t>
                  </w:r>
                </w:p>
              </w:tc>
              <w:tc>
                <w:tcPr>
                  <w:tcW w:w="841" w:type="pct"/>
                  <w:noWrap w:val="0"/>
                  <w:vAlign w:val="center"/>
                </w:tcPr>
                <w:p w14:paraId="39EB75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中荣印刷（韶关）有限公司</w:t>
                  </w:r>
                </w:p>
              </w:tc>
              <w:tc>
                <w:tcPr>
                  <w:tcW w:w="234" w:type="pct"/>
                  <w:noWrap w:val="0"/>
                  <w:vAlign w:val="center"/>
                </w:tcPr>
                <w:p w14:paraId="4FBFA6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18563B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造纸和纸制品业</w:t>
                  </w:r>
                </w:p>
              </w:tc>
              <w:tc>
                <w:tcPr>
                  <w:tcW w:w="551" w:type="pct"/>
                  <w:noWrap w:val="0"/>
                  <w:vAlign w:val="center"/>
                </w:tcPr>
                <w:p w14:paraId="609E37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3227.65</w:t>
                  </w:r>
                </w:p>
              </w:tc>
              <w:tc>
                <w:tcPr>
                  <w:tcW w:w="1631" w:type="pct"/>
                  <w:noWrap w:val="0"/>
                  <w:vAlign w:val="center"/>
                </w:tcPr>
                <w:p w14:paraId="4F9F86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500 万个、礼盒 50 万个、卡类 500 万张</w:t>
                  </w:r>
                </w:p>
              </w:tc>
              <w:tc>
                <w:tcPr>
                  <w:tcW w:w="891" w:type="pct"/>
                  <w:noWrap w:val="0"/>
                  <w:vAlign w:val="center"/>
                </w:tcPr>
                <w:p w14:paraId="1D141D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韶环乐审〔2024〕24 号</w:t>
                  </w:r>
                </w:p>
              </w:tc>
            </w:tr>
            <w:tr w14:paraId="0538C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04C7C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w:t>
                  </w:r>
                </w:p>
              </w:tc>
              <w:tc>
                <w:tcPr>
                  <w:tcW w:w="841" w:type="pct"/>
                  <w:noWrap w:val="0"/>
                  <w:vAlign w:val="center"/>
                </w:tcPr>
                <w:p w14:paraId="431B92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廓鑫建材（韶关）有限公司</w:t>
                  </w:r>
                </w:p>
              </w:tc>
              <w:tc>
                <w:tcPr>
                  <w:tcW w:w="234" w:type="pct"/>
                  <w:noWrap w:val="0"/>
                  <w:vAlign w:val="center"/>
                </w:tcPr>
                <w:p w14:paraId="4111CE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638390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2857DB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33373.03</w:t>
                  </w:r>
                </w:p>
              </w:tc>
              <w:tc>
                <w:tcPr>
                  <w:tcW w:w="1631" w:type="pct"/>
                  <w:noWrap w:val="0"/>
                  <w:vAlign w:val="center"/>
                </w:tcPr>
                <w:p w14:paraId="60B75F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年产钣金件 8100 吨</w:t>
                  </w:r>
                </w:p>
              </w:tc>
              <w:tc>
                <w:tcPr>
                  <w:tcW w:w="891" w:type="pct"/>
                  <w:noWrap w:val="0"/>
                  <w:vAlign w:val="center"/>
                </w:tcPr>
                <w:p w14:paraId="66B8D6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韶环乐审〔2025〕25 号</w:t>
                  </w:r>
                </w:p>
              </w:tc>
            </w:tr>
            <w:tr w14:paraId="04DC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6E3E60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w:t>
                  </w:r>
                </w:p>
              </w:tc>
              <w:tc>
                <w:tcPr>
                  <w:tcW w:w="841" w:type="pct"/>
                  <w:noWrap w:val="0"/>
                  <w:vAlign w:val="center"/>
                </w:tcPr>
                <w:p w14:paraId="75A689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广东三筑金属制品有限公司</w:t>
                  </w:r>
                </w:p>
              </w:tc>
              <w:tc>
                <w:tcPr>
                  <w:tcW w:w="234" w:type="pct"/>
                  <w:noWrap w:val="0"/>
                  <w:vAlign w:val="center"/>
                </w:tcPr>
                <w:p w14:paraId="5913BE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385E5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0B0473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54139.29</w:t>
                  </w:r>
                </w:p>
              </w:tc>
              <w:tc>
                <w:tcPr>
                  <w:tcW w:w="1631" w:type="pct"/>
                  <w:noWrap w:val="0"/>
                  <w:vAlign w:val="center"/>
                </w:tcPr>
                <w:p w14:paraId="65B36F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年产各类板及其他铝制品 110 万平方米</w:t>
                  </w:r>
                </w:p>
              </w:tc>
              <w:tc>
                <w:tcPr>
                  <w:tcW w:w="891" w:type="pct"/>
                  <w:noWrap w:val="0"/>
                  <w:vAlign w:val="center"/>
                </w:tcPr>
                <w:p w14:paraId="134D35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韶环乐审〔2025〕24 号</w:t>
                  </w:r>
                </w:p>
              </w:tc>
            </w:tr>
            <w:tr w14:paraId="0F5DA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639BB3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97</w:t>
                  </w:r>
                </w:p>
              </w:tc>
              <w:tc>
                <w:tcPr>
                  <w:tcW w:w="841" w:type="pct"/>
                  <w:noWrap w:val="0"/>
                  <w:vAlign w:val="center"/>
                </w:tcPr>
                <w:p w14:paraId="31F216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广东启健净水设备有限公司</w:t>
                  </w:r>
                </w:p>
              </w:tc>
              <w:tc>
                <w:tcPr>
                  <w:tcW w:w="234" w:type="pct"/>
                  <w:noWrap w:val="0"/>
                  <w:vAlign w:val="center"/>
                </w:tcPr>
                <w:p w14:paraId="16B506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650" w:type="pct"/>
                  <w:noWrap w:val="0"/>
                  <w:vAlign w:val="center"/>
                </w:tcPr>
                <w:p w14:paraId="454165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家具制造业</w:t>
                  </w:r>
                </w:p>
              </w:tc>
              <w:tc>
                <w:tcPr>
                  <w:tcW w:w="551" w:type="pct"/>
                  <w:noWrap w:val="0"/>
                  <w:vAlign w:val="center"/>
                </w:tcPr>
                <w:p w14:paraId="708D29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9598</w:t>
                  </w:r>
                </w:p>
              </w:tc>
              <w:tc>
                <w:tcPr>
                  <w:tcW w:w="1631" w:type="pct"/>
                  <w:noWrap w:val="0"/>
                  <w:vAlign w:val="center"/>
                </w:tcPr>
                <w:p w14:paraId="6BC0B6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年产直沸水壶机、饮水机、直饮水机、净水器、纯水机等净水设备 120 万台、饮用水机配件、净水机配件 150 万件</w:t>
                  </w:r>
                </w:p>
              </w:tc>
              <w:tc>
                <w:tcPr>
                  <w:tcW w:w="891" w:type="pct"/>
                  <w:noWrap w:val="0"/>
                  <w:vAlign w:val="center"/>
                </w:tcPr>
                <w:p w14:paraId="35EA39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乐环审〔2019〕42 号</w:t>
                  </w:r>
                </w:p>
              </w:tc>
            </w:tr>
            <w:tr w14:paraId="21EA5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413D6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w:t>
                  </w:r>
                </w:p>
              </w:tc>
              <w:tc>
                <w:tcPr>
                  <w:tcW w:w="841" w:type="pct"/>
                  <w:noWrap w:val="0"/>
                  <w:vAlign w:val="center"/>
                </w:tcPr>
                <w:p w14:paraId="526A91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乐昌产业园工业固体废弃物设施补短板项目</w:t>
                  </w:r>
                </w:p>
              </w:tc>
              <w:tc>
                <w:tcPr>
                  <w:tcW w:w="234" w:type="pct"/>
                  <w:noWrap w:val="0"/>
                  <w:vAlign w:val="center"/>
                </w:tcPr>
                <w:p w14:paraId="64943D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650" w:type="pct"/>
                  <w:noWrap w:val="0"/>
                  <w:vAlign w:val="center"/>
                </w:tcPr>
                <w:p w14:paraId="54FBBC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装卸搬运和仓储业</w:t>
                  </w:r>
                </w:p>
              </w:tc>
              <w:tc>
                <w:tcPr>
                  <w:tcW w:w="551" w:type="pct"/>
                  <w:noWrap w:val="0"/>
                  <w:vAlign w:val="center"/>
                </w:tcPr>
                <w:p w14:paraId="6C9940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w:t>
                  </w:r>
                </w:p>
              </w:tc>
              <w:tc>
                <w:tcPr>
                  <w:tcW w:w="1631" w:type="pct"/>
                  <w:noWrap w:val="0"/>
                  <w:vAlign w:val="center"/>
                </w:tcPr>
                <w:p w14:paraId="0115D7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年收集危险废物 2806 吨，一般固体废物 8.5 万吨。</w:t>
                  </w:r>
                </w:p>
              </w:tc>
              <w:tc>
                <w:tcPr>
                  <w:tcW w:w="891" w:type="pct"/>
                  <w:noWrap w:val="0"/>
                  <w:vAlign w:val="center"/>
                </w:tcPr>
                <w:p w14:paraId="78DF2C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韶环乐审〔2023〕05 号</w:t>
                  </w:r>
                </w:p>
              </w:tc>
            </w:tr>
            <w:tr w14:paraId="63C66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98" w:type="pct"/>
                  <w:noWrap w:val="0"/>
                  <w:vAlign w:val="center"/>
                </w:tcPr>
                <w:p w14:paraId="499C1A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99</w:t>
                  </w:r>
                </w:p>
              </w:tc>
              <w:tc>
                <w:tcPr>
                  <w:tcW w:w="841" w:type="pct"/>
                  <w:noWrap w:val="0"/>
                  <w:vAlign w:val="center"/>
                </w:tcPr>
                <w:p w14:paraId="1A2A95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乐昌市鑫盛威塑胶新材料科技有限公司</w:t>
                  </w:r>
                </w:p>
              </w:tc>
              <w:tc>
                <w:tcPr>
                  <w:tcW w:w="234" w:type="pct"/>
                  <w:noWrap w:val="0"/>
                  <w:vAlign w:val="center"/>
                </w:tcPr>
                <w:p w14:paraId="7CF4EF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650" w:type="pct"/>
                  <w:noWrap w:val="0"/>
                  <w:vAlign w:val="center"/>
                </w:tcPr>
                <w:p w14:paraId="62D267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643059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业、非金属矿物制</w:t>
                  </w:r>
                </w:p>
                <w:p w14:paraId="5BF5AB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品业</w:t>
                  </w:r>
                </w:p>
              </w:tc>
              <w:tc>
                <w:tcPr>
                  <w:tcW w:w="551" w:type="pct"/>
                  <w:noWrap w:val="0"/>
                  <w:vAlign w:val="center"/>
                </w:tcPr>
                <w:p w14:paraId="6BD3C3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8000</w:t>
                  </w:r>
                </w:p>
              </w:tc>
              <w:tc>
                <w:tcPr>
                  <w:tcW w:w="1631" w:type="pct"/>
                  <w:noWrap w:val="0"/>
                  <w:vAlign w:val="center"/>
                </w:tcPr>
                <w:p w14:paraId="6961FF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4EBB6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膜2600 吨、PU 膜 500 吨、人造石墨 2 万吨</w:t>
                  </w:r>
                </w:p>
              </w:tc>
              <w:tc>
                <w:tcPr>
                  <w:tcW w:w="891" w:type="pct"/>
                  <w:noWrap w:val="0"/>
                  <w:vAlign w:val="center"/>
                </w:tcPr>
                <w:p w14:paraId="03D886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]81 号、韶环乐审</w:t>
                  </w:r>
                </w:p>
                <w:p w14:paraId="482333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46B61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112137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w:t>
                  </w:r>
                </w:p>
              </w:tc>
              <w:tc>
                <w:tcPr>
                  <w:tcW w:w="841" w:type="pct"/>
                  <w:noWrap w:val="0"/>
                  <w:vAlign w:val="center"/>
                </w:tcPr>
                <w:p w14:paraId="2A934D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乐昌市众诚塑㬵制品有限公</w:t>
                  </w:r>
                </w:p>
                <w:p w14:paraId="23F398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234" w:type="pct"/>
                  <w:noWrap w:val="0"/>
                  <w:vAlign w:val="center"/>
                </w:tcPr>
                <w:p w14:paraId="2E7A76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650" w:type="pct"/>
                  <w:noWrap w:val="0"/>
                  <w:vAlign w:val="center"/>
                </w:tcPr>
                <w:p w14:paraId="18C356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4AF986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12419.5</w:t>
                  </w:r>
                </w:p>
              </w:tc>
              <w:tc>
                <w:tcPr>
                  <w:tcW w:w="1631" w:type="pct"/>
                  <w:noWrap w:val="0"/>
                  <w:vAlign w:val="center"/>
                </w:tcPr>
                <w:p w14:paraId="4B1DC3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1300 吨、聚氨酯装饰制品 200 吨</w:t>
                  </w:r>
                </w:p>
              </w:tc>
              <w:tc>
                <w:tcPr>
                  <w:tcW w:w="891" w:type="pct"/>
                  <w:noWrap w:val="0"/>
                  <w:vAlign w:val="center"/>
                </w:tcPr>
                <w:p w14:paraId="34B54B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15 号</w:t>
                  </w:r>
                </w:p>
              </w:tc>
            </w:tr>
            <w:tr w14:paraId="318F3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198" w:type="pct"/>
                  <w:noWrap w:val="0"/>
                  <w:vAlign w:val="center"/>
                </w:tcPr>
                <w:p w14:paraId="598A13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101</w:t>
                  </w:r>
                </w:p>
              </w:tc>
              <w:tc>
                <w:tcPr>
                  <w:tcW w:w="841" w:type="pct"/>
                  <w:noWrap w:val="0"/>
                  <w:vAlign w:val="center"/>
                </w:tcPr>
                <w:p w14:paraId="11E95D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韶关盖邦建材有限公司</w:t>
                  </w:r>
                </w:p>
              </w:tc>
              <w:tc>
                <w:tcPr>
                  <w:tcW w:w="234" w:type="pct"/>
                  <w:noWrap w:val="0"/>
                  <w:vAlign w:val="center"/>
                </w:tcPr>
                <w:p w14:paraId="0FE3BF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650" w:type="pct"/>
                  <w:noWrap w:val="0"/>
                  <w:vAlign w:val="center"/>
                </w:tcPr>
                <w:p w14:paraId="669DA8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475E33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1631" w:type="pct"/>
                  <w:noWrap w:val="0"/>
                  <w:vAlign w:val="center"/>
                </w:tcPr>
                <w:p w14:paraId="050FFE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6000 个不锈钢井盖、排水沟盖板</w:t>
                  </w:r>
                </w:p>
              </w:tc>
              <w:tc>
                <w:tcPr>
                  <w:tcW w:w="891" w:type="pct"/>
                  <w:noWrap w:val="0"/>
                  <w:vAlign w:val="center"/>
                </w:tcPr>
                <w:p w14:paraId="30EC0C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乐环审〔2019〕33 号</w:t>
                  </w:r>
                </w:p>
              </w:tc>
            </w:tr>
            <w:tr w14:paraId="53A82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7826FE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102</w:t>
                  </w:r>
                </w:p>
              </w:tc>
              <w:tc>
                <w:tcPr>
                  <w:tcW w:w="841" w:type="pct"/>
                  <w:noWrap w:val="0"/>
                  <w:vAlign w:val="center"/>
                </w:tcPr>
                <w:p w14:paraId="6C052F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广东力齐铝模科技有限公司</w:t>
                  </w:r>
                </w:p>
              </w:tc>
              <w:tc>
                <w:tcPr>
                  <w:tcW w:w="234" w:type="pct"/>
                  <w:noWrap w:val="0"/>
                  <w:vAlign w:val="center"/>
                </w:tcPr>
                <w:p w14:paraId="225778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0E5B56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061CAE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32404.8</w:t>
                  </w:r>
                </w:p>
              </w:tc>
              <w:tc>
                <w:tcPr>
                  <w:tcW w:w="1631" w:type="pct"/>
                  <w:noWrap w:val="0"/>
                  <w:vAlign w:val="center"/>
                </w:tcPr>
                <w:p w14:paraId="213351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年产铝合金建筑模板 24 万平方米，年处理结构件 6630 吨</w:t>
                  </w:r>
                </w:p>
              </w:tc>
              <w:tc>
                <w:tcPr>
                  <w:tcW w:w="891" w:type="pct"/>
                  <w:noWrap w:val="0"/>
                  <w:vAlign w:val="center"/>
                </w:tcPr>
                <w:p w14:paraId="138B01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乐环审〔2020〕31 号、韶环乐审</w:t>
                  </w:r>
                </w:p>
                <w:p w14:paraId="5CF48B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〔2022〕08 号</w:t>
                  </w:r>
                </w:p>
              </w:tc>
            </w:tr>
            <w:tr w14:paraId="64CB1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198" w:type="pct"/>
                  <w:noWrap w:val="0"/>
                  <w:vAlign w:val="center"/>
                </w:tcPr>
                <w:p w14:paraId="394768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103</w:t>
                  </w:r>
                </w:p>
              </w:tc>
              <w:tc>
                <w:tcPr>
                  <w:tcW w:w="841" w:type="pct"/>
                  <w:noWrap w:val="0"/>
                  <w:vAlign w:val="center"/>
                </w:tcPr>
                <w:p w14:paraId="6D2241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乐昌市吉焱实业有限公司</w:t>
                  </w:r>
                </w:p>
              </w:tc>
              <w:tc>
                <w:tcPr>
                  <w:tcW w:w="234" w:type="pct"/>
                  <w:noWrap w:val="0"/>
                  <w:vAlign w:val="center"/>
                </w:tcPr>
                <w:p w14:paraId="47CA85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71D8C1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11D986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24875.4</w:t>
                  </w:r>
                </w:p>
              </w:tc>
              <w:tc>
                <w:tcPr>
                  <w:tcW w:w="1631" w:type="pct"/>
                  <w:noWrap w:val="0"/>
                  <w:vAlign w:val="center"/>
                </w:tcPr>
                <w:p w14:paraId="2DE2E4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891" w:type="pct"/>
                  <w:noWrap w:val="0"/>
                  <w:vAlign w:val="center"/>
                </w:tcPr>
                <w:p w14:paraId="616FA5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14 号</w:t>
                  </w:r>
                </w:p>
              </w:tc>
            </w:tr>
            <w:tr w14:paraId="38E59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3B0BB7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104</w:t>
                  </w:r>
                </w:p>
              </w:tc>
              <w:tc>
                <w:tcPr>
                  <w:tcW w:w="841" w:type="pct"/>
                  <w:noWrap w:val="0"/>
                  <w:vAlign w:val="center"/>
                </w:tcPr>
                <w:p w14:paraId="7AE5A1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广东省嘉上实业有限公司</w:t>
                  </w:r>
                </w:p>
              </w:tc>
              <w:tc>
                <w:tcPr>
                  <w:tcW w:w="234" w:type="pct"/>
                  <w:noWrap w:val="0"/>
                  <w:vAlign w:val="center"/>
                </w:tcPr>
                <w:p w14:paraId="1ED83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519CF4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3F900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12926.42</w:t>
                  </w:r>
                </w:p>
              </w:tc>
              <w:tc>
                <w:tcPr>
                  <w:tcW w:w="1631" w:type="pct"/>
                  <w:noWrap w:val="0"/>
                  <w:vAlign w:val="center"/>
                </w:tcPr>
                <w:p w14:paraId="4D071D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年产塑胶桶 500 万个</w:t>
                  </w:r>
                </w:p>
              </w:tc>
              <w:tc>
                <w:tcPr>
                  <w:tcW w:w="891" w:type="pct"/>
                  <w:noWrap w:val="0"/>
                  <w:vAlign w:val="center"/>
                </w:tcPr>
                <w:p w14:paraId="0D9A4D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398E8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198" w:type="pct"/>
                  <w:noWrap w:val="0"/>
                  <w:vAlign w:val="center"/>
                </w:tcPr>
                <w:p w14:paraId="6892EF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105</w:t>
                  </w:r>
                </w:p>
              </w:tc>
              <w:tc>
                <w:tcPr>
                  <w:tcW w:w="841" w:type="pct"/>
                  <w:noWrap w:val="0"/>
                  <w:vAlign w:val="center"/>
                </w:tcPr>
                <w:p w14:paraId="4AAB7C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溢拓新能源(广东)有限公司</w:t>
                  </w:r>
                </w:p>
              </w:tc>
              <w:tc>
                <w:tcPr>
                  <w:tcW w:w="234" w:type="pct"/>
                  <w:noWrap w:val="0"/>
                  <w:vAlign w:val="center"/>
                </w:tcPr>
                <w:p w14:paraId="312816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66B455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551" w:type="pct"/>
                  <w:noWrap w:val="0"/>
                  <w:vAlign w:val="center"/>
                </w:tcPr>
                <w:p w14:paraId="7D5755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11000</w:t>
                  </w:r>
                </w:p>
              </w:tc>
              <w:tc>
                <w:tcPr>
                  <w:tcW w:w="1631" w:type="pct"/>
                  <w:noWrap w:val="0"/>
                  <w:vAlign w:val="center"/>
                </w:tcPr>
                <w:p w14:paraId="148E3D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300 万件星空灯、20 万件防触电排插、12 万件擦窗机</w:t>
                  </w:r>
                </w:p>
              </w:tc>
              <w:tc>
                <w:tcPr>
                  <w:tcW w:w="891" w:type="pct"/>
                  <w:noWrap w:val="0"/>
                  <w:vAlign w:val="center"/>
                </w:tcPr>
                <w:p w14:paraId="7A75DD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韶环乐审〔2025〕11 号</w:t>
                  </w:r>
                </w:p>
              </w:tc>
            </w:tr>
            <w:tr w14:paraId="5B69E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01ABA2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w:t>
                  </w:r>
                </w:p>
              </w:tc>
              <w:tc>
                <w:tcPr>
                  <w:tcW w:w="841" w:type="pct"/>
                  <w:noWrap w:val="0"/>
                  <w:vAlign w:val="center"/>
                </w:tcPr>
                <w:p w14:paraId="1A8DA9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乐昌皓强科技有限公司</w:t>
                  </w:r>
                </w:p>
              </w:tc>
              <w:tc>
                <w:tcPr>
                  <w:tcW w:w="234" w:type="pct"/>
                  <w:noWrap w:val="0"/>
                  <w:vAlign w:val="center"/>
                </w:tcPr>
                <w:p w14:paraId="358BB3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2B2465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551" w:type="pct"/>
                  <w:noWrap w:val="0"/>
                  <w:vAlign w:val="center"/>
                </w:tcPr>
                <w:p w14:paraId="72ABBD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9600</w:t>
                  </w:r>
                </w:p>
              </w:tc>
              <w:tc>
                <w:tcPr>
                  <w:tcW w:w="1631" w:type="pct"/>
                  <w:noWrap w:val="0"/>
                  <w:vAlign w:val="center"/>
                </w:tcPr>
                <w:p w14:paraId="7CDC6E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106 万平方米新型先进复合建筑塑料模板</w:t>
                  </w:r>
                </w:p>
              </w:tc>
              <w:tc>
                <w:tcPr>
                  <w:tcW w:w="891" w:type="pct"/>
                  <w:noWrap w:val="0"/>
                  <w:vAlign w:val="center"/>
                </w:tcPr>
                <w:p w14:paraId="3BB6F4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韶环乐审〔2022〕02 号</w:t>
                  </w:r>
                </w:p>
              </w:tc>
            </w:tr>
            <w:tr w14:paraId="0572F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7EF877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w:t>
                  </w:r>
                </w:p>
              </w:tc>
              <w:tc>
                <w:tcPr>
                  <w:tcW w:w="841" w:type="pct"/>
                  <w:noWrap w:val="0"/>
                  <w:vAlign w:val="center"/>
                </w:tcPr>
                <w:p w14:paraId="707D89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乐昌市保利发矿山机械配件</w:t>
                  </w:r>
                </w:p>
                <w:p w14:paraId="779CBB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234" w:type="pct"/>
                  <w:noWrap w:val="0"/>
                  <w:vAlign w:val="center"/>
                </w:tcPr>
                <w:p w14:paraId="374C0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650" w:type="pct"/>
                  <w:noWrap w:val="0"/>
                  <w:vAlign w:val="center"/>
                </w:tcPr>
                <w:p w14:paraId="0A8BEA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5969D8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4050</w:t>
                  </w:r>
                </w:p>
              </w:tc>
              <w:tc>
                <w:tcPr>
                  <w:tcW w:w="1631" w:type="pct"/>
                  <w:noWrap w:val="0"/>
                  <w:vAlign w:val="center"/>
                </w:tcPr>
                <w:p w14:paraId="29EFC1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年产破碎机边板 3000 吨、锤头 2000 吨、配件 5000 吨</w:t>
                  </w:r>
                </w:p>
              </w:tc>
              <w:tc>
                <w:tcPr>
                  <w:tcW w:w="891" w:type="pct"/>
                  <w:noWrap w:val="0"/>
                  <w:vAlign w:val="center"/>
                </w:tcPr>
                <w:p w14:paraId="3D55E6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]29 号、韶环乐审</w:t>
                  </w:r>
                </w:p>
                <w:p w14:paraId="478F14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20B3E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47E38D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108</w:t>
                  </w:r>
                </w:p>
              </w:tc>
              <w:tc>
                <w:tcPr>
                  <w:tcW w:w="841" w:type="pct"/>
                  <w:noWrap w:val="0"/>
                  <w:vAlign w:val="center"/>
                </w:tcPr>
                <w:p w14:paraId="528CA3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乐昌市第二污水处理厂</w:t>
                  </w:r>
                </w:p>
              </w:tc>
              <w:tc>
                <w:tcPr>
                  <w:tcW w:w="234" w:type="pct"/>
                  <w:noWrap w:val="0"/>
                  <w:vAlign w:val="center"/>
                </w:tcPr>
                <w:p w14:paraId="0B0322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51C77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551" w:type="pct"/>
                  <w:noWrap w:val="0"/>
                  <w:vAlign w:val="center"/>
                </w:tcPr>
                <w:p w14:paraId="05844C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56850</w:t>
                  </w:r>
                </w:p>
              </w:tc>
              <w:tc>
                <w:tcPr>
                  <w:tcW w:w="1631" w:type="pct"/>
                  <w:noWrap w:val="0"/>
                  <w:vAlign w:val="center"/>
                </w:tcPr>
                <w:p w14:paraId="58D59F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处理量 30000 立方米/天</w:t>
                  </w:r>
                </w:p>
              </w:tc>
              <w:tc>
                <w:tcPr>
                  <w:tcW w:w="891" w:type="pct"/>
                  <w:noWrap w:val="0"/>
                  <w:vAlign w:val="center"/>
                </w:tcPr>
                <w:p w14:paraId="212AD0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韶环乐审〔2021〕07 号</w:t>
                  </w:r>
                </w:p>
              </w:tc>
            </w:tr>
            <w:tr w14:paraId="10C95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57190E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109</w:t>
                  </w:r>
                </w:p>
              </w:tc>
              <w:tc>
                <w:tcPr>
                  <w:tcW w:w="841" w:type="pct"/>
                  <w:noWrap w:val="0"/>
                  <w:vAlign w:val="center"/>
                </w:tcPr>
                <w:p w14:paraId="61EB30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乐昌市芬乐制衣有限公司</w:t>
                  </w:r>
                </w:p>
              </w:tc>
              <w:tc>
                <w:tcPr>
                  <w:tcW w:w="234" w:type="pct"/>
                  <w:noWrap w:val="0"/>
                  <w:vAlign w:val="center"/>
                </w:tcPr>
                <w:p w14:paraId="4BC9FB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69BBF6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551" w:type="pct"/>
                  <w:noWrap w:val="0"/>
                  <w:vAlign w:val="center"/>
                </w:tcPr>
                <w:p w14:paraId="55CD39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40000</w:t>
                  </w:r>
                </w:p>
              </w:tc>
              <w:tc>
                <w:tcPr>
                  <w:tcW w:w="1631" w:type="pct"/>
                  <w:noWrap w:val="0"/>
                  <w:vAlign w:val="center"/>
                </w:tcPr>
                <w:p w14:paraId="6EB8B84F">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服装、内衣裤、卫生用品类（纸内裤）、纺织品、第二类医疗</w:t>
                  </w:r>
                </w:p>
                <w:p w14:paraId="7C3E8836">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器械（医用口罩、防护服）、日用罩（非医用）</w:t>
                  </w:r>
                </w:p>
              </w:tc>
              <w:tc>
                <w:tcPr>
                  <w:tcW w:w="891" w:type="pct"/>
                  <w:noWrap w:val="0"/>
                  <w:vAlign w:val="center"/>
                </w:tcPr>
                <w:p w14:paraId="70A1E3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202044028100000158</w:t>
                  </w:r>
                </w:p>
              </w:tc>
            </w:tr>
            <w:tr w14:paraId="49B37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198" w:type="pct"/>
                  <w:noWrap w:val="0"/>
                  <w:vAlign w:val="center"/>
                </w:tcPr>
                <w:p w14:paraId="742688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w:t>
                  </w:r>
                </w:p>
              </w:tc>
              <w:tc>
                <w:tcPr>
                  <w:tcW w:w="841" w:type="pct"/>
                  <w:noWrap w:val="0"/>
                  <w:vAlign w:val="center"/>
                </w:tcPr>
                <w:p w14:paraId="51FE59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乐昌市瑞昊机械厂</w:t>
                  </w:r>
                </w:p>
              </w:tc>
              <w:tc>
                <w:tcPr>
                  <w:tcW w:w="234" w:type="pct"/>
                  <w:noWrap w:val="0"/>
                  <w:vAlign w:val="center"/>
                </w:tcPr>
                <w:p w14:paraId="54047F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8CC31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1C60D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600</w:t>
                  </w:r>
                </w:p>
              </w:tc>
              <w:tc>
                <w:tcPr>
                  <w:tcW w:w="1631" w:type="pct"/>
                  <w:noWrap w:val="0"/>
                  <w:vAlign w:val="center"/>
                </w:tcPr>
                <w:p w14:paraId="1A5B01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年加工金属机械零部件 360 吨</w:t>
                  </w:r>
                </w:p>
              </w:tc>
              <w:tc>
                <w:tcPr>
                  <w:tcW w:w="891" w:type="pct"/>
                  <w:noWrap w:val="0"/>
                  <w:vAlign w:val="center"/>
                </w:tcPr>
                <w:p w14:paraId="300D23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201744028100000317</w:t>
                  </w:r>
                </w:p>
              </w:tc>
            </w:tr>
            <w:tr w14:paraId="1617F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2082DA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111</w:t>
                  </w:r>
                </w:p>
              </w:tc>
              <w:tc>
                <w:tcPr>
                  <w:tcW w:w="841" w:type="pct"/>
                  <w:noWrap w:val="0"/>
                  <w:vAlign w:val="center"/>
                </w:tcPr>
                <w:p w14:paraId="68BBA9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广东创睿极光光电有限公司</w:t>
                  </w:r>
                </w:p>
              </w:tc>
              <w:tc>
                <w:tcPr>
                  <w:tcW w:w="234" w:type="pct"/>
                  <w:noWrap w:val="0"/>
                  <w:vAlign w:val="center"/>
                </w:tcPr>
                <w:p w14:paraId="0B54A3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092AF6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551" w:type="pct"/>
                  <w:noWrap w:val="0"/>
                  <w:vAlign w:val="center"/>
                </w:tcPr>
                <w:p w14:paraId="12B7F4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1735</w:t>
                  </w:r>
                </w:p>
              </w:tc>
              <w:tc>
                <w:tcPr>
                  <w:tcW w:w="1631" w:type="pct"/>
                  <w:noWrap w:val="0"/>
                  <w:vAlign w:val="center"/>
                </w:tcPr>
                <w:p w14:paraId="25D71C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年产约 2000 万条 LED 灯条</w:t>
                  </w:r>
                </w:p>
              </w:tc>
              <w:tc>
                <w:tcPr>
                  <w:tcW w:w="891" w:type="pct"/>
                  <w:noWrap w:val="0"/>
                  <w:vAlign w:val="center"/>
                </w:tcPr>
                <w:p w14:paraId="5BF456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201944028100000140</w:t>
                  </w:r>
                </w:p>
              </w:tc>
            </w:tr>
            <w:tr w14:paraId="021AF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198" w:type="pct"/>
                  <w:noWrap w:val="0"/>
                  <w:vAlign w:val="center"/>
                </w:tcPr>
                <w:p w14:paraId="0D50DD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w:t>
                  </w:r>
                </w:p>
              </w:tc>
              <w:tc>
                <w:tcPr>
                  <w:tcW w:w="841" w:type="pct"/>
                  <w:noWrap w:val="0"/>
                  <w:vAlign w:val="center"/>
                </w:tcPr>
                <w:p w14:paraId="31DA54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昇翰科技（广东）有限公司</w:t>
                  </w:r>
                </w:p>
              </w:tc>
              <w:tc>
                <w:tcPr>
                  <w:tcW w:w="234" w:type="pct"/>
                  <w:noWrap w:val="0"/>
                  <w:vAlign w:val="center"/>
                </w:tcPr>
                <w:p w14:paraId="5AED6E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650" w:type="pct"/>
                  <w:noWrap w:val="0"/>
                  <w:vAlign w:val="center"/>
                </w:tcPr>
                <w:p w14:paraId="50BDB3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06F665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1700</w:t>
                  </w:r>
                </w:p>
              </w:tc>
              <w:tc>
                <w:tcPr>
                  <w:tcW w:w="1631" w:type="pct"/>
                  <w:noWrap w:val="0"/>
                  <w:vAlign w:val="center"/>
                </w:tcPr>
                <w:p w14:paraId="4D18EA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生产加工滚珠螺母、滚珠丝杆、梯形螺母、梯形丝杆、传动</w:t>
                  </w:r>
                </w:p>
                <w:p w14:paraId="64AAAE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元件、直线导轨、直线滑块、自动化机械设备、电子元件、</w:t>
                  </w:r>
                </w:p>
                <w:p w14:paraId="0B83DC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电子材料、五金材料、自动化软硬件、电子产品。</w:t>
                  </w:r>
                </w:p>
              </w:tc>
              <w:tc>
                <w:tcPr>
                  <w:tcW w:w="891" w:type="pct"/>
                  <w:noWrap w:val="0"/>
                  <w:vAlign w:val="center"/>
                </w:tcPr>
                <w:p w14:paraId="64E1F3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202044028100000048</w:t>
                  </w:r>
                </w:p>
              </w:tc>
            </w:tr>
            <w:tr w14:paraId="483E1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98" w:type="pct"/>
                  <w:noWrap w:val="0"/>
                  <w:vAlign w:val="center"/>
                </w:tcPr>
                <w:p w14:paraId="772222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113</w:t>
                  </w:r>
                </w:p>
              </w:tc>
              <w:tc>
                <w:tcPr>
                  <w:tcW w:w="841" w:type="pct"/>
                  <w:noWrap w:val="0"/>
                  <w:vAlign w:val="center"/>
                </w:tcPr>
                <w:p w14:paraId="656F198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广东运南新材料有限公司</w:t>
                  </w:r>
                </w:p>
              </w:tc>
              <w:tc>
                <w:tcPr>
                  <w:tcW w:w="234" w:type="pct"/>
                  <w:noWrap w:val="0"/>
                  <w:vAlign w:val="center"/>
                </w:tcPr>
                <w:p w14:paraId="724717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5A18D5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废弃资源综合利用业</w:t>
                  </w:r>
                </w:p>
              </w:tc>
              <w:tc>
                <w:tcPr>
                  <w:tcW w:w="551" w:type="pct"/>
                  <w:noWrap w:val="0"/>
                  <w:vAlign w:val="center"/>
                </w:tcPr>
                <w:p w14:paraId="7F87CD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37346.12</w:t>
                  </w:r>
                </w:p>
              </w:tc>
              <w:tc>
                <w:tcPr>
                  <w:tcW w:w="1631" w:type="pct"/>
                  <w:noWrap w:val="0"/>
                  <w:vAlign w:val="center"/>
                </w:tcPr>
                <w:p w14:paraId="58E67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年产破碎料 7.1 万吨</w:t>
                  </w:r>
                </w:p>
              </w:tc>
              <w:tc>
                <w:tcPr>
                  <w:tcW w:w="891" w:type="pct"/>
                  <w:noWrap w:val="0"/>
                  <w:vAlign w:val="center"/>
                </w:tcPr>
                <w:p w14:paraId="46CFB5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韶环乐审〔2026〕05 号</w:t>
                  </w:r>
                </w:p>
              </w:tc>
            </w:tr>
            <w:tr w14:paraId="4EC67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98" w:type="pct"/>
                  <w:noWrap w:val="0"/>
                  <w:vAlign w:val="center"/>
                </w:tcPr>
                <w:p w14:paraId="7D9712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114</w:t>
                  </w:r>
                </w:p>
              </w:tc>
              <w:tc>
                <w:tcPr>
                  <w:tcW w:w="841" w:type="pct"/>
                  <w:noWrap w:val="0"/>
                  <w:vAlign w:val="center"/>
                </w:tcPr>
                <w:p w14:paraId="158315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韶关九为新材料有限公司</w:t>
                  </w:r>
                </w:p>
              </w:tc>
              <w:tc>
                <w:tcPr>
                  <w:tcW w:w="234" w:type="pct"/>
                  <w:noWrap w:val="0"/>
                  <w:vAlign w:val="center"/>
                </w:tcPr>
                <w:p w14:paraId="074B95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650" w:type="pct"/>
                  <w:noWrap w:val="0"/>
                  <w:vAlign w:val="center"/>
                </w:tcPr>
                <w:p w14:paraId="7923CA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551" w:type="pct"/>
                  <w:noWrap w:val="0"/>
                  <w:vAlign w:val="center"/>
                </w:tcPr>
                <w:p w14:paraId="6725FB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1631" w:type="pct"/>
                  <w:noWrap w:val="0"/>
                  <w:vAlign w:val="center"/>
                </w:tcPr>
                <w:p w14:paraId="08E47B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年产铝模板 50 万平方米</w:t>
                  </w:r>
                </w:p>
              </w:tc>
              <w:tc>
                <w:tcPr>
                  <w:tcW w:w="891" w:type="pct"/>
                  <w:noWrap w:val="0"/>
                  <w:vAlign w:val="center"/>
                </w:tcPr>
                <w:p w14:paraId="171FE2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韶环乐审〔2025〕26 号</w:t>
                  </w:r>
                </w:p>
              </w:tc>
            </w:tr>
            <w:bookmarkEnd w:id="47"/>
          </w:tbl>
          <w:p w14:paraId="34C985E2">
            <w:pPr>
              <w:pStyle w:val="112"/>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园区</w:t>
            </w:r>
            <w:r>
              <w:rPr>
                <w:rFonts w:hint="default" w:ascii="Times New Roman" w:hAnsi="Times New Roman" w:eastAsia="宋体" w:cs="Times New Roman"/>
                <w:b/>
                <w:bCs/>
                <w:color w:val="auto"/>
                <w:kern w:val="2"/>
                <w:sz w:val="21"/>
                <w:szCs w:val="21"/>
                <w:highlight w:val="none"/>
                <w:lang w:val="en-US" w:eastAsia="zh-CN" w:bidi="ar-SA"/>
              </w:rPr>
              <w:t>已通过审批企业三废排放情况汇总表</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62"/>
              <w:gridCol w:w="1704"/>
              <w:gridCol w:w="2948"/>
              <w:gridCol w:w="3566"/>
            </w:tblGrid>
            <w:tr w14:paraId="0AF8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noWrap w:val="0"/>
                  <w:vAlign w:val="center"/>
                </w:tcPr>
                <w:p w14:paraId="759BAC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环境影响因素</w:t>
                  </w:r>
                </w:p>
              </w:tc>
              <w:tc>
                <w:tcPr>
                  <w:tcW w:w="1921" w:type="pct"/>
                  <w:noWrap w:val="0"/>
                  <w:vAlign w:val="center"/>
                </w:tcPr>
                <w:p w14:paraId="25D1D7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排放量</w:t>
                  </w:r>
                </w:p>
              </w:tc>
            </w:tr>
            <w:tr w14:paraId="699C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72" w:type="pct"/>
                  <w:vMerge w:val="restart"/>
                  <w:noWrap w:val="0"/>
                  <w:vAlign w:val="center"/>
                </w:tcPr>
                <w:p w14:paraId="655CEE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18" w:type="pct"/>
                  <w:vMerge w:val="restart"/>
                  <w:noWrap w:val="0"/>
                  <w:vAlign w:val="center"/>
                </w:tcPr>
                <w:p w14:paraId="6DB825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587" w:type="pct"/>
                  <w:noWrap w:val="0"/>
                  <w:vAlign w:val="center"/>
                </w:tcPr>
                <w:p w14:paraId="79403E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废水量（m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p>
              </w:tc>
              <w:tc>
                <w:tcPr>
                  <w:tcW w:w="3583" w:type="dxa"/>
                  <w:noWrap w:val="0"/>
                  <w:vAlign w:val="center"/>
                </w:tcPr>
                <w:p w14:paraId="244618F3">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2462.21</w:t>
                  </w:r>
                </w:p>
              </w:tc>
            </w:tr>
            <w:tr w14:paraId="0BE5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63DDFC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592B20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1B7B7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COD（t/a）</w:t>
                  </w:r>
                </w:p>
              </w:tc>
              <w:tc>
                <w:tcPr>
                  <w:tcW w:w="3583" w:type="dxa"/>
                  <w:noWrap w:val="0"/>
                  <w:vAlign w:val="center"/>
                </w:tcPr>
                <w:p w14:paraId="753E55B0">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vertAlign w:val="baseline"/>
                      <w:lang w:val="en-US" w:eastAsia="zh-CN"/>
                    </w:rPr>
                    <w:t>30.39</w:t>
                  </w:r>
                </w:p>
              </w:tc>
            </w:tr>
            <w:tr w14:paraId="0B67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18DA3E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0F904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5C8830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氨氮（t/a）</w:t>
                  </w:r>
                </w:p>
              </w:tc>
              <w:tc>
                <w:tcPr>
                  <w:tcW w:w="3583" w:type="dxa"/>
                  <w:noWrap w:val="0"/>
                  <w:vAlign w:val="center"/>
                </w:tcPr>
                <w:p w14:paraId="52BC839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vertAlign w:val="baseline"/>
                      <w:lang w:val="en-US" w:eastAsia="zh-CN"/>
                    </w:rPr>
                    <w:t>3.794</w:t>
                  </w:r>
                </w:p>
              </w:tc>
            </w:tr>
            <w:tr w14:paraId="6A10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44A6D3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18" w:type="pct"/>
                  <w:vMerge w:val="restart"/>
                  <w:noWrap w:val="0"/>
                  <w:vAlign w:val="center"/>
                </w:tcPr>
                <w:p w14:paraId="1C8843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有组织排放</w:t>
                  </w:r>
                </w:p>
              </w:tc>
              <w:tc>
                <w:tcPr>
                  <w:tcW w:w="1587" w:type="pct"/>
                  <w:noWrap w:val="0"/>
                  <w:vAlign w:val="center"/>
                </w:tcPr>
                <w:p w14:paraId="0F66A9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（t/a）</w:t>
                  </w:r>
                </w:p>
              </w:tc>
              <w:tc>
                <w:tcPr>
                  <w:tcW w:w="3583" w:type="dxa"/>
                  <w:noWrap w:val="0"/>
                  <w:vAlign w:val="center"/>
                </w:tcPr>
                <w:p w14:paraId="6241E400">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6"/>
                      <w:sz w:val="21"/>
                      <w:szCs w:val="21"/>
                      <w:highlight w:val="none"/>
                    </w:rPr>
                    <w:t>1.44</w:t>
                  </w:r>
                </w:p>
              </w:tc>
            </w:tr>
            <w:tr w14:paraId="1CE5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2C90A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15FD55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61E0F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氮氧化物（t/a）</w:t>
                  </w:r>
                </w:p>
              </w:tc>
              <w:tc>
                <w:tcPr>
                  <w:tcW w:w="3583" w:type="dxa"/>
                  <w:noWrap w:val="0"/>
                  <w:vAlign w:val="center"/>
                </w:tcPr>
                <w:p w14:paraId="6252C5F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highlight w:val="none"/>
                    </w:rPr>
                    <w:t>14.78</w:t>
                  </w:r>
                </w:p>
              </w:tc>
            </w:tr>
            <w:tr w14:paraId="5E41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20362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26F166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0E1CF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烟（粉）尘（t/a）</w:t>
                  </w:r>
                </w:p>
              </w:tc>
              <w:tc>
                <w:tcPr>
                  <w:tcW w:w="3583" w:type="dxa"/>
                  <w:noWrap w:val="0"/>
                  <w:vAlign w:val="center"/>
                </w:tcPr>
                <w:p w14:paraId="1E2D0DB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vertAlign w:val="baseline"/>
                      <w:lang w:val="en-US" w:eastAsia="zh-CN"/>
                    </w:rPr>
                    <w:t>104.36</w:t>
                  </w:r>
                </w:p>
              </w:tc>
            </w:tr>
            <w:tr w14:paraId="5CE6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13766E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2924EF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07D2A9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非甲烷总烃（t/a）</w:t>
                  </w:r>
                </w:p>
              </w:tc>
              <w:tc>
                <w:tcPr>
                  <w:tcW w:w="3583" w:type="dxa"/>
                  <w:noWrap w:val="0"/>
                  <w:vAlign w:val="center"/>
                </w:tcPr>
                <w:p w14:paraId="545F23B5">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
                      <w:sz w:val="21"/>
                      <w:szCs w:val="21"/>
                      <w:highlight w:val="none"/>
                    </w:rPr>
                    <w:t>43.72</w:t>
                  </w:r>
                </w:p>
              </w:tc>
            </w:tr>
            <w:tr w14:paraId="4231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187DF1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w:t>
                  </w:r>
                </w:p>
                <w:p w14:paraId="0DD557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废物</w:t>
                  </w:r>
                </w:p>
              </w:tc>
              <w:tc>
                <w:tcPr>
                  <w:tcW w:w="2506" w:type="pct"/>
                  <w:gridSpan w:val="2"/>
                  <w:noWrap w:val="0"/>
                  <w:vAlign w:val="center"/>
                </w:tcPr>
                <w:p w14:paraId="49047C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危险废物（t/a）</w:t>
                  </w:r>
                </w:p>
              </w:tc>
              <w:tc>
                <w:tcPr>
                  <w:tcW w:w="3583" w:type="dxa"/>
                  <w:noWrap w:val="0"/>
                  <w:vAlign w:val="center"/>
                </w:tcPr>
                <w:p w14:paraId="64E06276">
                  <w:pPr>
                    <w:spacing w:line="240" w:lineRule="auto"/>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1"/>
                      <w:sz w:val="21"/>
                      <w:szCs w:val="21"/>
                      <w:highlight w:val="none"/>
                    </w:rPr>
                    <w:t>2278.37</w:t>
                  </w:r>
                  <w:r>
                    <w:rPr>
                      <w:rFonts w:hint="eastAsia" w:ascii="Times New Roman" w:hAnsi="Times New Roman" w:eastAsia="宋体" w:cs="Times New Roman"/>
                      <w:color w:val="auto"/>
                      <w:spacing w:val="-1"/>
                      <w:sz w:val="21"/>
                      <w:szCs w:val="21"/>
                      <w:highlight w:val="none"/>
                      <w:lang w:eastAsia="zh-CN"/>
                    </w:rPr>
                    <w:t>（</w:t>
                  </w:r>
                  <w:r>
                    <w:rPr>
                      <w:rFonts w:hint="eastAsia" w:ascii="Times New Roman" w:hAnsi="Times New Roman" w:eastAsia="宋体" w:cs="Times New Roman"/>
                      <w:color w:val="auto"/>
                      <w:spacing w:val="-1"/>
                      <w:sz w:val="21"/>
                      <w:szCs w:val="21"/>
                      <w:highlight w:val="none"/>
                      <w:lang w:val="en-US" w:eastAsia="zh-CN"/>
                    </w:rPr>
                    <w:t>委外处置</w:t>
                  </w:r>
                  <w:r>
                    <w:rPr>
                      <w:rFonts w:hint="eastAsia" w:ascii="Times New Roman" w:hAnsi="Times New Roman" w:eastAsia="宋体" w:cs="Times New Roman"/>
                      <w:color w:val="auto"/>
                      <w:spacing w:val="-1"/>
                      <w:sz w:val="21"/>
                      <w:szCs w:val="21"/>
                      <w:highlight w:val="none"/>
                      <w:lang w:eastAsia="zh-CN"/>
                    </w:rPr>
                    <w:t>）</w:t>
                  </w:r>
                </w:p>
              </w:tc>
            </w:tr>
            <w:tr w14:paraId="4C1B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693FAC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7E360B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一般固废（t/a）</w:t>
                  </w:r>
                </w:p>
              </w:tc>
              <w:tc>
                <w:tcPr>
                  <w:tcW w:w="3583" w:type="dxa"/>
                  <w:noWrap w:val="0"/>
                  <w:vAlign w:val="center"/>
                </w:tcPr>
                <w:p w14:paraId="19B62B8A">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174050.52</w:t>
                  </w:r>
                  <w:r>
                    <w:rPr>
                      <w:rFonts w:hint="default" w:ascii="Times New Roman" w:hAnsi="Times New Roman" w:eastAsia="宋体" w:cs="Times New Roman"/>
                      <w:i w:val="0"/>
                      <w:iCs w:val="0"/>
                      <w:color w:val="auto"/>
                      <w:kern w:val="0"/>
                      <w:sz w:val="21"/>
                      <w:szCs w:val="21"/>
                      <w:highlight w:val="none"/>
                      <w:u w:val="none"/>
                      <w:lang w:val="en-US" w:eastAsia="zh-CN"/>
                    </w:rPr>
                    <w:t>（综合利用，环卫清运）</w:t>
                  </w:r>
                </w:p>
              </w:tc>
            </w:tr>
            <w:tr w14:paraId="0840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6C2DA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14045B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生活垃圾（t/a）</w:t>
                  </w:r>
                </w:p>
              </w:tc>
              <w:tc>
                <w:tcPr>
                  <w:tcW w:w="3583" w:type="dxa"/>
                  <w:noWrap w:val="0"/>
                  <w:vAlign w:val="center"/>
                </w:tcPr>
                <w:p w14:paraId="1459D82F">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3129.21</w:t>
                  </w:r>
                  <w:r>
                    <w:rPr>
                      <w:rFonts w:hint="default" w:ascii="Times New Roman" w:hAnsi="Times New Roman" w:eastAsia="宋体" w:cs="Times New Roman"/>
                      <w:i w:val="0"/>
                      <w:iCs w:val="0"/>
                      <w:color w:val="auto"/>
                      <w:kern w:val="0"/>
                      <w:sz w:val="21"/>
                      <w:szCs w:val="21"/>
                      <w:highlight w:val="none"/>
                      <w:u w:val="none"/>
                      <w:lang w:val="en-US" w:eastAsia="zh-CN"/>
                    </w:rPr>
                    <w:t>（环卫清运）</w:t>
                  </w:r>
                </w:p>
              </w:tc>
            </w:tr>
          </w:tbl>
          <w:p w14:paraId="0E0DEDE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3、主要环境问题</w:t>
            </w:r>
          </w:p>
          <w:p w14:paraId="1C1C4AE2">
            <w:pPr>
              <w:keepNext w:val="0"/>
              <w:keepLines w:val="0"/>
              <w:pageBreakBefore w:val="0"/>
              <w:widowControl/>
              <w:kinsoku/>
              <w:wordWrap/>
              <w:overflowPunct/>
              <w:topLinePunct w:val="0"/>
              <w:autoSpaceDE/>
              <w:autoSpaceDN/>
              <w:bidi w:val="0"/>
              <w:adjustRightInd/>
              <w:snapToGrid/>
              <w:ind w:firstLine="480" w:firstLineChars="200"/>
              <w:jc w:val="left"/>
              <w:textAlignment w:val="auto"/>
              <w:rPr>
                <w:color w:val="auto"/>
                <w:highlight w:val="none"/>
              </w:rPr>
            </w:pPr>
            <w:r>
              <w:rPr>
                <w:rFonts w:hint="default" w:ascii="Times New Roman" w:hAnsi="Times New Roman" w:eastAsia="宋体" w:cs="Times New Roman"/>
                <w:color w:val="auto"/>
                <w:kern w:val="0"/>
                <w:sz w:val="24"/>
                <w:highlight w:val="none"/>
              </w:rPr>
              <w:t>环境质量现状监测数据表明，项目所在区域各类环境要素均能达到相应的环境规划要求，无突出环境问题。</w:t>
            </w:r>
          </w:p>
          <w:p w14:paraId="0766FED6">
            <w:pPr>
              <w:pStyle w:val="2"/>
              <w:rPr>
                <w:rFonts w:ascii="Times New Roman" w:cs="Times New Roman"/>
                <w:color w:val="auto"/>
                <w:highlight w:val="none"/>
              </w:rPr>
            </w:pPr>
          </w:p>
          <w:p w14:paraId="0B4D2D54">
            <w:pPr>
              <w:pStyle w:val="56"/>
              <w:rPr>
                <w:rFonts w:ascii="Times New Roman" w:cs="Times New Roman"/>
                <w:color w:val="auto"/>
                <w:highlight w:val="none"/>
              </w:rPr>
            </w:pPr>
          </w:p>
          <w:p w14:paraId="5A79FB63">
            <w:pPr>
              <w:rPr>
                <w:rFonts w:ascii="Times New Roman" w:cs="Times New Roman"/>
                <w:color w:val="auto"/>
                <w:highlight w:val="none"/>
              </w:rPr>
            </w:pPr>
          </w:p>
          <w:p w14:paraId="2D098FD1">
            <w:pPr>
              <w:pStyle w:val="2"/>
              <w:rPr>
                <w:rFonts w:ascii="Times New Roman" w:cs="Times New Roman"/>
                <w:color w:val="auto"/>
                <w:highlight w:val="none"/>
              </w:rPr>
            </w:pPr>
          </w:p>
          <w:p w14:paraId="26A7608D">
            <w:pPr>
              <w:pStyle w:val="56"/>
              <w:rPr>
                <w:rFonts w:ascii="Times New Roman" w:cs="Times New Roman"/>
                <w:color w:val="auto"/>
                <w:highlight w:val="none"/>
              </w:rPr>
            </w:pPr>
          </w:p>
          <w:p w14:paraId="38743D33">
            <w:pPr>
              <w:rPr>
                <w:rFonts w:ascii="Times New Roman" w:cs="Times New Roman"/>
                <w:color w:val="auto"/>
                <w:highlight w:val="none"/>
              </w:rPr>
            </w:pPr>
          </w:p>
          <w:p w14:paraId="25E2421C">
            <w:pPr>
              <w:pStyle w:val="2"/>
              <w:rPr>
                <w:rFonts w:ascii="Times New Roman" w:cs="Times New Roman"/>
                <w:color w:val="auto"/>
                <w:highlight w:val="none"/>
              </w:rPr>
            </w:pPr>
          </w:p>
          <w:p w14:paraId="418BE5BF">
            <w:pPr>
              <w:pStyle w:val="56"/>
              <w:rPr>
                <w:rFonts w:ascii="Times New Roman" w:cs="Times New Roman"/>
                <w:color w:val="auto"/>
                <w:highlight w:val="none"/>
              </w:rPr>
            </w:pPr>
          </w:p>
          <w:p w14:paraId="26720DC0">
            <w:pPr>
              <w:rPr>
                <w:rFonts w:ascii="Times New Roman" w:cs="Times New Roman"/>
                <w:color w:val="auto"/>
                <w:highlight w:val="none"/>
              </w:rPr>
            </w:pPr>
          </w:p>
          <w:p w14:paraId="7651BFFC">
            <w:pPr>
              <w:pStyle w:val="2"/>
              <w:rPr>
                <w:rFonts w:ascii="Times New Roman" w:cs="Times New Roman"/>
                <w:color w:val="auto"/>
                <w:highlight w:val="none"/>
              </w:rPr>
            </w:pPr>
          </w:p>
          <w:p w14:paraId="69ABF6BE">
            <w:pPr>
              <w:pStyle w:val="56"/>
              <w:rPr>
                <w:rFonts w:ascii="Times New Roman" w:cs="Times New Roman"/>
                <w:color w:val="auto"/>
                <w:highlight w:val="none"/>
              </w:rPr>
            </w:pPr>
          </w:p>
          <w:p w14:paraId="37C3AF29">
            <w:pPr>
              <w:rPr>
                <w:color w:val="auto"/>
                <w:highlight w:val="none"/>
              </w:rPr>
            </w:pPr>
          </w:p>
        </w:tc>
      </w:tr>
    </w:tbl>
    <w:p w14:paraId="4F90A510">
      <w:pPr>
        <w:rPr>
          <w:rFonts w:ascii="黑体" w:hAnsi="黑体" w:cs="黑体"/>
          <w:color w:val="auto"/>
          <w:kern w:val="44"/>
          <w:sz w:val="30"/>
          <w:szCs w:val="30"/>
          <w:highlight w:val="none"/>
        </w:rPr>
      </w:pPr>
      <w:bookmarkStart w:id="48" w:name="_Toc29511"/>
      <w:r>
        <w:rPr>
          <w:rFonts w:hint="eastAsia" w:ascii="黑体" w:hAnsi="黑体" w:cs="黑体"/>
          <w:color w:val="auto"/>
          <w:kern w:val="44"/>
          <w:sz w:val="30"/>
          <w:szCs w:val="30"/>
          <w:highlight w:val="none"/>
        </w:rPr>
        <w:br w:type="page"/>
      </w:r>
    </w:p>
    <w:p w14:paraId="6D73D9BB">
      <w:pPr>
        <w:pStyle w:val="18"/>
        <w:numPr>
          <w:ilvl w:val="0"/>
          <w:numId w:val="0"/>
        </w:numPr>
        <w:rPr>
          <w:rFonts w:cs="Times New Roman"/>
          <w:b/>
          <w:bCs/>
          <w:color w:val="auto"/>
          <w:highlight w:val="none"/>
        </w:rPr>
      </w:pPr>
      <w:bookmarkStart w:id="49" w:name="_Toc30376"/>
      <w:bookmarkStart w:id="50" w:name="_Toc27825"/>
      <w:r>
        <w:rPr>
          <w:rFonts w:hint="eastAsia" w:ascii="黑体" w:hAnsi="黑体" w:cs="黑体"/>
          <w:b/>
          <w:bCs/>
          <w:color w:val="auto"/>
          <w:highlight w:val="none"/>
        </w:rPr>
        <w:t>三、</w:t>
      </w:r>
      <w:r>
        <w:rPr>
          <w:rFonts w:cs="Times New Roman"/>
          <w:b/>
          <w:bCs/>
          <w:color w:val="auto"/>
          <w:highlight w:val="none"/>
        </w:rPr>
        <w:t>区域环境质量现状、环境保护目标及评价标准</w:t>
      </w:r>
      <w:bookmarkEnd w:id="48"/>
      <w:bookmarkEnd w:id="49"/>
      <w:bookmarkEnd w:id="50"/>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9440"/>
      </w:tblGrid>
      <w:tr w14:paraId="42DE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262" w:type="pct"/>
            <w:vAlign w:val="center"/>
          </w:tcPr>
          <w:p w14:paraId="711A22AF">
            <w:pPr>
              <w:keepNext/>
              <w:widowControl/>
              <w:numPr>
                <w:ilvl w:val="1"/>
                <w:numId w:val="0"/>
              </w:numPr>
              <w:tabs>
                <w:tab w:val="left" w:pos="420"/>
              </w:tabs>
              <w:snapToGrid w:val="0"/>
              <w:rPr>
                <w:color w:val="auto"/>
                <w:highlight w:val="none"/>
              </w:rPr>
            </w:pPr>
            <w:bookmarkStart w:id="51" w:name="_Toc24283"/>
            <w:bookmarkStart w:id="52" w:name="_Toc21642"/>
            <w:bookmarkStart w:id="53" w:name="_Toc14318"/>
            <w:bookmarkStart w:id="54" w:name="_Toc21960"/>
            <w:bookmarkStart w:id="55" w:name="_Toc11366"/>
            <w:r>
              <w:rPr>
                <w:b/>
                <w:bCs/>
                <w:color w:val="auto"/>
                <w:highlight w:val="none"/>
              </w:rPr>
              <w:t>区域环境质量现状</w:t>
            </w:r>
            <w:bookmarkEnd w:id="51"/>
            <w:bookmarkEnd w:id="52"/>
            <w:bookmarkEnd w:id="53"/>
            <w:bookmarkEnd w:id="54"/>
            <w:bookmarkEnd w:id="55"/>
          </w:p>
        </w:tc>
        <w:tc>
          <w:tcPr>
            <w:tcW w:w="4737" w:type="pct"/>
          </w:tcPr>
          <w:p w14:paraId="6FB9C76D">
            <w:pPr>
              <w:pStyle w:val="10"/>
              <w:numPr>
                <w:ilvl w:val="2"/>
                <w:numId w:val="0"/>
              </w:numPr>
              <w:ind w:left="-2" w:firstLine="482"/>
              <w:rPr>
                <w:color w:val="auto"/>
                <w:highlight w:val="none"/>
              </w:rPr>
            </w:pPr>
            <w:r>
              <w:rPr>
                <w:color w:val="auto"/>
                <w:highlight w:val="none"/>
              </w:rPr>
              <w:t>一、环境空气质量现状</w:t>
            </w:r>
          </w:p>
          <w:p w14:paraId="6608075B">
            <w:pPr>
              <w:pStyle w:val="2"/>
              <w:ind w:firstLine="480" w:firstLineChars="200"/>
              <w:rPr>
                <w:rFonts w:ascii="Times New Roman" w:cs="Times New Roman"/>
                <w:b/>
                <w:bCs/>
                <w:color w:val="auto"/>
                <w:highlight w:val="none"/>
              </w:rPr>
            </w:pPr>
            <w:r>
              <w:rPr>
                <w:rFonts w:ascii="Times New Roman" w:cs="Times New Roman"/>
                <w:b/>
                <w:bCs/>
                <w:color w:val="auto"/>
                <w:highlight w:val="none"/>
              </w:rPr>
              <w:t>（1）项目所在区域达标判定</w:t>
            </w:r>
          </w:p>
          <w:p w14:paraId="46E62012">
            <w:pPr>
              <w:pStyle w:val="2"/>
              <w:ind w:firstLine="480" w:firstLineChars="200"/>
              <w:rPr>
                <w:rFonts w:ascii="Times New Roman" w:cs="Times New Roman"/>
                <w:color w:val="auto"/>
                <w:highlight w:val="none"/>
              </w:rPr>
            </w:pPr>
            <w:r>
              <w:rPr>
                <w:rFonts w:ascii="Times New Roman" w:cs="Times New Roman"/>
                <w:color w:val="auto"/>
                <w:highlight w:val="none"/>
              </w:rPr>
              <w:t>根据《韶关市生态环境保护战略规划（2020-2035）》，本项目选址周围空气环境质量功能区划为二类功能区，因此项目所在区域环境空气质量执行国家《环境空气质量标准》（GB3095-20</w:t>
            </w:r>
            <w:r>
              <w:rPr>
                <w:rFonts w:hint="eastAsia" w:ascii="Times New Roman" w:cs="Times New Roman"/>
                <w:color w:val="auto"/>
                <w:highlight w:val="none"/>
                <w:lang w:val="en-US" w:eastAsia="zh-CN"/>
              </w:rPr>
              <w:t>26</w:t>
            </w:r>
            <w:r>
              <w:rPr>
                <w:rFonts w:ascii="Times New Roman" w:cs="Times New Roman"/>
                <w:color w:val="auto"/>
                <w:highlight w:val="none"/>
              </w:rPr>
              <w:t>）</w:t>
            </w:r>
            <w:r>
              <w:rPr>
                <w:rFonts w:hint="eastAsia" w:ascii="Times New Roman" w:cs="Times New Roman"/>
                <w:color w:val="auto"/>
                <w:highlight w:val="none"/>
                <w:lang w:val="en-US" w:eastAsia="zh-CN"/>
              </w:rPr>
              <w:t>过渡阶段浓度限值</w:t>
            </w:r>
            <w:r>
              <w:rPr>
                <w:rFonts w:ascii="Times New Roman" w:cs="Times New Roman"/>
                <w:color w:val="auto"/>
                <w:highlight w:val="none"/>
              </w:rPr>
              <w:t>二级标准。</w:t>
            </w:r>
          </w:p>
          <w:p w14:paraId="6C8FA663">
            <w:pPr>
              <w:pStyle w:val="2"/>
              <w:ind w:firstLine="480" w:firstLineChars="200"/>
              <w:rPr>
                <w:rFonts w:ascii="Times New Roman" w:cs="Times New Roman"/>
                <w:color w:val="auto"/>
                <w:highlight w:val="none"/>
              </w:rPr>
            </w:pPr>
            <w:r>
              <w:rPr>
                <w:rFonts w:ascii="Times New Roman" w:cs="Times New Roman"/>
                <w:color w:val="auto"/>
                <w:highlight w:val="none"/>
              </w:rPr>
              <w:t>根据《韶关市生态环境状况公报》（202</w:t>
            </w:r>
            <w:r>
              <w:rPr>
                <w:rFonts w:hint="eastAsia" w:ascii="Times New Roman" w:cs="Times New Roman"/>
                <w:color w:val="auto"/>
                <w:highlight w:val="none"/>
              </w:rPr>
              <w:t>4</w:t>
            </w:r>
            <w:r>
              <w:rPr>
                <w:rFonts w:ascii="Times New Roman" w:cs="Times New Roman"/>
                <w:color w:val="auto"/>
                <w:highlight w:val="none"/>
              </w:rPr>
              <w:t>年），</w:t>
            </w:r>
            <w:r>
              <w:rPr>
                <w:rFonts w:hint="eastAsia"/>
                <w:color w:val="auto"/>
                <w:highlight w:val="none"/>
              </w:rPr>
              <w:t>乐昌市</w:t>
            </w:r>
            <w:r>
              <w:rPr>
                <w:rFonts w:ascii="Times New Roman" w:cs="Times New Roman"/>
                <w:color w:val="auto"/>
                <w:highlight w:val="none"/>
              </w:rPr>
              <w:t>各常规监测因子均可满足国家《环境空气质量标准》（GB3095-20</w:t>
            </w:r>
            <w:r>
              <w:rPr>
                <w:rFonts w:hint="eastAsia" w:ascii="Times New Roman" w:cs="Times New Roman"/>
                <w:color w:val="auto"/>
                <w:highlight w:val="none"/>
                <w:lang w:val="en-US" w:eastAsia="zh-CN"/>
              </w:rPr>
              <w:t>26</w:t>
            </w:r>
            <w:r>
              <w:rPr>
                <w:rFonts w:ascii="Times New Roman" w:cs="Times New Roman"/>
                <w:color w:val="auto"/>
                <w:highlight w:val="none"/>
              </w:rPr>
              <w:t>）</w:t>
            </w:r>
            <w:r>
              <w:rPr>
                <w:rFonts w:hint="eastAsia" w:ascii="Times New Roman" w:cs="Times New Roman"/>
                <w:color w:val="auto"/>
                <w:highlight w:val="none"/>
                <w:lang w:val="en-US" w:eastAsia="zh-CN"/>
              </w:rPr>
              <w:t>过渡阶段浓度限值</w:t>
            </w:r>
            <w:r>
              <w:rPr>
                <w:rFonts w:ascii="Times New Roman" w:cs="Times New Roman"/>
                <w:color w:val="auto"/>
                <w:highlight w:val="none"/>
              </w:rPr>
              <w:t>二级标准要求，本项目所在区域属于达标区，详见下表。</w:t>
            </w:r>
          </w:p>
          <w:p w14:paraId="01EB0F34">
            <w:pPr>
              <w:tabs>
                <w:tab w:val="left" w:pos="0"/>
              </w:tabs>
              <w:ind w:firstLine="40"/>
              <w:jc w:val="center"/>
              <w:rPr>
                <w:b/>
                <w:bCs/>
                <w:color w:val="auto"/>
                <w:sz w:val="21"/>
                <w:szCs w:val="21"/>
                <w:highlight w:val="none"/>
              </w:rPr>
            </w:pPr>
            <w:bookmarkStart w:id="56" w:name="_Toc19677"/>
            <w:bookmarkStart w:id="57" w:name="_Toc26003"/>
            <w:bookmarkStart w:id="58" w:name="_Toc944"/>
            <w:r>
              <w:rPr>
                <w:b/>
                <w:bCs/>
                <w:color w:val="auto"/>
                <w:sz w:val="21"/>
                <w:szCs w:val="21"/>
                <w:highlight w:val="none"/>
              </w:rPr>
              <w:t>表3-1</w:t>
            </w:r>
            <w:r>
              <w:rPr>
                <w:rFonts w:hint="eastAsia"/>
                <w:b/>
                <w:bCs/>
                <w:color w:val="auto"/>
                <w:sz w:val="21"/>
                <w:szCs w:val="21"/>
                <w:highlight w:val="none"/>
              </w:rPr>
              <w:t>乐昌市</w:t>
            </w:r>
            <w:r>
              <w:rPr>
                <w:b/>
                <w:bCs/>
                <w:color w:val="auto"/>
                <w:sz w:val="21"/>
                <w:szCs w:val="21"/>
                <w:highlight w:val="none"/>
              </w:rPr>
              <w:t>区域空气质量现状评价表</w:t>
            </w:r>
          </w:p>
          <w:bookmarkEnd w:id="56"/>
          <w:bookmarkEnd w:id="57"/>
          <w:bookmarkEnd w:id="58"/>
          <w:tbl>
            <w:tblPr>
              <w:tblStyle w:val="49"/>
              <w:tblW w:w="4998" w:type="pct"/>
              <w:jc w:val="center"/>
              <w:tblLayout w:type="fixed"/>
              <w:tblCellMar>
                <w:top w:w="0" w:type="dxa"/>
                <w:left w:w="108" w:type="dxa"/>
                <w:bottom w:w="0" w:type="dxa"/>
                <w:right w:w="108" w:type="dxa"/>
              </w:tblCellMar>
            </w:tblPr>
            <w:tblGrid>
              <w:gridCol w:w="1234"/>
              <w:gridCol w:w="3295"/>
              <w:gridCol w:w="1601"/>
              <w:gridCol w:w="1411"/>
              <w:gridCol w:w="1679"/>
            </w:tblGrid>
            <w:tr w14:paraId="4E429E30">
              <w:tblPrEx>
                <w:tblCellMar>
                  <w:top w:w="0" w:type="dxa"/>
                  <w:left w:w="108" w:type="dxa"/>
                  <w:bottom w:w="0" w:type="dxa"/>
                  <w:right w:w="108" w:type="dxa"/>
                </w:tblCellMar>
              </w:tblPrEx>
              <w:trPr>
                <w:trHeight w:val="763"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302D4">
                  <w:pPr>
                    <w:widowControl/>
                    <w:spacing w:line="276" w:lineRule="auto"/>
                    <w:jc w:val="center"/>
                    <w:textAlignment w:val="center"/>
                    <w:rPr>
                      <w:b/>
                      <w:bCs/>
                      <w:color w:val="auto"/>
                      <w:sz w:val="21"/>
                      <w:szCs w:val="21"/>
                      <w:highlight w:val="none"/>
                    </w:rPr>
                  </w:pPr>
                  <w:r>
                    <w:rPr>
                      <w:b/>
                      <w:bCs/>
                      <w:color w:val="auto"/>
                      <w:kern w:val="0"/>
                      <w:sz w:val="21"/>
                      <w:szCs w:val="21"/>
                      <w:highlight w:val="none"/>
                    </w:rPr>
                    <w:t>污染物</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12EA5">
                  <w:pPr>
                    <w:widowControl/>
                    <w:spacing w:line="276" w:lineRule="auto"/>
                    <w:jc w:val="center"/>
                    <w:textAlignment w:val="center"/>
                    <w:rPr>
                      <w:b/>
                      <w:bCs/>
                      <w:color w:val="auto"/>
                      <w:sz w:val="21"/>
                      <w:szCs w:val="21"/>
                      <w:highlight w:val="none"/>
                    </w:rPr>
                  </w:pPr>
                  <w:r>
                    <w:rPr>
                      <w:b/>
                      <w:bCs/>
                      <w:color w:val="auto"/>
                      <w:kern w:val="0"/>
                      <w:sz w:val="21"/>
                      <w:szCs w:val="21"/>
                      <w:highlight w:val="none"/>
                    </w:rPr>
                    <w:t>年评价指标</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4F00">
                  <w:pPr>
                    <w:widowControl/>
                    <w:spacing w:line="276" w:lineRule="auto"/>
                    <w:jc w:val="center"/>
                    <w:textAlignment w:val="center"/>
                    <w:rPr>
                      <w:b/>
                      <w:bCs/>
                      <w:color w:val="auto"/>
                      <w:sz w:val="21"/>
                      <w:szCs w:val="21"/>
                      <w:highlight w:val="none"/>
                    </w:rPr>
                  </w:pPr>
                  <w:r>
                    <w:rPr>
                      <w:b/>
                      <w:bCs/>
                      <w:color w:val="auto"/>
                      <w:kern w:val="0"/>
                      <w:sz w:val="21"/>
                      <w:szCs w:val="21"/>
                      <w:highlight w:val="none"/>
                    </w:rPr>
                    <w:t>现状浓度</w:t>
                  </w:r>
                  <w:r>
                    <w:rPr>
                      <w:b/>
                      <w:bCs/>
                      <w:color w:val="auto"/>
                      <w:kern w:val="0"/>
                      <w:sz w:val="21"/>
                      <w:szCs w:val="21"/>
                      <w:highlight w:val="none"/>
                    </w:rPr>
                    <w:br w:type="textWrapping"/>
                  </w:r>
                  <w:r>
                    <w:rPr>
                      <w:b/>
                      <w:bCs/>
                      <w:color w:val="auto"/>
                      <w:kern w:val="0"/>
                      <w:sz w:val="21"/>
                      <w:szCs w:val="21"/>
                      <w:highlight w:val="none"/>
                    </w:rPr>
                    <w:t>（μg/m</w:t>
                  </w:r>
                  <w:r>
                    <w:rPr>
                      <w:b/>
                      <w:bCs/>
                      <w:color w:val="auto"/>
                      <w:kern w:val="0"/>
                      <w:sz w:val="21"/>
                      <w:szCs w:val="21"/>
                      <w:highlight w:val="none"/>
                      <w:vertAlign w:val="superscript"/>
                    </w:rPr>
                    <w:t>3</w:t>
                  </w:r>
                  <w:r>
                    <w:rPr>
                      <w:b/>
                      <w:bCs/>
                      <w:color w:val="auto"/>
                      <w:kern w:val="0"/>
                      <w:sz w:val="21"/>
                      <w:szCs w:val="21"/>
                      <w:highlight w:val="none"/>
                    </w:rPr>
                    <w:t>）</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B653">
                  <w:pPr>
                    <w:widowControl/>
                    <w:spacing w:line="276" w:lineRule="auto"/>
                    <w:jc w:val="center"/>
                    <w:textAlignment w:val="center"/>
                    <w:rPr>
                      <w:b/>
                      <w:bCs/>
                      <w:color w:val="auto"/>
                      <w:sz w:val="21"/>
                      <w:szCs w:val="21"/>
                      <w:highlight w:val="none"/>
                    </w:rPr>
                  </w:pPr>
                  <w:r>
                    <w:rPr>
                      <w:b/>
                      <w:bCs/>
                      <w:color w:val="auto"/>
                      <w:kern w:val="0"/>
                      <w:sz w:val="21"/>
                      <w:szCs w:val="21"/>
                      <w:highlight w:val="none"/>
                    </w:rPr>
                    <w:t>标准值</w:t>
                  </w:r>
                  <w:r>
                    <w:rPr>
                      <w:b/>
                      <w:bCs/>
                      <w:color w:val="auto"/>
                      <w:kern w:val="0"/>
                      <w:sz w:val="21"/>
                      <w:szCs w:val="21"/>
                      <w:highlight w:val="none"/>
                    </w:rPr>
                    <w:br w:type="textWrapping"/>
                  </w:r>
                  <w:r>
                    <w:rPr>
                      <w:b/>
                      <w:bCs/>
                      <w:color w:val="auto"/>
                      <w:kern w:val="0"/>
                      <w:sz w:val="21"/>
                      <w:szCs w:val="21"/>
                      <w:highlight w:val="none"/>
                    </w:rPr>
                    <w:t>（μg/m</w:t>
                  </w:r>
                  <w:r>
                    <w:rPr>
                      <w:b/>
                      <w:bCs/>
                      <w:color w:val="auto"/>
                      <w:kern w:val="0"/>
                      <w:sz w:val="21"/>
                      <w:szCs w:val="21"/>
                      <w:highlight w:val="none"/>
                      <w:vertAlign w:val="superscript"/>
                    </w:rPr>
                    <w:t>3</w:t>
                  </w:r>
                  <w:r>
                    <w:rPr>
                      <w:b/>
                      <w:bCs/>
                      <w:color w:val="auto"/>
                      <w:kern w:val="0"/>
                      <w:sz w:val="21"/>
                      <w:szCs w:val="21"/>
                      <w:highlight w:val="none"/>
                    </w:rPr>
                    <w:t>）</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C2F4C">
                  <w:pPr>
                    <w:widowControl/>
                    <w:spacing w:line="276" w:lineRule="auto"/>
                    <w:jc w:val="center"/>
                    <w:textAlignment w:val="center"/>
                    <w:rPr>
                      <w:b/>
                      <w:bCs/>
                      <w:color w:val="auto"/>
                      <w:sz w:val="21"/>
                      <w:szCs w:val="21"/>
                      <w:highlight w:val="none"/>
                    </w:rPr>
                  </w:pPr>
                  <w:r>
                    <w:rPr>
                      <w:b/>
                      <w:bCs/>
                      <w:color w:val="auto"/>
                      <w:kern w:val="0"/>
                      <w:sz w:val="21"/>
                      <w:szCs w:val="21"/>
                      <w:highlight w:val="none"/>
                    </w:rPr>
                    <w:t>达标情况</w:t>
                  </w:r>
                </w:p>
              </w:tc>
            </w:tr>
            <w:tr w14:paraId="53A2ABE6">
              <w:tblPrEx>
                <w:tblCellMar>
                  <w:top w:w="0" w:type="dxa"/>
                  <w:left w:w="108" w:type="dxa"/>
                  <w:bottom w:w="0" w:type="dxa"/>
                  <w:right w:w="108" w:type="dxa"/>
                </w:tblCellMar>
              </w:tblPrEx>
              <w:trPr>
                <w:trHeight w:val="386"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B36F6">
                  <w:pPr>
                    <w:widowControl/>
                    <w:spacing w:line="276" w:lineRule="auto"/>
                    <w:jc w:val="center"/>
                    <w:textAlignment w:val="center"/>
                    <w:rPr>
                      <w:color w:val="auto"/>
                      <w:sz w:val="21"/>
                      <w:szCs w:val="21"/>
                      <w:highlight w:val="none"/>
                    </w:rPr>
                  </w:pPr>
                  <w:r>
                    <w:rPr>
                      <w:color w:val="auto"/>
                      <w:kern w:val="0"/>
                      <w:sz w:val="21"/>
                      <w:szCs w:val="21"/>
                      <w:highlight w:val="none"/>
                    </w:rPr>
                    <w:t>SO</w:t>
                  </w:r>
                  <w:r>
                    <w:rPr>
                      <w:color w:val="auto"/>
                      <w:kern w:val="0"/>
                      <w:sz w:val="21"/>
                      <w:szCs w:val="21"/>
                      <w:highlight w:val="none"/>
                      <w:vertAlign w:val="subscript"/>
                    </w:rPr>
                    <w:t>2</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BECEB">
                  <w:pPr>
                    <w:widowControl/>
                    <w:spacing w:line="276" w:lineRule="auto"/>
                    <w:jc w:val="center"/>
                    <w:textAlignment w:val="center"/>
                    <w:rPr>
                      <w:color w:val="auto"/>
                      <w:sz w:val="21"/>
                      <w:szCs w:val="21"/>
                      <w:highlight w:val="none"/>
                    </w:rPr>
                  </w:pPr>
                  <w:r>
                    <w:rPr>
                      <w:color w:val="auto"/>
                      <w:kern w:val="0"/>
                      <w:sz w:val="21"/>
                      <w:szCs w:val="21"/>
                      <w:highlight w:val="none"/>
                    </w:rPr>
                    <w:t>年平均质量浓度</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B6B44">
                  <w:pPr>
                    <w:widowControl/>
                    <w:jc w:val="center"/>
                    <w:textAlignment w:val="center"/>
                    <w:rPr>
                      <w:color w:val="auto"/>
                      <w:sz w:val="21"/>
                      <w:szCs w:val="21"/>
                      <w:highlight w:val="none"/>
                    </w:rPr>
                  </w:pPr>
                  <w:r>
                    <w:rPr>
                      <w:rFonts w:hint="eastAsia"/>
                      <w:color w:val="auto"/>
                      <w:spacing w:val="-2"/>
                      <w:kern w:val="0"/>
                      <w:sz w:val="21"/>
                      <w:szCs w:val="21"/>
                      <w:highlight w:val="none"/>
                      <w:lang w:val="en-US" w:eastAsia="zh-CN"/>
                    </w:rPr>
                    <w:t>6</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B339">
                  <w:pPr>
                    <w:widowControl/>
                    <w:jc w:val="center"/>
                    <w:textAlignment w:val="center"/>
                    <w:rPr>
                      <w:color w:val="auto"/>
                      <w:sz w:val="21"/>
                      <w:szCs w:val="21"/>
                      <w:highlight w:val="none"/>
                    </w:rPr>
                  </w:pPr>
                  <w:r>
                    <w:rPr>
                      <w:rFonts w:hint="eastAsia"/>
                      <w:color w:val="auto"/>
                      <w:spacing w:val="-2"/>
                      <w:kern w:val="0"/>
                      <w:sz w:val="21"/>
                      <w:szCs w:val="21"/>
                      <w:highlight w:val="none"/>
                    </w:rPr>
                    <w:t>60</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A7E7">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r w14:paraId="25A470AF">
              <w:tblPrEx>
                <w:tblCellMar>
                  <w:top w:w="0" w:type="dxa"/>
                  <w:left w:w="108" w:type="dxa"/>
                  <w:bottom w:w="0" w:type="dxa"/>
                  <w:right w:w="108" w:type="dxa"/>
                </w:tblCellMar>
              </w:tblPrEx>
              <w:trPr>
                <w:trHeight w:val="386"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181E1">
                  <w:pPr>
                    <w:widowControl/>
                    <w:spacing w:line="276" w:lineRule="auto"/>
                    <w:jc w:val="center"/>
                    <w:textAlignment w:val="center"/>
                    <w:rPr>
                      <w:color w:val="auto"/>
                      <w:sz w:val="21"/>
                      <w:szCs w:val="21"/>
                      <w:highlight w:val="none"/>
                    </w:rPr>
                  </w:pPr>
                  <w:r>
                    <w:rPr>
                      <w:color w:val="auto"/>
                      <w:kern w:val="0"/>
                      <w:sz w:val="21"/>
                      <w:szCs w:val="21"/>
                      <w:highlight w:val="none"/>
                    </w:rPr>
                    <w:t>NO</w:t>
                  </w:r>
                  <w:r>
                    <w:rPr>
                      <w:color w:val="auto"/>
                      <w:kern w:val="0"/>
                      <w:sz w:val="21"/>
                      <w:szCs w:val="21"/>
                      <w:highlight w:val="none"/>
                      <w:vertAlign w:val="subscript"/>
                    </w:rPr>
                    <w:t>2</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D76F">
                  <w:pPr>
                    <w:widowControl/>
                    <w:spacing w:line="276" w:lineRule="auto"/>
                    <w:jc w:val="center"/>
                    <w:textAlignment w:val="center"/>
                    <w:rPr>
                      <w:color w:val="auto"/>
                      <w:sz w:val="21"/>
                      <w:szCs w:val="21"/>
                      <w:highlight w:val="none"/>
                    </w:rPr>
                  </w:pPr>
                  <w:r>
                    <w:rPr>
                      <w:color w:val="auto"/>
                      <w:kern w:val="0"/>
                      <w:sz w:val="21"/>
                      <w:szCs w:val="21"/>
                      <w:highlight w:val="none"/>
                    </w:rPr>
                    <w:t>年平均质量浓度</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7715">
                  <w:pPr>
                    <w:widowControl/>
                    <w:jc w:val="center"/>
                    <w:textAlignment w:val="center"/>
                    <w:rPr>
                      <w:color w:val="auto"/>
                      <w:sz w:val="21"/>
                      <w:szCs w:val="21"/>
                      <w:highlight w:val="none"/>
                    </w:rPr>
                  </w:pPr>
                  <w:r>
                    <w:rPr>
                      <w:rFonts w:hint="eastAsia"/>
                      <w:color w:val="auto"/>
                      <w:spacing w:val="-2"/>
                      <w:kern w:val="0"/>
                      <w:sz w:val="21"/>
                      <w:szCs w:val="21"/>
                      <w:highlight w:val="none"/>
                      <w:lang w:val="en-US" w:eastAsia="zh-CN"/>
                    </w:rPr>
                    <w:t>12</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5FAE">
                  <w:pPr>
                    <w:widowControl/>
                    <w:jc w:val="center"/>
                    <w:textAlignment w:val="center"/>
                    <w:rPr>
                      <w:color w:val="auto"/>
                      <w:sz w:val="21"/>
                      <w:szCs w:val="21"/>
                      <w:highlight w:val="none"/>
                    </w:rPr>
                  </w:pPr>
                  <w:r>
                    <w:rPr>
                      <w:rFonts w:hint="eastAsia"/>
                      <w:color w:val="auto"/>
                      <w:spacing w:val="-2"/>
                      <w:kern w:val="0"/>
                      <w:sz w:val="21"/>
                      <w:szCs w:val="21"/>
                      <w:highlight w:val="none"/>
                    </w:rPr>
                    <w:t>40</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776B">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r w14:paraId="4DAF9FDC">
              <w:tblPrEx>
                <w:tblCellMar>
                  <w:top w:w="0" w:type="dxa"/>
                  <w:left w:w="108" w:type="dxa"/>
                  <w:bottom w:w="0" w:type="dxa"/>
                  <w:right w:w="108" w:type="dxa"/>
                </w:tblCellMar>
              </w:tblPrEx>
              <w:trPr>
                <w:trHeight w:val="386"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8F6E3">
                  <w:pPr>
                    <w:widowControl/>
                    <w:spacing w:line="276" w:lineRule="auto"/>
                    <w:jc w:val="center"/>
                    <w:textAlignment w:val="center"/>
                    <w:rPr>
                      <w:color w:val="auto"/>
                      <w:sz w:val="21"/>
                      <w:szCs w:val="21"/>
                      <w:highlight w:val="none"/>
                    </w:rPr>
                  </w:pPr>
                  <w:r>
                    <w:rPr>
                      <w:color w:val="auto"/>
                      <w:kern w:val="0"/>
                      <w:sz w:val="21"/>
                      <w:szCs w:val="21"/>
                      <w:highlight w:val="none"/>
                    </w:rPr>
                    <w:t>PM</w:t>
                  </w:r>
                  <w:r>
                    <w:rPr>
                      <w:color w:val="auto"/>
                      <w:kern w:val="0"/>
                      <w:sz w:val="21"/>
                      <w:szCs w:val="21"/>
                      <w:highlight w:val="none"/>
                      <w:vertAlign w:val="subscript"/>
                    </w:rPr>
                    <w:t>10</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C6CC">
                  <w:pPr>
                    <w:widowControl/>
                    <w:spacing w:line="276" w:lineRule="auto"/>
                    <w:jc w:val="center"/>
                    <w:textAlignment w:val="center"/>
                    <w:rPr>
                      <w:color w:val="auto"/>
                      <w:sz w:val="21"/>
                      <w:szCs w:val="21"/>
                      <w:highlight w:val="none"/>
                    </w:rPr>
                  </w:pPr>
                  <w:r>
                    <w:rPr>
                      <w:color w:val="auto"/>
                      <w:kern w:val="0"/>
                      <w:sz w:val="21"/>
                      <w:szCs w:val="21"/>
                      <w:highlight w:val="none"/>
                    </w:rPr>
                    <w:t>年平均质量浓度</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BA42">
                  <w:pPr>
                    <w:widowControl/>
                    <w:jc w:val="center"/>
                    <w:textAlignment w:val="center"/>
                    <w:rPr>
                      <w:color w:val="auto"/>
                      <w:sz w:val="21"/>
                      <w:szCs w:val="21"/>
                      <w:highlight w:val="none"/>
                    </w:rPr>
                  </w:pPr>
                  <w:r>
                    <w:rPr>
                      <w:rFonts w:hint="eastAsia"/>
                      <w:color w:val="auto"/>
                      <w:spacing w:val="-2"/>
                      <w:kern w:val="0"/>
                      <w:sz w:val="21"/>
                      <w:szCs w:val="21"/>
                      <w:highlight w:val="none"/>
                      <w:lang w:val="en-US" w:eastAsia="zh-CN"/>
                    </w:rPr>
                    <w:t>31</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A84B8">
                  <w:pPr>
                    <w:widowControl/>
                    <w:jc w:val="center"/>
                    <w:textAlignment w:val="center"/>
                    <w:rPr>
                      <w:rFonts w:hint="default" w:eastAsia="宋体"/>
                      <w:color w:val="auto"/>
                      <w:sz w:val="21"/>
                      <w:szCs w:val="21"/>
                      <w:highlight w:val="none"/>
                      <w:lang w:val="en-US" w:eastAsia="zh-CN"/>
                    </w:rPr>
                  </w:pPr>
                  <w:r>
                    <w:rPr>
                      <w:rFonts w:hint="eastAsia"/>
                      <w:color w:val="auto"/>
                      <w:spacing w:val="-2"/>
                      <w:kern w:val="0"/>
                      <w:sz w:val="21"/>
                      <w:szCs w:val="21"/>
                      <w:highlight w:val="none"/>
                      <w:lang w:val="en-US" w:eastAsia="zh-CN"/>
                    </w:rPr>
                    <w:t>60</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7E98">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r w14:paraId="1BEAB9BE">
              <w:tblPrEx>
                <w:tblCellMar>
                  <w:top w:w="0" w:type="dxa"/>
                  <w:left w:w="108" w:type="dxa"/>
                  <w:bottom w:w="0" w:type="dxa"/>
                  <w:right w:w="108" w:type="dxa"/>
                </w:tblCellMar>
              </w:tblPrEx>
              <w:trPr>
                <w:trHeight w:val="386"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632C">
                  <w:pPr>
                    <w:widowControl/>
                    <w:spacing w:line="276" w:lineRule="auto"/>
                    <w:jc w:val="center"/>
                    <w:textAlignment w:val="center"/>
                    <w:rPr>
                      <w:color w:val="auto"/>
                      <w:sz w:val="21"/>
                      <w:szCs w:val="21"/>
                      <w:highlight w:val="none"/>
                    </w:rPr>
                  </w:pPr>
                  <w:r>
                    <w:rPr>
                      <w:color w:val="auto"/>
                      <w:kern w:val="0"/>
                      <w:sz w:val="21"/>
                      <w:szCs w:val="21"/>
                      <w:highlight w:val="none"/>
                    </w:rPr>
                    <w:t>PM</w:t>
                  </w:r>
                  <w:r>
                    <w:rPr>
                      <w:color w:val="auto"/>
                      <w:kern w:val="0"/>
                      <w:sz w:val="21"/>
                      <w:szCs w:val="21"/>
                      <w:highlight w:val="none"/>
                      <w:vertAlign w:val="subscript"/>
                    </w:rPr>
                    <w:t>2.5</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5737">
                  <w:pPr>
                    <w:widowControl/>
                    <w:spacing w:line="276" w:lineRule="auto"/>
                    <w:jc w:val="center"/>
                    <w:textAlignment w:val="center"/>
                    <w:rPr>
                      <w:color w:val="auto"/>
                      <w:sz w:val="21"/>
                      <w:szCs w:val="21"/>
                      <w:highlight w:val="none"/>
                    </w:rPr>
                  </w:pPr>
                  <w:r>
                    <w:rPr>
                      <w:color w:val="auto"/>
                      <w:kern w:val="0"/>
                      <w:sz w:val="21"/>
                      <w:szCs w:val="21"/>
                      <w:highlight w:val="none"/>
                    </w:rPr>
                    <w:t>年平均质量浓度</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846F">
                  <w:pPr>
                    <w:widowControl/>
                    <w:jc w:val="center"/>
                    <w:textAlignment w:val="center"/>
                    <w:rPr>
                      <w:color w:val="auto"/>
                      <w:sz w:val="21"/>
                      <w:szCs w:val="21"/>
                      <w:highlight w:val="none"/>
                    </w:rPr>
                  </w:pPr>
                  <w:r>
                    <w:rPr>
                      <w:rFonts w:hint="eastAsia"/>
                      <w:color w:val="auto"/>
                      <w:spacing w:val="-2"/>
                      <w:kern w:val="0"/>
                      <w:sz w:val="21"/>
                      <w:szCs w:val="21"/>
                      <w:highlight w:val="none"/>
                      <w:lang w:val="en-US" w:eastAsia="zh-CN"/>
                    </w:rPr>
                    <w:t>21</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DD6A6">
                  <w:pPr>
                    <w:widowControl/>
                    <w:jc w:val="center"/>
                    <w:textAlignment w:val="center"/>
                    <w:rPr>
                      <w:rFonts w:hint="default" w:eastAsia="宋体"/>
                      <w:color w:val="auto"/>
                      <w:sz w:val="21"/>
                      <w:szCs w:val="21"/>
                      <w:highlight w:val="none"/>
                      <w:lang w:val="en-US" w:eastAsia="zh-CN"/>
                    </w:rPr>
                  </w:pPr>
                  <w:r>
                    <w:rPr>
                      <w:rFonts w:hint="eastAsia"/>
                      <w:color w:val="auto"/>
                      <w:spacing w:val="-2"/>
                      <w:kern w:val="0"/>
                      <w:sz w:val="21"/>
                      <w:szCs w:val="21"/>
                      <w:highlight w:val="none"/>
                      <w:lang w:val="en-US" w:eastAsia="zh-CN"/>
                    </w:rPr>
                    <w:t>30</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70F45">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r w14:paraId="227D15E7">
              <w:tblPrEx>
                <w:tblCellMar>
                  <w:top w:w="0" w:type="dxa"/>
                  <w:left w:w="108" w:type="dxa"/>
                  <w:bottom w:w="0" w:type="dxa"/>
                  <w:right w:w="108" w:type="dxa"/>
                </w:tblCellMar>
              </w:tblPrEx>
              <w:trPr>
                <w:trHeight w:val="386"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8427">
                  <w:pPr>
                    <w:widowControl/>
                    <w:spacing w:line="276" w:lineRule="auto"/>
                    <w:jc w:val="center"/>
                    <w:textAlignment w:val="center"/>
                    <w:rPr>
                      <w:color w:val="auto"/>
                      <w:sz w:val="21"/>
                      <w:szCs w:val="21"/>
                      <w:highlight w:val="none"/>
                    </w:rPr>
                  </w:pPr>
                  <w:r>
                    <w:rPr>
                      <w:color w:val="auto"/>
                      <w:kern w:val="0"/>
                      <w:sz w:val="21"/>
                      <w:szCs w:val="21"/>
                      <w:highlight w:val="none"/>
                    </w:rPr>
                    <w:t>CO</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6A66">
                  <w:pPr>
                    <w:widowControl/>
                    <w:spacing w:line="276" w:lineRule="auto"/>
                    <w:jc w:val="center"/>
                    <w:textAlignment w:val="center"/>
                    <w:rPr>
                      <w:color w:val="auto"/>
                      <w:sz w:val="21"/>
                      <w:szCs w:val="21"/>
                      <w:highlight w:val="none"/>
                    </w:rPr>
                  </w:pPr>
                  <w:r>
                    <w:rPr>
                      <w:color w:val="auto"/>
                      <w:kern w:val="0"/>
                      <w:sz w:val="21"/>
                      <w:szCs w:val="21"/>
                      <w:highlight w:val="none"/>
                    </w:rPr>
                    <w:t>24小时均第95百分位数</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C782">
                  <w:pPr>
                    <w:widowControl/>
                    <w:jc w:val="center"/>
                    <w:textAlignment w:val="center"/>
                    <w:rPr>
                      <w:color w:val="auto"/>
                      <w:spacing w:val="-2"/>
                      <w:kern w:val="0"/>
                      <w:sz w:val="21"/>
                      <w:szCs w:val="21"/>
                      <w:highlight w:val="none"/>
                      <w:vertAlign w:val="superscript"/>
                    </w:rPr>
                  </w:pPr>
                  <w:r>
                    <w:rPr>
                      <w:rFonts w:hint="eastAsia"/>
                      <w:color w:val="auto"/>
                      <w:spacing w:val="-2"/>
                      <w:kern w:val="0"/>
                      <w:sz w:val="21"/>
                      <w:szCs w:val="21"/>
                      <w:highlight w:val="none"/>
                      <w:lang w:val="en-US" w:eastAsia="zh-CN"/>
                    </w:rPr>
                    <w:t>1.0</w:t>
                  </w:r>
                  <w:r>
                    <w:rPr>
                      <w:rFonts w:hint="eastAsia"/>
                      <w:color w:val="auto"/>
                      <w:spacing w:val="-2"/>
                      <w:kern w:val="0"/>
                      <w:sz w:val="21"/>
                      <w:szCs w:val="21"/>
                      <w:highlight w:val="none"/>
                    </w:rPr>
                    <w:t>mg/m</w:t>
                  </w:r>
                  <w:r>
                    <w:rPr>
                      <w:rFonts w:hint="eastAsia"/>
                      <w:color w:val="auto"/>
                      <w:spacing w:val="-2"/>
                      <w:kern w:val="0"/>
                      <w:sz w:val="21"/>
                      <w:szCs w:val="21"/>
                      <w:highlight w:val="none"/>
                      <w:vertAlign w:val="superscript"/>
                    </w:rPr>
                    <w:t>3</w:t>
                  </w:r>
                </w:p>
                <w:p w14:paraId="78EF68E3">
                  <w:pPr>
                    <w:widowControl/>
                    <w:jc w:val="center"/>
                    <w:textAlignment w:val="center"/>
                    <w:rPr>
                      <w:color w:val="auto"/>
                      <w:sz w:val="21"/>
                      <w:szCs w:val="21"/>
                      <w:highlight w:val="none"/>
                    </w:rPr>
                  </w:pPr>
                  <w:r>
                    <w:rPr>
                      <w:rFonts w:hint="eastAsia"/>
                      <w:color w:val="auto"/>
                      <w:spacing w:val="-2"/>
                      <w:kern w:val="0"/>
                      <w:sz w:val="21"/>
                      <w:szCs w:val="21"/>
                      <w:highlight w:val="none"/>
                    </w:rPr>
                    <w:t>（日均值第95百分位数）</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EB2E">
                  <w:pPr>
                    <w:widowControl/>
                    <w:jc w:val="center"/>
                    <w:textAlignment w:val="center"/>
                    <w:rPr>
                      <w:color w:val="auto"/>
                      <w:sz w:val="21"/>
                      <w:szCs w:val="21"/>
                      <w:highlight w:val="none"/>
                    </w:rPr>
                  </w:pPr>
                  <w:r>
                    <w:rPr>
                      <w:rFonts w:hint="eastAsia"/>
                      <w:color w:val="auto"/>
                      <w:spacing w:val="-2"/>
                      <w:kern w:val="0"/>
                      <w:sz w:val="21"/>
                      <w:szCs w:val="21"/>
                      <w:highlight w:val="none"/>
                    </w:rPr>
                    <w:t>4mg/m</w:t>
                  </w:r>
                  <w:r>
                    <w:rPr>
                      <w:rFonts w:hint="eastAsia"/>
                      <w:color w:val="auto"/>
                      <w:spacing w:val="-2"/>
                      <w:kern w:val="0"/>
                      <w:sz w:val="21"/>
                      <w:szCs w:val="21"/>
                      <w:highlight w:val="none"/>
                      <w:vertAlign w:val="superscript"/>
                    </w:rPr>
                    <w:t>3</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CC11">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r w14:paraId="175CA18F">
              <w:tblPrEx>
                <w:tblCellMar>
                  <w:top w:w="0" w:type="dxa"/>
                  <w:left w:w="108" w:type="dxa"/>
                  <w:bottom w:w="0" w:type="dxa"/>
                  <w:right w:w="108" w:type="dxa"/>
                </w:tblCellMar>
              </w:tblPrEx>
              <w:trPr>
                <w:trHeight w:val="397" w:hRule="atLeast"/>
                <w:jc w:val="center"/>
              </w:trPr>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2DF9">
                  <w:pPr>
                    <w:widowControl/>
                    <w:spacing w:line="276" w:lineRule="auto"/>
                    <w:jc w:val="center"/>
                    <w:textAlignment w:val="center"/>
                    <w:rPr>
                      <w:color w:val="auto"/>
                      <w:sz w:val="21"/>
                      <w:szCs w:val="21"/>
                      <w:highlight w:val="none"/>
                    </w:rPr>
                  </w:pPr>
                  <w:r>
                    <w:rPr>
                      <w:color w:val="auto"/>
                      <w:kern w:val="0"/>
                      <w:sz w:val="21"/>
                      <w:szCs w:val="21"/>
                      <w:highlight w:val="none"/>
                    </w:rPr>
                    <w:t>O</w:t>
                  </w:r>
                  <w:r>
                    <w:rPr>
                      <w:color w:val="auto"/>
                      <w:kern w:val="0"/>
                      <w:sz w:val="21"/>
                      <w:szCs w:val="21"/>
                      <w:highlight w:val="none"/>
                      <w:vertAlign w:val="subscript"/>
                    </w:rPr>
                    <w:t>3</w:t>
                  </w:r>
                </w:p>
              </w:tc>
              <w:tc>
                <w:tcPr>
                  <w:tcW w:w="1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2EEA">
                  <w:pPr>
                    <w:widowControl/>
                    <w:spacing w:line="276" w:lineRule="auto"/>
                    <w:jc w:val="center"/>
                    <w:textAlignment w:val="center"/>
                    <w:rPr>
                      <w:color w:val="auto"/>
                      <w:sz w:val="21"/>
                      <w:szCs w:val="21"/>
                      <w:highlight w:val="none"/>
                    </w:rPr>
                  </w:pPr>
                  <w:r>
                    <w:rPr>
                      <w:rFonts w:hint="eastAsia"/>
                      <w:color w:val="auto"/>
                      <w:kern w:val="0"/>
                      <w:sz w:val="21"/>
                      <w:szCs w:val="21"/>
                      <w:highlight w:val="none"/>
                      <w:lang w:val="en-US" w:eastAsia="zh-CN"/>
                    </w:rPr>
                    <w:t>日</w:t>
                  </w:r>
                  <w:r>
                    <w:rPr>
                      <w:color w:val="auto"/>
                      <w:kern w:val="0"/>
                      <w:sz w:val="21"/>
                      <w:szCs w:val="21"/>
                      <w:highlight w:val="none"/>
                    </w:rPr>
                    <w:t>最大8小时值第90百分位数</w:t>
                  </w:r>
                </w:p>
              </w:tc>
              <w:tc>
                <w:tcPr>
                  <w:tcW w:w="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B2259">
                  <w:pPr>
                    <w:widowControl/>
                    <w:jc w:val="center"/>
                    <w:textAlignment w:val="center"/>
                    <w:rPr>
                      <w:color w:val="auto"/>
                      <w:sz w:val="21"/>
                      <w:szCs w:val="21"/>
                      <w:highlight w:val="none"/>
                    </w:rPr>
                  </w:pPr>
                  <w:r>
                    <w:rPr>
                      <w:rFonts w:hint="eastAsia"/>
                      <w:color w:val="auto"/>
                      <w:spacing w:val="-2"/>
                      <w:kern w:val="0"/>
                      <w:sz w:val="21"/>
                      <w:szCs w:val="21"/>
                      <w:highlight w:val="none"/>
                      <w:lang w:val="en-US" w:eastAsia="zh-CN"/>
                    </w:rPr>
                    <w:t>108</w:t>
                  </w:r>
                  <w:r>
                    <w:rPr>
                      <w:rFonts w:hint="eastAsia"/>
                      <w:color w:val="auto"/>
                      <w:spacing w:val="-2"/>
                      <w:kern w:val="0"/>
                      <w:sz w:val="21"/>
                      <w:szCs w:val="21"/>
                      <w:highlight w:val="none"/>
                    </w:rPr>
                    <w:t>（日均值第90百分位数）</w:t>
                  </w:r>
                </w:p>
              </w:tc>
              <w:tc>
                <w:tcPr>
                  <w:tcW w:w="7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19D8">
                  <w:pPr>
                    <w:widowControl/>
                    <w:jc w:val="center"/>
                    <w:textAlignment w:val="center"/>
                    <w:rPr>
                      <w:color w:val="auto"/>
                      <w:sz w:val="21"/>
                      <w:szCs w:val="21"/>
                      <w:highlight w:val="none"/>
                    </w:rPr>
                  </w:pPr>
                  <w:r>
                    <w:rPr>
                      <w:rFonts w:hint="eastAsia"/>
                      <w:color w:val="auto"/>
                      <w:spacing w:val="-2"/>
                      <w:kern w:val="0"/>
                      <w:sz w:val="21"/>
                      <w:szCs w:val="21"/>
                      <w:highlight w:val="none"/>
                    </w:rPr>
                    <w:t>160</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69FCA">
                  <w:pPr>
                    <w:widowControl/>
                    <w:spacing w:line="276" w:lineRule="auto"/>
                    <w:jc w:val="center"/>
                    <w:textAlignment w:val="center"/>
                    <w:rPr>
                      <w:color w:val="auto"/>
                      <w:sz w:val="21"/>
                      <w:szCs w:val="21"/>
                      <w:highlight w:val="none"/>
                    </w:rPr>
                  </w:pPr>
                  <w:r>
                    <w:rPr>
                      <w:color w:val="auto"/>
                      <w:kern w:val="0"/>
                      <w:sz w:val="21"/>
                      <w:szCs w:val="21"/>
                      <w:highlight w:val="none"/>
                    </w:rPr>
                    <w:t>达标</w:t>
                  </w:r>
                </w:p>
              </w:tc>
            </w:tr>
          </w:tbl>
          <w:p w14:paraId="396EE5A3">
            <w:pPr>
              <w:ind w:firstLine="480" w:firstLineChars="200"/>
              <w:jc w:val="left"/>
              <w:rPr>
                <w:color w:val="auto"/>
                <w:highlight w:val="none"/>
              </w:rPr>
            </w:pPr>
            <w:r>
              <w:rPr>
                <w:b/>
                <w:bCs/>
                <w:color w:val="auto"/>
                <w:highlight w:val="none"/>
              </w:rPr>
              <w:t>（2）特征因子补充监测</w:t>
            </w:r>
          </w:p>
          <w:p w14:paraId="57B935DD">
            <w:pPr>
              <w:ind w:firstLine="480" w:firstLineChars="200"/>
              <w:rPr>
                <w:bCs/>
                <w:color w:val="auto"/>
                <w:szCs w:val="22"/>
                <w:highlight w:val="none"/>
              </w:rPr>
            </w:pPr>
            <w:r>
              <w:rPr>
                <w:bCs/>
                <w:color w:val="auto"/>
                <w:szCs w:val="22"/>
                <w:highlight w:val="none"/>
              </w:rPr>
              <w:t>根据《建设项目环境影响报告表编制技术指南（污染影响类）</w:t>
            </w:r>
            <w:r>
              <w:rPr>
                <w:rFonts w:hint="eastAsia"/>
                <w:bCs/>
                <w:color w:val="auto"/>
                <w:szCs w:val="22"/>
                <w:highlight w:val="none"/>
                <w:lang w:eastAsia="zh-CN"/>
              </w:rPr>
              <w:t>（</w:t>
            </w:r>
            <w:r>
              <w:rPr>
                <w:bCs/>
                <w:color w:val="auto"/>
                <w:szCs w:val="22"/>
                <w:highlight w:val="none"/>
              </w:rPr>
              <w:t>试行</w:t>
            </w:r>
            <w:r>
              <w:rPr>
                <w:rFonts w:hint="eastAsia"/>
                <w:bCs/>
                <w:color w:val="auto"/>
                <w:szCs w:val="22"/>
                <w:highlight w:val="none"/>
                <w:lang w:eastAsia="zh-CN"/>
              </w:rPr>
              <w:t>）</w:t>
            </w:r>
            <w:r>
              <w:rPr>
                <w:bCs/>
                <w:color w:val="auto"/>
                <w:szCs w:val="22"/>
                <w:highlight w:val="none"/>
              </w:rPr>
              <w:t>》：排放国家、地方环境空气质量标准中有标准限值要求的特征污染物时，引用建设项目周边5千米范围内近3年的现有监测数据。本项目需补充监测的特征污染因子为TSP</w:t>
            </w:r>
            <w:r>
              <w:rPr>
                <w:rFonts w:hint="eastAsia"/>
                <w:bCs/>
                <w:color w:val="auto"/>
                <w:szCs w:val="22"/>
                <w:highlight w:val="none"/>
                <w:lang w:eastAsia="zh-CN"/>
              </w:rPr>
              <w:t>、</w:t>
            </w:r>
            <w:r>
              <w:rPr>
                <w:rFonts w:hint="eastAsia"/>
                <w:bCs/>
                <w:color w:val="auto"/>
                <w:szCs w:val="22"/>
                <w:highlight w:val="none"/>
                <w:lang w:val="en-US" w:eastAsia="zh-CN"/>
              </w:rPr>
              <w:t>非甲烷总烃、臭气浓度</w:t>
            </w:r>
            <w:r>
              <w:rPr>
                <w:bCs/>
                <w:color w:val="auto"/>
                <w:szCs w:val="22"/>
                <w:highlight w:val="none"/>
              </w:rPr>
              <w:t>。</w:t>
            </w:r>
          </w:p>
          <w:p w14:paraId="360B7115">
            <w:pPr>
              <w:ind w:firstLine="480" w:firstLineChars="200"/>
              <w:rPr>
                <w:bCs/>
                <w:color w:val="auto"/>
                <w:szCs w:val="22"/>
                <w:highlight w:val="none"/>
              </w:rPr>
            </w:pPr>
            <w:r>
              <w:rPr>
                <w:bCs/>
                <w:color w:val="auto"/>
                <w:szCs w:val="22"/>
                <w:highlight w:val="none"/>
              </w:rPr>
              <w:t>本项目引用《乐昌产业转移工业园2023年度环境管理状况评估监测》（报告编号：QHT-202312271026）用于评价TSP</w:t>
            </w:r>
            <w:r>
              <w:rPr>
                <w:rFonts w:hint="eastAsia"/>
                <w:bCs/>
                <w:color w:val="auto"/>
                <w:szCs w:val="22"/>
                <w:highlight w:val="none"/>
                <w:lang w:eastAsia="zh-CN"/>
              </w:rPr>
              <w:t>、</w:t>
            </w:r>
            <w:r>
              <w:rPr>
                <w:rFonts w:hint="eastAsia"/>
                <w:bCs/>
                <w:color w:val="auto"/>
                <w:szCs w:val="22"/>
                <w:highlight w:val="none"/>
                <w:lang w:val="en-US" w:eastAsia="zh-CN"/>
              </w:rPr>
              <w:t>非甲烷总烃、臭气浓度</w:t>
            </w:r>
            <w:r>
              <w:rPr>
                <w:bCs/>
                <w:color w:val="auto"/>
                <w:szCs w:val="22"/>
                <w:highlight w:val="none"/>
              </w:rPr>
              <w:t>现状。</w:t>
            </w:r>
            <w:r>
              <w:rPr>
                <w:color w:val="auto"/>
                <w:kern w:val="0"/>
                <w:highlight w:val="none"/>
              </w:rPr>
              <w:t>深圳市清华环科检测技术有限公司</w:t>
            </w:r>
            <w:r>
              <w:rPr>
                <w:bCs/>
                <w:color w:val="auto"/>
                <w:szCs w:val="22"/>
                <w:highlight w:val="none"/>
              </w:rPr>
              <w:t>于</w:t>
            </w:r>
            <w:r>
              <w:rPr>
                <w:color w:val="auto"/>
                <w:highlight w:val="none"/>
              </w:rPr>
              <w:t>202</w:t>
            </w:r>
            <w:r>
              <w:rPr>
                <w:rFonts w:hint="eastAsia"/>
                <w:color w:val="auto"/>
                <w:highlight w:val="none"/>
              </w:rPr>
              <w:t>3</w:t>
            </w:r>
            <w:r>
              <w:rPr>
                <w:color w:val="auto"/>
                <w:highlight w:val="none"/>
              </w:rPr>
              <w:t>年12月</w:t>
            </w:r>
            <w:r>
              <w:rPr>
                <w:rFonts w:hint="eastAsia"/>
                <w:color w:val="auto"/>
                <w:highlight w:val="none"/>
              </w:rPr>
              <w:t>19</w:t>
            </w:r>
            <w:r>
              <w:rPr>
                <w:color w:val="auto"/>
                <w:highlight w:val="none"/>
              </w:rPr>
              <w:t>日-20</w:t>
            </w:r>
            <w:r>
              <w:rPr>
                <w:rFonts w:hint="eastAsia"/>
                <w:color w:val="auto"/>
                <w:highlight w:val="none"/>
              </w:rPr>
              <w:t>23</w:t>
            </w:r>
            <w:r>
              <w:rPr>
                <w:color w:val="auto"/>
                <w:highlight w:val="none"/>
              </w:rPr>
              <w:t>年12月2</w:t>
            </w:r>
            <w:r>
              <w:rPr>
                <w:rFonts w:hint="eastAsia"/>
                <w:color w:val="auto"/>
                <w:highlight w:val="none"/>
              </w:rPr>
              <w:t>5</w:t>
            </w:r>
            <w:r>
              <w:rPr>
                <w:color w:val="auto"/>
                <w:highlight w:val="none"/>
              </w:rPr>
              <w:t>日，在本项目东南侧</w:t>
            </w:r>
            <w:r>
              <w:rPr>
                <w:rFonts w:hint="eastAsia"/>
                <w:color w:val="auto"/>
                <w:highlight w:val="none"/>
                <w:lang w:eastAsia="zh-CN"/>
              </w:rPr>
              <w:t>4442</w:t>
            </w:r>
            <w:r>
              <w:rPr>
                <w:color w:val="auto"/>
                <w:highlight w:val="none"/>
              </w:rPr>
              <w:t>m处G1</w:t>
            </w:r>
            <w:r>
              <w:rPr>
                <w:rFonts w:hint="eastAsia"/>
                <w:color w:val="auto"/>
                <w:highlight w:val="none"/>
              </w:rPr>
              <w:t>和</w:t>
            </w:r>
            <w:r>
              <w:rPr>
                <w:color w:val="auto"/>
                <w:highlight w:val="none"/>
              </w:rPr>
              <w:t>村进行采样监测</w:t>
            </w:r>
            <w:r>
              <w:rPr>
                <w:rFonts w:hint="eastAsia"/>
                <w:color w:val="auto"/>
                <w:highlight w:val="none"/>
              </w:rPr>
              <w:t>（引用点位位置图见附图14）</w:t>
            </w:r>
            <w:r>
              <w:rPr>
                <w:color w:val="auto"/>
                <w:highlight w:val="none"/>
              </w:rPr>
              <w:t>，连续监测7天</w:t>
            </w:r>
            <w:r>
              <w:rPr>
                <w:bCs/>
                <w:color w:val="auto"/>
                <w:szCs w:val="22"/>
                <w:highlight w:val="none"/>
              </w:rPr>
              <w:t>。本项目其他污染物补充监测点位基本信息见表3-2，其他污染物环境质量现状监测结果</w:t>
            </w:r>
            <w:r>
              <w:rPr>
                <w:rFonts w:hint="eastAsia"/>
                <w:bCs/>
                <w:color w:val="auto"/>
                <w:szCs w:val="22"/>
                <w:highlight w:val="none"/>
              </w:rPr>
              <w:t>见</w:t>
            </w:r>
            <w:r>
              <w:rPr>
                <w:bCs/>
                <w:color w:val="auto"/>
                <w:szCs w:val="22"/>
                <w:highlight w:val="none"/>
              </w:rPr>
              <w:t>表3-3。</w:t>
            </w:r>
          </w:p>
          <w:p w14:paraId="01A704F8">
            <w:pPr>
              <w:tabs>
                <w:tab w:val="left" w:pos="0"/>
              </w:tabs>
              <w:ind w:firstLine="40"/>
              <w:jc w:val="center"/>
              <w:rPr>
                <w:b/>
                <w:bCs/>
                <w:color w:val="auto"/>
                <w:sz w:val="21"/>
                <w:szCs w:val="21"/>
                <w:highlight w:val="none"/>
              </w:rPr>
            </w:pPr>
            <w:bookmarkStart w:id="59" w:name="_Toc20439"/>
            <w:bookmarkStart w:id="60" w:name="_Toc17582"/>
            <w:bookmarkStart w:id="61" w:name="_Toc8763"/>
            <w:bookmarkStart w:id="62" w:name="_Toc6616"/>
            <w:bookmarkStart w:id="63" w:name="_Toc8230"/>
            <w:r>
              <w:rPr>
                <w:b/>
                <w:bCs/>
                <w:color w:val="auto"/>
                <w:sz w:val="21"/>
                <w:szCs w:val="21"/>
                <w:highlight w:val="none"/>
              </w:rPr>
              <w:t>表3-2其他污染物补充监测点位基本信息</w:t>
            </w:r>
            <w:bookmarkEnd w:id="59"/>
            <w:bookmarkEnd w:id="60"/>
            <w:bookmarkEnd w:id="61"/>
            <w:bookmarkEnd w:id="62"/>
            <w:bookmarkEnd w:id="63"/>
          </w:p>
          <w:tbl>
            <w:tblPr>
              <w:tblStyle w:val="50"/>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47"/>
              <w:gridCol w:w="1112"/>
              <w:gridCol w:w="1290"/>
              <w:gridCol w:w="2022"/>
              <w:gridCol w:w="963"/>
              <w:gridCol w:w="1228"/>
            </w:tblGrid>
            <w:tr w14:paraId="71CF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144" w:type="dxa"/>
                  <w:vMerge w:val="restart"/>
                  <w:shd w:val="clear" w:color="auto" w:fill="auto"/>
                  <w:vAlign w:val="center"/>
                </w:tcPr>
                <w:p w14:paraId="12E7A761">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监测点名称</w:t>
                  </w:r>
                </w:p>
              </w:tc>
              <w:tc>
                <w:tcPr>
                  <w:tcW w:w="2582" w:type="dxa"/>
                  <w:gridSpan w:val="2"/>
                  <w:shd w:val="clear" w:color="auto" w:fill="auto"/>
                  <w:vAlign w:val="center"/>
                </w:tcPr>
                <w:p w14:paraId="566B7098">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监测点坐标/m</w:t>
                  </w:r>
                </w:p>
              </w:tc>
              <w:tc>
                <w:tcPr>
                  <w:tcW w:w="1302" w:type="dxa"/>
                  <w:vMerge w:val="restart"/>
                  <w:shd w:val="clear" w:color="auto" w:fill="auto"/>
                  <w:vAlign w:val="center"/>
                </w:tcPr>
                <w:p w14:paraId="3648BC51">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监测因子</w:t>
                  </w:r>
                </w:p>
              </w:tc>
              <w:tc>
                <w:tcPr>
                  <w:tcW w:w="2042" w:type="dxa"/>
                  <w:vMerge w:val="restart"/>
                  <w:shd w:val="clear" w:color="auto" w:fill="auto"/>
                  <w:vAlign w:val="center"/>
                </w:tcPr>
                <w:p w14:paraId="1EADE1A4">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监测时段</w:t>
                  </w:r>
                </w:p>
              </w:tc>
              <w:tc>
                <w:tcPr>
                  <w:tcW w:w="971" w:type="dxa"/>
                  <w:vMerge w:val="restart"/>
                  <w:shd w:val="clear" w:color="auto" w:fill="auto"/>
                  <w:vAlign w:val="center"/>
                </w:tcPr>
                <w:p w14:paraId="3CBF61B0">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相对厂址方位</w:t>
                  </w:r>
                </w:p>
              </w:tc>
              <w:tc>
                <w:tcPr>
                  <w:tcW w:w="1238" w:type="dxa"/>
                  <w:vMerge w:val="restart"/>
                  <w:shd w:val="clear" w:color="auto" w:fill="auto"/>
                  <w:vAlign w:val="center"/>
                </w:tcPr>
                <w:p w14:paraId="67E9F334">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相对厂界距离/m</w:t>
                  </w:r>
                </w:p>
              </w:tc>
            </w:tr>
            <w:tr w14:paraId="4EED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144" w:type="dxa"/>
                  <w:vMerge w:val="continue"/>
                  <w:shd w:val="clear" w:color="auto" w:fill="auto"/>
                  <w:vAlign w:val="center"/>
                </w:tcPr>
                <w:p w14:paraId="79BAF736">
                  <w:pPr>
                    <w:pStyle w:val="2"/>
                    <w:snapToGrid w:val="0"/>
                    <w:spacing w:line="240" w:lineRule="auto"/>
                    <w:jc w:val="center"/>
                    <w:rPr>
                      <w:rFonts w:ascii="Times New Roman" w:cs="Times New Roman"/>
                      <w:b/>
                      <w:bCs/>
                      <w:color w:val="auto"/>
                      <w:sz w:val="21"/>
                      <w:szCs w:val="21"/>
                      <w:highlight w:val="none"/>
                    </w:rPr>
                  </w:pPr>
                </w:p>
              </w:tc>
              <w:tc>
                <w:tcPr>
                  <w:tcW w:w="1460" w:type="dxa"/>
                  <w:shd w:val="clear" w:color="auto" w:fill="auto"/>
                  <w:vAlign w:val="center"/>
                </w:tcPr>
                <w:p w14:paraId="24F18923">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X</w:t>
                  </w:r>
                </w:p>
              </w:tc>
              <w:tc>
                <w:tcPr>
                  <w:tcW w:w="1122" w:type="dxa"/>
                  <w:shd w:val="clear" w:color="auto" w:fill="auto"/>
                  <w:vAlign w:val="center"/>
                </w:tcPr>
                <w:p w14:paraId="543EBA86">
                  <w:pPr>
                    <w:pStyle w:val="2"/>
                    <w:snapToGrid w:val="0"/>
                    <w:spacing w:line="240" w:lineRule="auto"/>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Y</w:t>
                  </w:r>
                </w:p>
              </w:tc>
              <w:tc>
                <w:tcPr>
                  <w:tcW w:w="1302" w:type="dxa"/>
                  <w:vMerge w:val="continue"/>
                  <w:shd w:val="clear" w:color="auto" w:fill="auto"/>
                  <w:vAlign w:val="center"/>
                </w:tcPr>
                <w:p w14:paraId="24E13D92">
                  <w:pPr>
                    <w:pStyle w:val="2"/>
                    <w:snapToGrid w:val="0"/>
                    <w:spacing w:line="240" w:lineRule="auto"/>
                    <w:jc w:val="center"/>
                    <w:rPr>
                      <w:rFonts w:ascii="Times New Roman" w:cs="Times New Roman"/>
                      <w:color w:val="auto"/>
                      <w:sz w:val="21"/>
                      <w:szCs w:val="21"/>
                      <w:highlight w:val="none"/>
                    </w:rPr>
                  </w:pPr>
                </w:p>
              </w:tc>
              <w:tc>
                <w:tcPr>
                  <w:tcW w:w="2042" w:type="dxa"/>
                  <w:vMerge w:val="continue"/>
                  <w:shd w:val="clear" w:color="auto" w:fill="auto"/>
                  <w:vAlign w:val="center"/>
                </w:tcPr>
                <w:p w14:paraId="4C6BA3F5">
                  <w:pPr>
                    <w:pStyle w:val="2"/>
                    <w:snapToGrid w:val="0"/>
                    <w:spacing w:line="240" w:lineRule="auto"/>
                    <w:jc w:val="center"/>
                    <w:rPr>
                      <w:rFonts w:ascii="Times New Roman" w:cs="Times New Roman"/>
                      <w:color w:val="auto"/>
                      <w:sz w:val="21"/>
                      <w:szCs w:val="21"/>
                      <w:highlight w:val="none"/>
                    </w:rPr>
                  </w:pPr>
                </w:p>
              </w:tc>
              <w:tc>
                <w:tcPr>
                  <w:tcW w:w="971" w:type="dxa"/>
                  <w:vMerge w:val="continue"/>
                  <w:shd w:val="clear" w:color="auto" w:fill="auto"/>
                  <w:vAlign w:val="center"/>
                </w:tcPr>
                <w:p w14:paraId="6B53A0E6">
                  <w:pPr>
                    <w:pStyle w:val="2"/>
                    <w:snapToGrid w:val="0"/>
                    <w:spacing w:line="240" w:lineRule="auto"/>
                    <w:jc w:val="center"/>
                    <w:rPr>
                      <w:rFonts w:ascii="Times New Roman" w:cs="Times New Roman"/>
                      <w:color w:val="auto"/>
                      <w:sz w:val="21"/>
                      <w:szCs w:val="21"/>
                      <w:highlight w:val="none"/>
                    </w:rPr>
                  </w:pPr>
                </w:p>
              </w:tc>
              <w:tc>
                <w:tcPr>
                  <w:tcW w:w="1238" w:type="dxa"/>
                  <w:vMerge w:val="continue"/>
                  <w:shd w:val="clear" w:color="auto" w:fill="auto"/>
                  <w:vAlign w:val="center"/>
                </w:tcPr>
                <w:p w14:paraId="46E8F06F">
                  <w:pPr>
                    <w:pStyle w:val="2"/>
                    <w:snapToGrid w:val="0"/>
                    <w:spacing w:line="240" w:lineRule="auto"/>
                    <w:jc w:val="center"/>
                    <w:rPr>
                      <w:rFonts w:ascii="Times New Roman" w:cs="Times New Roman"/>
                      <w:color w:val="auto"/>
                      <w:sz w:val="21"/>
                      <w:szCs w:val="21"/>
                      <w:highlight w:val="none"/>
                    </w:rPr>
                  </w:pPr>
                </w:p>
              </w:tc>
            </w:tr>
            <w:tr w14:paraId="14A9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144" w:type="dxa"/>
                  <w:shd w:val="clear" w:color="auto" w:fill="auto"/>
                  <w:vAlign w:val="center"/>
                </w:tcPr>
                <w:p w14:paraId="4F7C5C9C">
                  <w:pPr>
                    <w:pStyle w:val="2"/>
                    <w:snapToGrid w:val="0"/>
                    <w:spacing w:line="240" w:lineRule="auto"/>
                    <w:jc w:val="center"/>
                    <w:rPr>
                      <w:rFonts w:ascii="Times New Roman" w:cs="Times New Roman"/>
                      <w:color w:val="auto"/>
                      <w:sz w:val="21"/>
                      <w:szCs w:val="21"/>
                      <w:highlight w:val="none"/>
                    </w:rPr>
                  </w:pPr>
                  <w:r>
                    <w:rPr>
                      <w:rFonts w:ascii="Times New Roman" w:cs="Times New Roman"/>
                      <w:color w:val="auto"/>
                      <w:sz w:val="21"/>
                      <w:szCs w:val="21"/>
                      <w:highlight w:val="none"/>
                    </w:rPr>
                    <w:t>G1</w:t>
                  </w:r>
                  <w:r>
                    <w:rPr>
                      <w:rFonts w:hint="eastAsia" w:ascii="Times New Roman" w:cs="Times New Roman"/>
                      <w:color w:val="auto"/>
                      <w:sz w:val="21"/>
                      <w:szCs w:val="21"/>
                      <w:highlight w:val="none"/>
                    </w:rPr>
                    <w:t>和</w:t>
                  </w:r>
                  <w:r>
                    <w:rPr>
                      <w:rFonts w:ascii="Times New Roman" w:cs="Times New Roman"/>
                      <w:color w:val="auto"/>
                      <w:sz w:val="21"/>
                      <w:szCs w:val="21"/>
                      <w:highlight w:val="none"/>
                    </w:rPr>
                    <w:t>村</w:t>
                  </w:r>
                </w:p>
              </w:tc>
              <w:tc>
                <w:tcPr>
                  <w:tcW w:w="1460" w:type="dxa"/>
                  <w:shd w:val="clear" w:color="auto" w:fill="auto"/>
                  <w:vAlign w:val="center"/>
                </w:tcPr>
                <w:p w14:paraId="0B3B4363">
                  <w:pPr>
                    <w:pStyle w:val="2"/>
                    <w:spacing w:line="240" w:lineRule="auto"/>
                    <w:jc w:val="center"/>
                    <w:rPr>
                      <w:rFonts w:ascii="Times New Roman" w:cs="Times New Roman"/>
                      <w:color w:val="auto"/>
                      <w:sz w:val="21"/>
                      <w:szCs w:val="21"/>
                      <w:highlight w:val="none"/>
                    </w:rPr>
                  </w:pPr>
                  <w:r>
                    <w:rPr>
                      <w:rFonts w:hint="eastAsia" w:ascii="Times New Roman" w:cs="Times New Roman"/>
                      <w:color w:val="auto"/>
                      <w:sz w:val="21"/>
                      <w:szCs w:val="21"/>
                      <w:highlight w:val="none"/>
                    </w:rPr>
                    <w:t>-</w:t>
                  </w:r>
                  <w:r>
                    <w:rPr>
                      <w:rFonts w:hint="eastAsia" w:ascii="Times New Roman" w:cs="Times New Roman"/>
                      <w:color w:val="auto"/>
                      <w:sz w:val="21"/>
                      <w:szCs w:val="21"/>
                      <w:highlight w:val="none"/>
                      <w:lang w:val="en-US" w:eastAsia="zh-CN"/>
                    </w:rPr>
                    <w:t>3</w:t>
                  </w:r>
                  <w:r>
                    <w:rPr>
                      <w:rFonts w:hint="eastAsia" w:ascii="Times New Roman" w:cs="Times New Roman"/>
                      <w:color w:val="auto"/>
                      <w:sz w:val="21"/>
                      <w:szCs w:val="21"/>
                      <w:highlight w:val="none"/>
                    </w:rPr>
                    <w:t>50</w:t>
                  </w:r>
                </w:p>
              </w:tc>
              <w:tc>
                <w:tcPr>
                  <w:tcW w:w="1122" w:type="dxa"/>
                  <w:shd w:val="clear" w:color="auto" w:fill="auto"/>
                  <w:vAlign w:val="center"/>
                </w:tcPr>
                <w:p w14:paraId="59B5104E">
                  <w:pPr>
                    <w:pStyle w:val="2"/>
                    <w:spacing w:line="240" w:lineRule="auto"/>
                    <w:jc w:val="center"/>
                    <w:rPr>
                      <w:rFonts w:hint="default" w:asci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rPr>
                    <w:t>-4</w:t>
                  </w:r>
                  <w:r>
                    <w:rPr>
                      <w:rFonts w:hint="eastAsia" w:ascii="Times New Roman" w:cs="Times New Roman"/>
                      <w:color w:val="auto"/>
                      <w:sz w:val="21"/>
                      <w:szCs w:val="21"/>
                      <w:highlight w:val="none"/>
                      <w:lang w:val="en-US" w:eastAsia="zh-CN"/>
                    </w:rPr>
                    <w:t>555</w:t>
                  </w:r>
                </w:p>
              </w:tc>
              <w:tc>
                <w:tcPr>
                  <w:tcW w:w="1302" w:type="dxa"/>
                  <w:shd w:val="clear" w:color="auto" w:fill="auto"/>
                  <w:vAlign w:val="center"/>
                </w:tcPr>
                <w:p w14:paraId="1BF32C51">
                  <w:pPr>
                    <w:pStyle w:val="2"/>
                    <w:spacing w:line="240" w:lineRule="auto"/>
                    <w:jc w:val="center"/>
                    <w:rPr>
                      <w:rFonts w:hint="default" w:ascii="Times New Roman" w:eastAsia="宋体" w:cs="Times New Roman"/>
                      <w:color w:val="auto"/>
                      <w:sz w:val="21"/>
                      <w:szCs w:val="21"/>
                      <w:highlight w:val="none"/>
                      <w:lang w:val="en-US" w:eastAsia="zh-CN"/>
                    </w:rPr>
                  </w:pPr>
                  <w:r>
                    <w:rPr>
                      <w:rFonts w:ascii="Times New Roman" w:cs="Times New Roman"/>
                      <w:color w:val="auto"/>
                      <w:sz w:val="21"/>
                      <w:szCs w:val="21"/>
                      <w:highlight w:val="none"/>
                    </w:rPr>
                    <w:t>TSP</w:t>
                  </w:r>
                  <w:r>
                    <w:rPr>
                      <w:rFonts w:hint="eastAsia" w:ascii="Times New Roman" w:cs="Times New Roman"/>
                      <w:color w:val="auto"/>
                      <w:sz w:val="21"/>
                      <w:szCs w:val="21"/>
                      <w:highlight w:val="none"/>
                      <w:lang w:eastAsia="zh-CN"/>
                    </w:rPr>
                    <w:t>、</w:t>
                  </w:r>
                  <w:r>
                    <w:rPr>
                      <w:rFonts w:hint="eastAsia" w:ascii="Times New Roman" w:cs="Times New Roman"/>
                      <w:color w:val="auto"/>
                      <w:sz w:val="21"/>
                      <w:szCs w:val="21"/>
                      <w:highlight w:val="none"/>
                      <w:lang w:val="en-US" w:eastAsia="zh-CN"/>
                    </w:rPr>
                    <w:t>非甲烷总烃、臭气浓度</w:t>
                  </w:r>
                </w:p>
              </w:tc>
              <w:tc>
                <w:tcPr>
                  <w:tcW w:w="2042" w:type="dxa"/>
                  <w:shd w:val="clear" w:color="auto" w:fill="auto"/>
                  <w:vAlign w:val="center"/>
                </w:tcPr>
                <w:p w14:paraId="4E6C6372">
                  <w:pPr>
                    <w:pStyle w:val="2"/>
                    <w:spacing w:line="240" w:lineRule="auto"/>
                    <w:jc w:val="center"/>
                    <w:rPr>
                      <w:rFonts w:ascii="Times New Roman" w:cs="Times New Roman"/>
                      <w:color w:val="auto"/>
                      <w:sz w:val="21"/>
                      <w:szCs w:val="21"/>
                      <w:highlight w:val="none"/>
                    </w:rPr>
                  </w:pPr>
                  <w:r>
                    <w:rPr>
                      <w:rFonts w:ascii="Times New Roman" w:cs="Times New Roman"/>
                      <w:bCs/>
                      <w:color w:val="auto"/>
                      <w:sz w:val="21"/>
                      <w:szCs w:val="21"/>
                      <w:highlight w:val="none"/>
                    </w:rPr>
                    <w:t>202</w:t>
                  </w:r>
                  <w:r>
                    <w:rPr>
                      <w:rFonts w:hint="eastAsia" w:ascii="Times New Roman" w:cs="Times New Roman"/>
                      <w:bCs/>
                      <w:color w:val="auto"/>
                      <w:sz w:val="21"/>
                      <w:szCs w:val="21"/>
                      <w:highlight w:val="none"/>
                    </w:rPr>
                    <w:t>3</w:t>
                  </w:r>
                  <w:r>
                    <w:rPr>
                      <w:rFonts w:ascii="Times New Roman" w:cs="Times New Roman"/>
                      <w:bCs/>
                      <w:color w:val="auto"/>
                      <w:sz w:val="21"/>
                      <w:szCs w:val="21"/>
                      <w:highlight w:val="none"/>
                    </w:rPr>
                    <w:t>年12月</w:t>
                  </w:r>
                  <w:r>
                    <w:rPr>
                      <w:rFonts w:hint="eastAsia" w:ascii="Times New Roman" w:cs="Times New Roman"/>
                      <w:bCs/>
                      <w:color w:val="auto"/>
                      <w:sz w:val="21"/>
                      <w:szCs w:val="21"/>
                      <w:highlight w:val="none"/>
                    </w:rPr>
                    <w:t>19</w:t>
                  </w:r>
                  <w:r>
                    <w:rPr>
                      <w:rFonts w:ascii="Times New Roman" w:cs="Times New Roman"/>
                      <w:bCs/>
                      <w:color w:val="auto"/>
                      <w:sz w:val="21"/>
                      <w:szCs w:val="21"/>
                      <w:highlight w:val="none"/>
                    </w:rPr>
                    <w:t>日</w:t>
                  </w:r>
                  <w:r>
                    <w:rPr>
                      <w:rFonts w:hint="eastAsia" w:ascii="Times New Roman" w:cs="Times New Roman"/>
                      <w:bCs/>
                      <w:color w:val="auto"/>
                      <w:sz w:val="21"/>
                      <w:szCs w:val="21"/>
                      <w:highlight w:val="none"/>
                    </w:rPr>
                    <w:t>~</w:t>
                  </w:r>
                  <w:r>
                    <w:rPr>
                      <w:rFonts w:ascii="Times New Roman" w:cs="Times New Roman"/>
                      <w:bCs/>
                      <w:color w:val="auto"/>
                      <w:sz w:val="21"/>
                      <w:szCs w:val="21"/>
                      <w:highlight w:val="none"/>
                    </w:rPr>
                    <w:t>202</w:t>
                  </w:r>
                  <w:r>
                    <w:rPr>
                      <w:rFonts w:hint="eastAsia" w:ascii="Times New Roman" w:cs="Times New Roman"/>
                      <w:bCs/>
                      <w:color w:val="auto"/>
                      <w:sz w:val="21"/>
                      <w:szCs w:val="21"/>
                      <w:highlight w:val="none"/>
                    </w:rPr>
                    <w:t>3</w:t>
                  </w:r>
                  <w:r>
                    <w:rPr>
                      <w:rFonts w:ascii="Times New Roman" w:cs="Times New Roman"/>
                      <w:bCs/>
                      <w:color w:val="auto"/>
                      <w:sz w:val="21"/>
                      <w:szCs w:val="21"/>
                      <w:highlight w:val="none"/>
                    </w:rPr>
                    <w:t>年12月2</w:t>
                  </w:r>
                  <w:r>
                    <w:rPr>
                      <w:rFonts w:hint="eastAsia" w:ascii="Times New Roman" w:cs="Times New Roman"/>
                      <w:bCs/>
                      <w:color w:val="auto"/>
                      <w:sz w:val="21"/>
                      <w:szCs w:val="21"/>
                      <w:highlight w:val="none"/>
                    </w:rPr>
                    <w:t>5</w:t>
                  </w:r>
                  <w:r>
                    <w:rPr>
                      <w:rFonts w:ascii="Times New Roman" w:cs="Times New Roman"/>
                      <w:bCs/>
                      <w:color w:val="auto"/>
                      <w:sz w:val="21"/>
                      <w:szCs w:val="21"/>
                      <w:highlight w:val="none"/>
                    </w:rPr>
                    <w:t>日</w:t>
                  </w:r>
                </w:p>
              </w:tc>
              <w:tc>
                <w:tcPr>
                  <w:tcW w:w="971" w:type="dxa"/>
                  <w:shd w:val="clear" w:color="auto" w:fill="auto"/>
                  <w:vAlign w:val="center"/>
                </w:tcPr>
                <w:p w14:paraId="593FF662">
                  <w:pPr>
                    <w:pStyle w:val="2"/>
                    <w:snapToGrid w:val="0"/>
                    <w:spacing w:line="240" w:lineRule="auto"/>
                    <w:jc w:val="center"/>
                    <w:rPr>
                      <w:rFonts w:ascii="Times New Roman" w:cs="Times New Roman"/>
                      <w:color w:val="auto"/>
                      <w:sz w:val="21"/>
                      <w:szCs w:val="21"/>
                      <w:highlight w:val="none"/>
                    </w:rPr>
                  </w:pPr>
                  <w:r>
                    <w:rPr>
                      <w:rFonts w:hint="eastAsia" w:ascii="Times New Roman" w:cs="Times New Roman"/>
                      <w:color w:val="auto"/>
                      <w:sz w:val="21"/>
                      <w:szCs w:val="21"/>
                      <w:highlight w:val="none"/>
                    </w:rPr>
                    <w:t>西南</w:t>
                  </w:r>
                </w:p>
              </w:tc>
              <w:tc>
                <w:tcPr>
                  <w:tcW w:w="1238" w:type="dxa"/>
                  <w:shd w:val="clear" w:color="auto" w:fill="auto"/>
                  <w:vAlign w:val="center"/>
                </w:tcPr>
                <w:p w14:paraId="5AD4F1D0">
                  <w:pPr>
                    <w:pStyle w:val="2"/>
                    <w:snapToGrid w:val="0"/>
                    <w:spacing w:line="240" w:lineRule="auto"/>
                    <w:jc w:val="center"/>
                    <w:rPr>
                      <w:rFonts w:ascii="Times New Roman" w:cs="Times New Roman"/>
                      <w:color w:val="auto"/>
                      <w:sz w:val="21"/>
                      <w:szCs w:val="21"/>
                      <w:highlight w:val="none"/>
                    </w:rPr>
                  </w:pPr>
                  <w:r>
                    <w:rPr>
                      <w:rFonts w:hint="eastAsia" w:ascii="Times New Roman" w:cs="Times New Roman"/>
                      <w:color w:val="auto"/>
                      <w:sz w:val="21"/>
                      <w:szCs w:val="21"/>
                      <w:highlight w:val="none"/>
                    </w:rPr>
                    <w:t>4700</w:t>
                  </w:r>
                </w:p>
              </w:tc>
            </w:tr>
            <w:tr w14:paraId="5BB7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279" w:type="dxa"/>
                  <w:gridSpan w:val="7"/>
                  <w:shd w:val="clear" w:color="auto" w:fill="auto"/>
                  <w:vAlign w:val="center"/>
                </w:tcPr>
                <w:p w14:paraId="43475F6F">
                  <w:pPr>
                    <w:spacing w:line="276" w:lineRule="auto"/>
                    <w:jc w:val="left"/>
                    <w:rPr>
                      <w:color w:val="auto"/>
                      <w:sz w:val="21"/>
                      <w:szCs w:val="21"/>
                      <w:highlight w:val="none"/>
                    </w:rPr>
                  </w:pPr>
                  <w:bookmarkStart w:id="64" w:name="_Toc14154"/>
                  <w:bookmarkStart w:id="65" w:name="_Toc21186"/>
                  <w:bookmarkStart w:id="66" w:name="_Toc698"/>
                  <w:bookmarkStart w:id="67" w:name="_Toc21557"/>
                  <w:bookmarkStart w:id="68" w:name="_Toc4447"/>
                  <w:bookmarkStart w:id="69" w:name="_Toc24683"/>
                  <w:bookmarkStart w:id="70" w:name="_Toc13955"/>
                  <w:bookmarkStart w:id="71" w:name="_Toc8233"/>
                  <w:bookmarkStart w:id="72" w:name="_Toc24731"/>
                  <w:bookmarkStart w:id="73" w:name="_Toc14846"/>
                  <w:r>
                    <w:rPr>
                      <w:b/>
                      <w:bCs/>
                      <w:color w:val="auto"/>
                      <w:sz w:val="21"/>
                      <w:szCs w:val="21"/>
                      <w:highlight w:val="none"/>
                      <w:lang w:val="en-GB"/>
                    </w:rPr>
                    <w:t>注：设本</w:t>
                  </w:r>
                  <w:r>
                    <w:rPr>
                      <w:b/>
                      <w:bCs/>
                      <w:color w:val="auto"/>
                      <w:sz w:val="21"/>
                      <w:szCs w:val="21"/>
                      <w:highlight w:val="none"/>
                    </w:rPr>
                    <w:t>项目中心坐标（X，Y）为（0，0）</w:t>
                  </w:r>
                  <w:bookmarkEnd w:id="64"/>
                  <w:bookmarkEnd w:id="65"/>
                  <w:bookmarkEnd w:id="66"/>
                  <w:bookmarkEnd w:id="67"/>
                  <w:bookmarkEnd w:id="68"/>
                </w:p>
              </w:tc>
            </w:tr>
          </w:tbl>
          <w:p w14:paraId="49D5F91A">
            <w:pPr>
              <w:jc w:val="center"/>
              <w:rPr>
                <w:b/>
                <w:bCs/>
                <w:color w:val="auto"/>
                <w:sz w:val="21"/>
                <w:szCs w:val="21"/>
                <w:highlight w:val="none"/>
                <w:lang w:val="en-GB"/>
              </w:rPr>
            </w:pPr>
            <w:r>
              <w:rPr>
                <w:b/>
                <w:bCs/>
                <w:color w:val="auto"/>
                <w:sz w:val="21"/>
                <w:szCs w:val="21"/>
                <w:highlight w:val="none"/>
                <w:lang w:val="en-GB"/>
              </w:rPr>
              <w:t>表</w:t>
            </w:r>
            <w:r>
              <w:rPr>
                <w:b/>
                <w:bCs/>
                <w:color w:val="auto"/>
                <w:sz w:val="21"/>
                <w:szCs w:val="21"/>
                <w:highlight w:val="none"/>
              </w:rPr>
              <w:t>3-3</w:t>
            </w:r>
            <w:r>
              <w:rPr>
                <w:b/>
                <w:bCs/>
                <w:color w:val="auto"/>
                <w:sz w:val="21"/>
                <w:szCs w:val="21"/>
                <w:highlight w:val="none"/>
                <w:lang w:val="en-GB"/>
              </w:rPr>
              <w:t xml:space="preserve"> 其他污染物环境质量现状（监测结果）表</w:t>
            </w:r>
            <w:bookmarkEnd w:id="69"/>
            <w:bookmarkEnd w:id="70"/>
            <w:bookmarkEnd w:id="71"/>
            <w:bookmarkEnd w:id="72"/>
            <w:bookmarkEnd w:id="73"/>
          </w:p>
          <w:tbl>
            <w:tblPr>
              <w:tblStyle w:val="4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386"/>
              <w:gridCol w:w="1043"/>
              <w:gridCol w:w="1299"/>
              <w:gridCol w:w="1544"/>
              <w:gridCol w:w="1268"/>
              <w:gridCol w:w="820"/>
              <w:gridCol w:w="870"/>
            </w:tblGrid>
            <w:tr w14:paraId="1A7F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restart"/>
                  <w:shd w:val="clear" w:color="auto" w:fill="auto"/>
                  <w:vAlign w:val="center"/>
                </w:tcPr>
                <w:p w14:paraId="5E5026AF">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监测</w:t>
                  </w:r>
                </w:p>
                <w:p w14:paraId="6E09ADAB">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点位</w:t>
                  </w:r>
                </w:p>
              </w:tc>
              <w:tc>
                <w:tcPr>
                  <w:tcW w:w="752" w:type="pct"/>
                  <w:vMerge w:val="restart"/>
                  <w:shd w:val="clear" w:color="auto" w:fill="auto"/>
                  <w:vAlign w:val="center"/>
                </w:tcPr>
                <w:p w14:paraId="3C7E57C9">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污染物</w:t>
                  </w:r>
                </w:p>
              </w:tc>
              <w:tc>
                <w:tcPr>
                  <w:tcW w:w="566" w:type="pct"/>
                  <w:vMerge w:val="restart"/>
                  <w:shd w:val="clear" w:color="auto" w:fill="auto"/>
                  <w:vAlign w:val="center"/>
                </w:tcPr>
                <w:p w14:paraId="30707B52">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平均</w:t>
                  </w:r>
                </w:p>
                <w:p w14:paraId="2CFDB973">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时间</w:t>
                  </w:r>
                </w:p>
              </w:tc>
              <w:tc>
                <w:tcPr>
                  <w:tcW w:w="705" w:type="pct"/>
                  <w:vMerge w:val="restart"/>
                  <w:shd w:val="clear" w:color="auto" w:fill="auto"/>
                  <w:vAlign w:val="center"/>
                </w:tcPr>
                <w:p w14:paraId="5F3C6F9E">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评价标准/</w:t>
                  </w:r>
                  <w:r>
                    <w:rPr>
                      <w:b/>
                      <w:color w:val="auto"/>
                      <w:kern w:val="0"/>
                      <w:sz w:val="21"/>
                      <w:szCs w:val="21"/>
                      <w:highlight w:val="none"/>
                    </w:rPr>
                    <w:t>（μg/m</w:t>
                  </w:r>
                  <w:r>
                    <w:rPr>
                      <w:b/>
                      <w:color w:val="auto"/>
                      <w:kern w:val="0"/>
                      <w:sz w:val="21"/>
                      <w:szCs w:val="21"/>
                      <w:highlight w:val="none"/>
                      <w:vertAlign w:val="superscript"/>
                    </w:rPr>
                    <w:t>3</w:t>
                  </w:r>
                  <w:r>
                    <w:rPr>
                      <w:b/>
                      <w:color w:val="auto"/>
                      <w:kern w:val="0"/>
                      <w:sz w:val="21"/>
                      <w:szCs w:val="21"/>
                      <w:highlight w:val="none"/>
                    </w:rPr>
                    <w:t>）</w:t>
                  </w:r>
                </w:p>
              </w:tc>
              <w:tc>
                <w:tcPr>
                  <w:tcW w:w="838" w:type="pct"/>
                  <w:vMerge w:val="restart"/>
                  <w:shd w:val="clear" w:color="auto" w:fill="auto"/>
                  <w:vAlign w:val="center"/>
                </w:tcPr>
                <w:p w14:paraId="3AFDAECB">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监测浓度范围/（</w:t>
                  </w:r>
                  <w:r>
                    <w:rPr>
                      <w:b/>
                      <w:color w:val="auto"/>
                      <w:kern w:val="0"/>
                      <w:sz w:val="21"/>
                      <w:szCs w:val="21"/>
                      <w:highlight w:val="none"/>
                    </w:rPr>
                    <w:t>mg/m</w:t>
                  </w:r>
                  <w:r>
                    <w:rPr>
                      <w:b/>
                      <w:color w:val="auto"/>
                      <w:kern w:val="0"/>
                      <w:sz w:val="21"/>
                      <w:szCs w:val="21"/>
                      <w:highlight w:val="none"/>
                      <w:vertAlign w:val="superscript"/>
                    </w:rPr>
                    <w:t>3</w:t>
                  </w:r>
                  <w:r>
                    <w:rPr>
                      <w:b/>
                      <w:color w:val="auto"/>
                      <w:sz w:val="21"/>
                      <w:szCs w:val="21"/>
                      <w:highlight w:val="none"/>
                    </w:rPr>
                    <w:t>）</w:t>
                  </w:r>
                </w:p>
              </w:tc>
              <w:tc>
                <w:tcPr>
                  <w:tcW w:w="688" w:type="pct"/>
                  <w:vMerge w:val="restart"/>
                  <w:shd w:val="clear" w:color="auto" w:fill="auto"/>
                  <w:vAlign w:val="center"/>
                </w:tcPr>
                <w:p w14:paraId="62A5FA0D">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最大浓度占标率/%</w:t>
                  </w:r>
                </w:p>
              </w:tc>
              <w:tc>
                <w:tcPr>
                  <w:tcW w:w="445" w:type="pct"/>
                  <w:vMerge w:val="restart"/>
                  <w:shd w:val="clear" w:color="auto" w:fill="auto"/>
                  <w:vAlign w:val="center"/>
                </w:tcPr>
                <w:p w14:paraId="642771C2">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超标频率/%</w:t>
                  </w:r>
                </w:p>
              </w:tc>
              <w:tc>
                <w:tcPr>
                  <w:tcW w:w="472" w:type="pct"/>
                  <w:vMerge w:val="restart"/>
                  <w:shd w:val="clear" w:color="auto" w:fill="auto"/>
                  <w:vAlign w:val="center"/>
                </w:tcPr>
                <w:p w14:paraId="5744B574">
                  <w:pPr>
                    <w:pStyle w:val="26"/>
                    <w:adjustRightInd w:val="0"/>
                    <w:snapToGrid w:val="0"/>
                    <w:spacing w:line="240" w:lineRule="auto"/>
                    <w:ind w:firstLine="0" w:firstLineChars="0"/>
                    <w:jc w:val="center"/>
                    <w:rPr>
                      <w:b/>
                      <w:color w:val="auto"/>
                      <w:sz w:val="21"/>
                      <w:szCs w:val="21"/>
                      <w:highlight w:val="none"/>
                    </w:rPr>
                  </w:pPr>
                  <w:r>
                    <w:rPr>
                      <w:b/>
                      <w:color w:val="auto"/>
                      <w:sz w:val="21"/>
                      <w:szCs w:val="21"/>
                      <w:highlight w:val="none"/>
                    </w:rPr>
                    <w:t>达标情况</w:t>
                  </w:r>
                </w:p>
              </w:tc>
            </w:tr>
            <w:tr w14:paraId="2473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shd w:val="clear" w:color="auto" w:fill="auto"/>
                  <w:vAlign w:val="center"/>
                </w:tcPr>
                <w:p w14:paraId="3905E7C0">
                  <w:pPr>
                    <w:pStyle w:val="26"/>
                    <w:adjustRightInd w:val="0"/>
                    <w:snapToGrid w:val="0"/>
                    <w:spacing w:line="240" w:lineRule="auto"/>
                    <w:ind w:firstLine="0" w:firstLineChars="0"/>
                    <w:jc w:val="center"/>
                    <w:rPr>
                      <w:b/>
                      <w:color w:val="auto"/>
                      <w:sz w:val="21"/>
                      <w:szCs w:val="21"/>
                      <w:highlight w:val="none"/>
                    </w:rPr>
                  </w:pPr>
                </w:p>
              </w:tc>
              <w:tc>
                <w:tcPr>
                  <w:tcW w:w="752" w:type="pct"/>
                  <w:vMerge w:val="continue"/>
                  <w:shd w:val="clear" w:color="auto" w:fill="auto"/>
                  <w:vAlign w:val="center"/>
                </w:tcPr>
                <w:p w14:paraId="081D653C">
                  <w:pPr>
                    <w:pStyle w:val="26"/>
                    <w:adjustRightInd w:val="0"/>
                    <w:snapToGrid w:val="0"/>
                    <w:spacing w:line="240" w:lineRule="auto"/>
                    <w:ind w:firstLine="0" w:firstLineChars="0"/>
                    <w:jc w:val="center"/>
                    <w:rPr>
                      <w:b/>
                      <w:color w:val="auto"/>
                      <w:sz w:val="21"/>
                      <w:szCs w:val="21"/>
                      <w:highlight w:val="none"/>
                    </w:rPr>
                  </w:pPr>
                </w:p>
              </w:tc>
              <w:tc>
                <w:tcPr>
                  <w:tcW w:w="566" w:type="pct"/>
                  <w:vMerge w:val="continue"/>
                  <w:shd w:val="clear" w:color="auto" w:fill="auto"/>
                  <w:vAlign w:val="center"/>
                </w:tcPr>
                <w:p w14:paraId="08454123">
                  <w:pPr>
                    <w:pStyle w:val="26"/>
                    <w:adjustRightInd w:val="0"/>
                    <w:snapToGrid w:val="0"/>
                    <w:spacing w:line="240" w:lineRule="auto"/>
                    <w:ind w:firstLine="0" w:firstLineChars="0"/>
                    <w:jc w:val="center"/>
                    <w:rPr>
                      <w:b/>
                      <w:color w:val="auto"/>
                      <w:sz w:val="21"/>
                      <w:szCs w:val="21"/>
                      <w:highlight w:val="none"/>
                    </w:rPr>
                  </w:pPr>
                </w:p>
              </w:tc>
              <w:tc>
                <w:tcPr>
                  <w:tcW w:w="705" w:type="pct"/>
                  <w:vMerge w:val="continue"/>
                  <w:shd w:val="clear" w:color="auto" w:fill="auto"/>
                  <w:vAlign w:val="center"/>
                </w:tcPr>
                <w:p w14:paraId="7B5B02DB">
                  <w:pPr>
                    <w:pStyle w:val="26"/>
                    <w:adjustRightInd w:val="0"/>
                    <w:snapToGrid w:val="0"/>
                    <w:spacing w:line="240" w:lineRule="auto"/>
                    <w:ind w:firstLine="0" w:firstLineChars="0"/>
                    <w:jc w:val="center"/>
                    <w:rPr>
                      <w:b/>
                      <w:color w:val="auto"/>
                      <w:sz w:val="21"/>
                      <w:szCs w:val="21"/>
                      <w:highlight w:val="none"/>
                    </w:rPr>
                  </w:pPr>
                </w:p>
              </w:tc>
              <w:tc>
                <w:tcPr>
                  <w:tcW w:w="838" w:type="pct"/>
                  <w:vMerge w:val="continue"/>
                  <w:shd w:val="clear" w:color="auto" w:fill="auto"/>
                  <w:vAlign w:val="center"/>
                </w:tcPr>
                <w:p w14:paraId="2E145C39">
                  <w:pPr>
                    <w:pStyle w:val="26"/>
                    <w:adjustRightInd w:val="0"/>
                    <w:snapToGrid w:val="0"/>
                    <w:spacing w:line="240" w:lineRule="auto"/>
                    <w:ind w:firstLine="0" w:firstLineChars="0"/>
                    <w:jc w:val="center"/>
                    <w:rPr>
                      <w:b/>
                      <w:color w:val="auto"/>
                      <w:sz w:val="21"/>
                      <w:szCs w:val="21"/>
                      <w:highlight w:val="none"/>
                    </w:rPr>
                  </w:pPr>
                </w:p>
              </w:tc>
              <w:tc>
                <w:tcPr>
                  <w:tcW w:w="688" w:type="pct"/>
                  <w:vMerge w:val="continue"/>
                  <w:shd w:val="clear" w:color="auto" w:fill="auto"/>
                  <w:vAlign w:val="center"/>
                </w:tcPr>
                <w:p w14:paraId="1ADC3AE9">
                  <w:pPr>
                    <w:pStyle w:val="26"/>
                    <w:adjustRightInd w:val="0"/>
                    <w:snapToGrid w:val="0"/>
                    <w:spacing w:line="240" w:lineRule="auto"/>
                    <w:ind w:firstLine="0" w:firstLineChars="0"/>
                    <w:jc w:val="center"/>
                    <w:rPr>
                      <w:b/>
                      <w:color w:val="auto"/>
                      <w:sz w:val="21"/>
                      <w:szCs w:val="21"/>
                      <w:highlight w:val="none"/>
                    </w:rPr>
                  </w:pPr>
                </w:p>
              </w:tc>
              <w:tc>
                <w:tcPr>
                  <w:tcW w:w="445" w:type="pct"/>
                  <w:vMerge w:val="continue"/>
                  <w:shd w:val="clear" w:color="auto" w:fill="auto"/>
                  <w:vAlign w:val="center"/>
                </w:tcPr>
                <w:p w14:paraId="511F17E8">
                  <w:pPr>
                    <w:pStyle w:val="26"/>
                    <w:adjustRightInd w:val="0"/>
                    <w:snapToGrid w:val="0"/>
                    <w:spacing w:line="240" w:lineRule="auto"/>
                    <w:ind w:firstLine="0" w:firstLineChars="0"/>
                    <w:jc w:val="center"/>
                    <w:rPr>
                      <w:b/>
                      <w:color w:val="auto"/>
                      <w:sz w:val="21"/>
                      <w:szCs w:val="21"/>
                      <w:highlight w:val="none"/>
                    </w:rPr>
                  </w:pPr>
                </w:p>
              </w:tc>
              <w:tc>
                <w:tcPr>
                  <w:tcW w:w="472" w:type="pct"/>
                  <w:vMerge w:val="continue"/>
                  <w:shd w:val="clear" w:color="auto" w:fill="auto"/>
                  <w:vAlign w:val="center"/>
                </w:tcPr>
                <w:p w14:paraId="0B2B95FE">
                  <w:pPr>
                    <w:pStyle w:val="26"/>
                    <w:adjustRightInd w:val="0"/>
                    <w:snapToGrid w:val="0"/>
                    <w:spacing w:line="240" w:lineRule="auto"/>
                    <w:ind w:firstLine="0" w:firstLineChars="0"/>
                    <w:jc w:val="center"/>
                    <w:rPr>
                      <w:b/>
                      <w:color w:val="auto"/>
                      <w:sz w:val="21"/>
                      <w:szCs w:val="21"/>
                      <w:highlight w:val="none"/>
                    </w:rPr>
                  </w:pPr>
                </w:p>
              </w:tc>
            </w:tr>
            <w:tr w14:paraId="1625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restart"/>
                  <w:shd w:val="clear" w:color="auto" w:fill="auto"/>
                  <w:vAlign w:val="center"/>
                </w:tcPr>
                <w:p w14:paraId="7126F988">
                  <w:pPr>
                    <w:pStyle w:val="26"/>
                    <w:adjustRightInd w:val="0"/>
                    <w:snapToGrid w:val="0"/>
                    <w:spacing w:line="240" w:lineRule="auto"/>
                    <w:ind w:firstLine="0" w:firstLineChars="0"/>
                    <w:jc w:val="center"/>
                    <w:rPr>
                      <w:bCs/>
                      <w:color w:val="auto"/>
                      <w:kern w:val="0"/>
                      <w:sz w:val="21"/>
                      <w:szCs w:val="21"/>
                      <w:highlight w:val="none"/>
                    </w:rPr>
                  </w:pPr>
                  <w:r>
                    <w:rPr>
                      <w:color w:val="auto"/>
                      <w:sz w:val="21"/>
                      <w:szCs w:val="21"/>
                      <w:highlight w:val="none"/>
                    </w:rPr>
                    <w:t>G1</w:t>
                  </w:r>
                  <w:r>
                    <w:rPr>
                      <w:rFonts w:hint="eastAsia"/>
                      <w:color w:val="auto"/>
                      <w:sz w:val="21"/>
                      <w:szCs w:val="21"/>
                      <w:highlight w:val="none"/>
                    </w:rPr>
                    <w:t>和</w:t>
                  </w:r>
                  <w:r>
                    <w:rPr>
                      <w:color w:val="auto"/>
                      <w:sz w:val="21"/>
                      <w:szCs w:val="21"/>
                      <w:highlight w:val="none"/>
                    </w:rPr>
                    <w:t>村</w:t>
                  </w:r>
                </w:p>
              </w:tc>
              <w:tc>
                <w:tcPr>
                  <w:tcW w:w="752" w:type="pct"/>
                  <w:shd w:val="clear" w:color="auto" w:fill="auto"/>
                  <w:vAlign w:val="center"/>
                </w:tcPr>
                <w:p w14:paraId="4036C107">
                  <w:pPr>
                    <w:pStyle w:val="61"/>
                    <w:spacing w:before="46" w:after="46" w:line="240" w:lineRule="auto"/>
                    <w:rPr>
                      <w:bCs/>
                      <w:color w:val="auto"/>
                      <w:sz w:val="21"/>
                      <w:highlight w:val="none"/>
                    </w:rPr>
                  </w:pPr>
                  <w:r>
                    <w:rPr>
                      <w:bCs/>
                      <w:color w:val="auto"/>
                      <w:sz w:val="21"/>
                      <w:highlight w:val="none"/>
                    </w:rPr>
                    <w:t>TSP</w:t>
                  </w:r>
                </w:p>
              </w:tc>
              <w:tc>
                <w:tcPr>
                  <w:tcW w:w="566" w:type="pct"/>
                  <w:shd w:val="clear" w:color="auto" w:fill="auto"/>
                  <w:vAlign w:val="center"/>
                </w:tcPr>
                <w:p w14:paraId="1F135E09">
                  <w:pPr>
                    <w:pStyle w:val="61"/>
                    <w:spacing w:before="46" w:after="46" w:line="240" w:lineRule="auto"/>
                    <w:rPr>
                      <w:bCs/>
                      <w:color w:val="auto"/>
                      <w:sz w:val="21"/>
                      <w:highlight w:val="none"/>
                    </w:rPr>
                  </w:pPr>
                  <w:r>
                    <w:rPr>
                      <w:bCs/>
                      <w:color w:val="auto"/>
                      <w:sz w:val="21"/>
                      <w:highlight w:val="none"/>
                    </w:rPr>
                    <w:t>日均值</w:t>
                  </w:r>
                </w:p>
              </w:tc>
              <w:tc>
                <w:tcPr>
                  <w:tcW w:w="705" w:type="pct"/>
                  <w:shd w:val="clear" w:color="auto" w:fill="auto"/>
                  <w:vAlign w:val="center"/>
                </w:tcPr>
                <w:p w14:paraId="1375AFEC">
                  <w:pPr>
                    <w:pStyle w:val="61"/>
                    <w:spacing w:before="46" w:after="46" w:line="240" w:lineRule="auto"/>
                    <w:rPr>
                      <w:bCs/>
                      <w:color w:val="auto"/>
                      <w:sz w:val="21"/>
                      <w:highlight w:val="none"/>
                    </w:rPr>
                  </w:pPr>
                  <w:r>
                    <w:rPr>
                      <w:bCs/>
                      <w:color w:val="auto"/>
                      <w:sz w:val="21"/>
                      <w:highlight w:val="none"/>
                    </w:rPr>
                    <w:t>300</w:t>
                  </w:r>
                </w:p>
              </w:tc>
              <w:tc>
                <w:tcPr>
                  <w:tcW w:w="838" w:type="pct"/>
                  <w:shd w:val="clear" w:color="auto" w:fill="auto"/>
                  <w:vAlign w:val="center"/>
                </w:tcPr>
                <w:p w14:paraId="306EFF1D">
                  <w:pPr>
                    <w:pStyle w:val="26"/>
                    <w:spacing w:line="240" w:lineRule="auto"/>
                    <w:ind w:firstLine="0" w:firstLineChars="0"/>
                    <w:jc w:val="center"/>
                    <w:rPr>
                      <w:color w:val="auto"/>
                      <w:kern w:val="0"/>
                      <w:sz w:val="21"/>
                      <w:szCs w:val="21"/>
                      <w:highlight w:val="none"/>
                    </w:rPr>
                  </w:pPr>
                  <w:r>
                    <w:rPr>
                      <w:color w:val="auto"/>
                      <w:kern w:val="0"/>
                      <w:sz w:val="21"/>
                      <w:szCs w:val="21"/>
                      <w:highlight w:val="none"/>
                    </w:rPr>
                    <w:t>0.</w:t>
                  </w:r>
                  <w:r>
                    <w:rPr>
                      <w:rFonts w:hint="eastAsia"/>
                      <w:color w:val="auto"/>
                      <w:kern w:val="0"/>
                      <w:sz w:val="21"/>
                      <w:szCs w:val="21"/>
                      <w:highlight w:val="none"/>
                    </w:rPr>
                    <w:t>100</w:t>
                  </w:r>
                  <w:r>
                    <w:rPr>
                      <w:color w:val="auto"/>
                      <w:kern w:val="0"/>
                      <w:sz w:val="21"/>
                      <w:szCs w:val="21"/>
                      <w:highlight w:val="none"/>
                    </w:rPr>
                    <w:t>~0.1</w:t>
                  </w:r>
                  <w:r>
                    <w:rPr>
                      <w:rFonts w:hint="eastAsia"/>
                      <w:color w:val="auto"/>
                      <w:kern w:val="0"/>
                      <w:sz w:val="21"/>
                      <w:szCs w:val="21"/>
                      <w:highlight w:val="none"/>
                    </w:rPr>
                    <w:t>11</w:t>
                  </w:r>
                </w:p>
              </w:tc>
              <w:tc>
                <w:tcPr>
                  <w:tcW w:w="688" w:type="pct"/>
                  <w:shd w:val="clear" w:color="auto" w:fill="auto"/>
                  <w:vAlign w:val="center"/>
                </w:tcPr>
                <w:p w14:paraId="1A63D852">
                  <w:pPr>
                    <w:pStyle w:val="26"/>
                    <w:spacing w:line="240" w:lineRule="auto"/>
                    <w:ind w:firstLine="0" w:firstLineChars="0"/>
                    <w:jc w:val="center"/>
                    <w:rPr>
                      <w:color w:val="auto"/>
                      <w:kern w:val="0"/>
                      <w:sz w:val="21"/>
                      <w:szCs w:val="21"/>
                      <w:highlight w:val="none"/>
                    </w:rPr>
                  </w:pPr>
                  <w:r>
                    <w:rPr>
                      <w:color w:val="auto"/>
                      <w:kern w:val="0"/>
                      <w:sz w:val="21"/>
                      <w:szCs w:val="21"/>
                      <w:highlight w:val="none"/>
                    </w:rPr>
                    <w:t>3</w:t>
                  </w:r>
                  <w:r>
                    <w:rPr>
                      <w:rFonts w:hint="eastAsia"/>
                      <w:color w:val="auto"/>
                      <w:kern w:val="0"/>
                      <w:sz w:val="21"/>
                      <w:szCs w:val="21"/>
                      <w:highlight w:val="none"/>
                    </w:rPr>
                    <w:t>7</w:t>
                  </w:r>
                </w:p>
              </w:tc>
              <w:tc>
                <w:tcPr>
                  <w:tcW w:w="445" w:type="pct"/>
                  <w:shd w:val="clear" w:color="auto" w:fill="auto"/>
                  <w:vAlign w:val="center"/>
                </w:tcPr>
                <w:p w14:paraId="3D63646C">
                  <w:pPr>
                    <w:spacing w:line="240" w:lineRule="auto"/>
                    <w:jc w:val="center"/>
                    <w:rPr>
                      <w:bCs/>
                      <w:color w:val="auto"/>
                      <w:kern w:val="0"/>
                      <w:sz w:val="21"/>
                      <w:szCs w:val="21"/>
                      <w:highlight w:val="none"/>
                    </w:rPr>
                  </w:pPr>
                  <w:r>
                    <w:rPr>
                      <w:color w:val="auto"/>
                      <w:sz w:val="21"/>
                      <w:szCs w:val="21"/>
                      <w:highlight w:val="none"/>
                    </w:rPr>
                    <w:t>0</w:t>
                  </w:r>
                </w:p>
              </w:tc>
              <w:tc>
                <w:tcPr>
                  <w:tcW w:w="472" w:type="pct"/>
                  <w:shd w:val="clear" w:color="auto" w:fill="auto"/>
                  <w:vAlign w:val="center"/>
                </w:tcPr>
                <w:p w14:paraId="319C30E1">
                  <w:pPr>
                    <w:spacing w:line="240" w:lineRule="auto"/>
                    <w:jc w:val="center"/>
                    <w:rPr>
                      <w:bCs/>
                      <w:color w:val="auto"/>
                      <w:kern w:val="0"/>
                      <w:sz w:val="21"/>
                      <w:szCs w:val="21"/>
                      <w:highlight w:val="none"/>
                    </w:rPr>
                  </w:pPr>
                  <w:r>
                    <w:rPr>
                      <w:color w:val="auto"/>
                      <w:sz w:val="21"/>
                      <w:szCs w:val="21"/>
                      <w:highlight w:val="none"/>
                    </w:rPr>
                    <w:t>达标</w:t>
                  </w:r>
                </w:p>
              </w:tc>
            </w:tr>
            <w:tr w14:paraId="3F31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shd w:val="clear" w:color="auto" w:fill="auto"/>
                  <w:vAlign w:val="center"/>
                </w:tcPr>
                <w:p w14:paraId="19055B69">
                  <w:pPr>
                    <w:pStyle w:val="26"/>
                    <w:adjustRightInd w:val="0"/>
                    <w:snapToGrid w:val="0"/>
                    <w:spacing w:line="240" w:lineRule="auto"/>
                    <w:ind w:firstLine="0" w:firstLineChars="0"/>
                    <w:jc w:val="center"/>
                    <w:rPr>
                      <w:color w:val="auto"/>
                      <w:sz w:val="21"/>
                      <w:szCs w:val="21"/>
                      <w:highlight w:val="none"/>
                    </w:rPr>
                  </w:pPr>
                </w:p>
              </w:tc>
              <w:tc>
                <w:tcPr>
                  <w:tcW w:w="752" w:type="pct"/>
                  <w:shd w:val="clear" w:color="auto" w:fill="auto"/>
                  <w:vAlign w:val="center"/>
                </w:tcPr>
                <w:p w14:paraId="3CD8A076">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非甲烷总烃</w:t>
                  </w:r>
                </w:p>
              </w:tc>
              <w:tc>
                <w:tcPr>
                  <w:tcW w:w="566" w:type="pct"/>
                  <w:shd w:val="clear" w:color="auto" w:fill="auto"/>
                  <w:vAlign w:val="center"/>
                </w:tcPr>
                <w:p w14:paraId="143BEF15">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小时值</w:t>
                  </w:r>
                </w:p>
              </w:tc>
              <w:tc>
                <w:tcPr>
                  <w:tcW w:w="705" w:type="pct"/>
                  <w:shd w:val="clear" w:color="auto" w:fill="auto"/>
                  <w:vAlign w:val="center"/>
                </w:tcPr>
                <w:p w14:paraId="5DEEE23B">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2.0mg/</w:t>
                  </w:r>
                  <w:r>
                    <w:rPr>
                      <w:rFonts w:hint="default" w:ascii="Times New Roman" w:hAnsi="Times New Roman" w:cs="Times New Roman"/>
                      <w:b w:val="0"/>
                      <w:bCs/>
                      <w:color w:val="auto"/>
                      <w:kern w:val="0"/>
                      <w:sz w:val="21"/>
                      <w:szCs w:val="21"/>
                      <w:highlight w:val="none"/>
                    </w:rPr>
                    <w:t>m</w:t>
                  </w:r>
                  <w:r>
                    <w:rPr>
                      <w:rFonts w:hint="default" w:ascii="Times New Roman" w:hAnsi="Times New Roman" w:cs="Times New Roman"/>
                      <w:b w:val="0"/>
                      <w:bCs/>
                      <w:color w:val="auto"/>
                      <w:kern w:val="0"/>
                      <w:sz w:val="21"/>
                      <w:szCs w:val="21"/>
                      <w:highlight w:val="none"/>
                      <w:vertAlign w:val="superscript"/>
                    </w:rPr>
                    <w:t>3</w:t>
                  </w:r>
                </w:p>
              </w:tc>
              <w:tc>
                <w:tcPr>
                  <w:tcW w:w="838" w:type="pct"/>
                  <w:shd w:val="clear" w:color="auto" w:fill="auto"/>
                  <w:vAlign w:val="center"/>
                </w:tcPr>
                <w:p w14:paraId="24675D17">
                  <w:pPr>
                    <w:pStyle w:val="26"/>
                    <w:pageBreakBefore w:val="0"/>
                    <w:widowControl w:val="0"/>
                    <w:kinsoku/>
                    <w:overflowPunct/>
                    <w:topLinePunct w:val="0"/>
                    <w:bidi w:val="0"/>
                    <w:spacing w:line="240" w:lineRule="auto"/>
                    <w:ind w:firstLine="0" w:firstLineChars="0"/>
                    <w:jc w:val="center"/>
                    <w:textAlignment w:val="auto"/>
                    <w:outlineLvl w:val="9"/>
                    <w:rPr>
                      <w:color w:val="auto"/>
                      <w:kern w:val="0"/>
                      <w:sz w:val="21"/>
                      <w:szCs w:val="21"/>
                      <w:highlight w:val="none"/>
                    </w:rPr>
                  </w:pPr>
                  <w:r>
                    <w:rPr>
                      <w:rFonts w:hint="eastAsia" w:cs="Times New Roman"/>
                      <w:color w:val="auto"/>
                      <w:kern w:val="0"/>
                      <w:sz w:val="21"/>
                      <w:szCs w:val="21"/>
                      <w:highlight w:val="none"/>
                      <w:lang w:val="en-US" w:eastAsia="zh-CN"/>
                    </w:rPr>
                    <w:t>0.812~0.972</w:t>
                  </w:r>
                </w:p>
              </w:tc>
              <w:tc>
                <w:tcPr>
                  <w:tcW w:w="688" w:type="pct"/>
                  <w:shd w:val="clear" w:color="auto" w:fill="auto"/>
                  <w:vAlign w:val="center"/>
                </w:tcPr>
                <w:p w14:paraId="1F1C6980">
                  <w:pPr>
                    <w:pStyle w:val="26"/>
                    <w:pageBreakBefore w:val="0"/>
                    <w:widowControl w:val="0"/>
                    <w:kinsoku/>
                    <w:overflowPunct/>
                    <w:topLinePunct w:val="0"/>
                    <w:bidi w:val="0"/>
                    <w:spacing w:line="240" w:lineRule="auto"/>
                    <w:ind w:firstLine="0" w:firstLineChars="0"/>
                    <w:jc w:val="center"/>
                    <w:textAlignment w:val="auto"/>
                    <w:outlineLvl w:val="9"/>
                    <w:rPr>
                      <w:color w:val="auto"/>
                      <w:kern w:val="0"/>
                      <w:sz w:val="21"/>
                      <w:szCs w:val="21"/>
                      <w:highlight w:val="none"/>
                    </w:rPr>
                  </w:pPr>
                  <w:r>
                    <w:rPr>
                      <w:rFonts w:hint="eastAsia" w:cs="Times New Roman"/>
                      <w:color w:val="auto"/>
                      <w:kern w:val="0"/>
                      <w:sz w:val="21"/>
                      <w:szCs w:val="21"/>
                      <w:highlight w:val="none"/>
                      <w:lang w:val="en-US" w:eastAsia="zh-CN"/>
                    </w:rPr>
                    <w:t>48.6</w:t>
                  </w:r>
                </w:p>
              </w:tc>
              <w:tc>
                <w:tcPr>
                  <w:tcW w:w="445" w:type="pct"/>
                  <w:shd w:val="clear" w:color="auto" w:fill="auto"/>
                  <w:vAlign w:val="center"/>
                </w:tcPr>
                <w:p w14:paraId="62C0C484">
                  <w:pPr>
                    <w:pageBreakBefore w:val="0"/>
                    <w:widowControl w:val="0"/>
                    <w:kinsoku/>
                    <w:overflowPunct/>
                    <w:topLinePunct w:val="0"/>
                    <w:bidi w:val="0"/>
                    <w:spacing w:line="240" w:lineRule="auto"/>
                    <w:jc w:val="center"/>
                    <w:textAlignment w:val="auto"/>
                    <w:outlineLvl w:val="9"/>
                    <w:rPr>
                      <w:color w:val="auto"/>
                      <w:sz w:val="21"/>
                      <w:szCs w:val="21"/>
                      <w:highlight w:val="none"/>
                    </w:rPr>
                  </w:pPr>
                  <w:r>
                    <w:rPr>
                      <w:rFonts w:hint="eastAsia" w:cs="Times New Roman"/>
                      <w:color w:val="auto"/>
                      <w:sz w:val="21"/>
                      <w:szCs w:val="21"/>
                      <w:highlight w:val="none"/>
                      <w:lang w:val="en-US" w:eastAsia="zh-CN"/>
                    </w:rPr>
                    <w:t>0</w:t>
                  </w:r>
                </w:p>
              </w:tc>
              <w:tc>
                <w:tcPr>
                  <w:tcW w:w="472" w:type="pct"/>
                  <w:shd w:val="clear" w:color="auto" w:fill="auto"/>
                  <w:vAlign w:val="center"/>
                </w:tcPr>
                <w:p w14:paraId="04016BA5">
                  <w:pPr>
                    <w:pageBreakBefore w:val="0"/>
                    <w:widowControl w:val="0"/>
                    <w:kinsoku/>
                    <w:overflowPunct/>
                    <w:topLinePunct w:val="0"/>
                    <w:bidi w:val="0"/>
                    <w:spacing w:line="240" w:lineRule="auto"/>
                    <w:jc w:val="center"/>
                    <w:textAlignment w:val="auto"/>
                    <w:outlineLvl w:val="9"/>
                    <w:rPr>
                      <w:color w:val="auto"/>
                      <w:sz w:val="21"/>
                      <w:szCs w:val="21"/>
                      <w:highlight w:val="none"/>
                    </w:rPr>
                  </w:pPr>
                  <w:r>
                    <w:rPr>
                      <w:rFonts w:hint="eastAsia" w:cs="Times New Roman"/>
                      <w:color w:val="auto"/>
                      <w:sz w:val="21"/>
                      <w:szCs w:val="21"/>
                      <w:highlight w:val="none"/>
                      <w:lang w:val="en-US" w:eastAsia="zh-CN"/>
                    </w:rPr>
                    <w:t>达标</w:t>
                  </w:r>
                </w:p>
              </w:tc>
            </w:tr>
            <w:tr w14:paraId="3F44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shd w:val="clear" w:color="auto" w:fill="auto"/>
                  <w:vAlign w:val="center"/>
                </w:tcPr>
                <w:p w14:paraId="46CCB80F">
                  <w:pPr>
                    <w:pStyle w:val="26"/>
                    <w:adjustRightInd w:val="0"/>
                    <w:snapToGrid w:val="0"/>
                    <w:spacing w:line="240" w:lineRule="auto"/>
                    <w:ind w:firstLine="0" w:firstLineChars="0"/>
                    <w:jc w:val="center"/>
                    <w:rPr>
                      <w:color w:val="auto"/>
                      <w:sz w:val="21"/>
                      <w:szCs w:val="21"/>
                      <w:highlight w:val="none"/>
                    </w:rPr>
                  </w:pPr>
                </w:p>
              </w:tc>
              <w:tc>
                <w:tcPr>
                  <w:tcW w:w="752" w:type="pct"/>
                  <w:shd w:val="clear" w:color="auto" w:fill="auto"/>
                  <w:vAlign w:val="center"/>
                </w:tcPr>
                <w:p w14:paraId="27199ABF">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臭气浓度</w:t>
                  </w:r>
                </w:p>
              </w:tc>
              <w:tc>
                <w:tcPr>
                  <w:tcW w:w="566" w:type="pct"/>
                  <w:shd w:val="clear" w:color="auto" w:fill="auto"/>
                  <w:vAlign w:val="center"/>
                </w:tcPr>
                <w:p w14:paraId="5A07BE78">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小时值</w:t>
                  </w:r>
                </w:p>
              </w:tc>
              <w:tc>
                <w:tcPr>
                  <w:tcW w:w="705" w:type="pct"/>
                  <w:shd w:val="clear" w:color="auto" w:fill="auto"/>
                  <w:vAlign w:val="center"/>
                </w:tcPr>
                <w:p w14:paraId="408DDF55">
                  <w:pPr>
                    <w:pStyle w:val="61"/>
                    <w:pageBreakBefore w:val="0"/>
                    <w:widowControl w:val="0"/>
                    <w:kinsoku/>
                    <w:overflowPunct/>
                    <w:topLinePunct w:val="0"/>
                    <w:bidi w:val="0"/>
                    <w:spacing w:before="46" w:after="46" w:line="240" w:lineRule="auto"/>
                    <w:textAlignment w:val="auto"/>
                    <w:outlineLvl w:val="9"/>
                    <w:rPr>
                      <w:bCs/>
                      <w:color w:val="auto"/>
                      <w:sz w:val="21"/>
                      <w:highlight w:val="none"/>
                    </w:rPr>
                  </w:pPr>
                  <w:r>
                    <w:rPr>
                      <w:rFonts w:hint="eastAsia" w:cs="Times New Roman"/>
                      <w:bCs/>
                      <w:color w:val="auto"/>
                      <w:sz w:val="21"/>
                      <w:highlight w:val="none"/>
                      <w:lang w:val="en-US" w:eastAsia="zh-CN"/>
                    </w:rPr>
                    <w:t>/</w:t>
                  </w:r>
                </w:p>
              </w:tc>
              <w:tc>
                <w:tcPr>
                  <w:tcW w:w="838" w:type="pct"/>
                  <w:shd w:val="clear" w:color="auto" w:fill="auto"/>
                  <w:vAlign w:val="center"/>
                </w:tcPr>
                <w:p w14:paraId="5895F194">
                  <w:pPr>
                    <w:pStyle w:val="26"/>
                    <w:pageBreakBefore w:val="0"/>
                    <w:widowControl w:val="0"/>
                    <w:kinsoku/>
                    <w:overflowPunct/>
                    <w:topLinePunct w:val="0"/>
                    <w:bidi w:val="0"/>
                    <w:spacing w:line="240" w:lineRule="auto"/>
                    <w:ind w:firstLine="0" w:firstLineChars="0"/>
                    <w:jc w:val="center"/>
                    <w:textAlignment w:val="auto"/>
                    <w:outlineLvl w:val="9"/>
                    <w:rPr>
                      <w:color w:val="auto"/>
                      <w:kern w:val="0"/>
                      <w:sz w:val="21"/>
                      <w:szCs w:val="21"/>
                      <w:highlight w:val="none"/>
                    </w:rPr>
                  </w:pPr>
                  <w:r>
                    <w:rPr>
                      <w:rFonts w:hint="eastAsia" w:cs="Times New Roman"/>
                      <w:color w:val="auto"/>
                      <w:kern w:val="0"/>
                      <w:sz w:val="21"/>
                      <w:szCs w:val="21"/>
                      <w:highlight w:val="none"/>
                      <w:lang w:val="en-US" w:eastAsia="zh-CN"/>
                    </w:rPr>
                    <w:t>＜10</w:t>
                  </w:r>
                </w:p>
              </w:tc>
              <w:tc>
                <w:tcPr>
                  <w:tcW w:w="688" w:type="pct"/>
                  <w:shd w:val="clear" w:color="auto" w:fill="auto"/>
                  <w:vAlign w:val="center"/>
                </w:tcPr>
                <w:p w14:paraId="23128990">
                  <w:pPr>
                    <w:pStyle w:val="26"/>
                    <w:pageBreakBefore w:val="0"/>
                    <w:widowControl w:val="0"/>
                    <w:kinsoku/>
                    <w:overflowPunct/>
                    <w:topLinePunct w:val="0"/>
                    <w:bidi w:val="0"/>
                    <w:spacing w:line="240" w:lineRule="auto"/>
                    <w:ind w:firstLine="0" w:firstLineChars="0"/>
                    <w:jc w:val="center"/>
                    <w:textAlignment w:val="auto"/>
                    <w:outlineLvl w:val="9"/>
                    <w:rPr>
                      <w:color w:val="auto"/>
                      <w:kern w:val="0"/>
                      <w:sz w:val="21"/>
                      <w:szCs w:val="21"/>
                      <w:highlight w:val="none"/>
                    </w:rPr>
                  </w:pPr>
                  <w:r>
                    <w:rPr>
                      <w:rFonts w:hint="eastAsia" w:cs="Times New Roman"/>
                      <w:color w:val="auto"/>
                      <w:kern w:val="0"/>
                      <w:sz w:val="21"/>
                      <w:szCs w:val="21"/>
                      <w:highlight w:val="none"/>
                      <w:lang w:val="en-US" w:eastAsia="zh-CN"/>
                    </w:rPr>
                    <w:t>/</w:t>
                  </w:r>
                </w:p>
              </w:tc>
              <w:tc>
                <w:tcPr>
                  <w:tcW w:w="445" w:type="pct"/>
                  <w:shd w:val="clear" w:color="auto" w:fill="auto"/>
                  <w:vAlign w:val="center"/>
                </w:tcPr>
                <w:p w14:paraId="2AE83269">
                  <w:pPr>
                    <w:pageBreakBefore w:val="0"/>
                    <w:widowControl w:val="0"/>
                    <w:kinsoku/>
                    <w:overflowPunct/>
                    <w:topLinePunct w:val="0"/>
                    <w:bidi w:val="0"/>
                    <w:spacing w:line="240" w:lineRule="auto"/>
                    <w:jc w:val="center"/>
                    <w:textAlignment w:val="auto"/>
                    <w:outlineLvl w:val="9"/>
                    <w:rPr>
                      <w:color w:val="auto"/>
                      <w:sz w:val="21"/>
                      <w:szCs w:val="21"/>
                      <w:highlight w:val="none"/>
                    </w:rPr>
                  </w:pPr>
                  <w:r>
                    <w:rPr>
                      <w:rFonts w:hint="eastAsia" w:cs="Times New Roman"/>
                      <w:color w:val="auto"/>
                      <w:sz w:val="21"/>
                      <w:szCs w:val="21"/>
                      <w:highlight w:val="none"/>
                      <w:lang w:val="en-US" w:eastAsia="zh-CN"/>
                    </w:rPr>
                    <w:t>/</w:t>
                  </w:r>
                </w:p>
              </w:tc>
              <w:tc>
                <w:tcPr>
                  <w:tcW w:w="472" w:type="pct"/>
                  <w:shd w:val="clear" w:color="auto" w:fill="auto"/>
                  <w:vAlign w:val="center"/>
                </w:tcPr>
                <w:p w14:paraId="4DFC6B35">
                  <w:pPr>
                    <w:pageBreakBefore w:val="0"/>
                    <w:widowControl w:val="0"/>
                    <w:kinsoku/>
                    <w:overflowPunct/>
                    <w:topLinePunct w:val="0"/>
                    <w:bidi w:val="0"/>
                    <w:spacing w:line="240" w:lineRule="auto"/>
                    <w:jc w:val="center"/>
                    <w:textAlignment w:val="auto"/>
                    <w:outlineLvl w:val="9"/>
                    <w:rPr>
                      <w:color w:val="auto"/>
                      <w:sz w:val="21"/>
                      <w:szCs w:val="21"/>
                      <w:highlight w:val="none"/>
                    </w:rPr>
                  </w:pPr>
                  <w:r>
                    <w:rPr>
                      <w:rFonts w:hint="eastAsia" w:cs="Times New Roman"/>
                      <w:color w:val="auto"/>
                      <w:sz w:val="21"/>
                      <w:szCs w:val="21"/>
                      <w:highlight w:val="none"/>
                      <w:lang w:val="en-US" w:eastAsia="zh-CN"/>
                    </w:rPr>
                    <w:t>/</w:t>
                  </w:r>
                </w:p>
              </w:tc>
            </w:tr>
          </w:tbl>
          <w:p w14:paraId="26D0BBAF">
            <w:pPr>
              <w:ind w:firstLine="480" w:firstLineChars="200"/>
              <w:rPr>
                <w:color w:val="auto"/>
                <w:highlight w:val="none"/>
              </w:rPr>
            </w:pPr>
            <w:r>
              <w:rPr>
                <w:bCs/>
                <w:color w:val="auto"/>
                <w:szCs w:val="22"/>
                <w:highlight w:val="none"/>
              </w:rPr>
              <w:t>监测结果表明，项目周围区域空气中，</w:t>
            </w:r>
            <w:r>
              <w:rPr>
                <w:rFonts w:hint="default" w:ascii="Times New Roman" w:hAnsi="Times New Roman" w:cs="Times New Roman"/>
                <w:bCs/>
                <w:color w:val="auto"/>
                <w:szCs w:val="22"/>
                <w:highlight w:val="none"/>
              </w:rPr>
              <w:t>特征污染物TSP</w:t>
            </w:r>
            <w:r>
              <w:rPr>
                <w:rFonts w:hint="eastAsia" w:cs="Times New Roman"/>
                <w:bCs/>
                <w:color w:val="auto"/>
                <w:szCs w:val="22"/>
                <w:highlight w:val="none"/>
                <w:lang w:val="en-US" w:eastAsia="zh-CN"/>
              </w:rPr>
              <w:t>相应</w:t>
            </w:r>
            <w:r>
              <w:rPr>
                <w:rFonts w:hint="default" w:ascii="Times New Roman" w:hAnsi="Times New Roman" w:cs="Times New Roman"/>
                <w:bCs/>
                <w:color w:val="auto"/>
                <w:szCs w:val="22"/>
                <w:highlight w:val="none"/>
              </w:rPr>
              <w:t>浓度可达到</w:t>
            </w:r>
            <w:r>
              <w:rPr>
                <w:rFonts w:hint="default" w:ascii="Times New Roman" w:hAnsi="Times New Roman" w:cs="Times New Roman"/>
                <w:color w:val="auto"/>
                <w:highlight w:val="none"/>
              </w:rPr>
              <w:t>《环境空气质量标准》（GB3095-20</w:t>
            </w:r>
            <w:r>
              <w:rPr>
                <w:rFonts w:hint="eastAsia" w:ascii="Times New Roman" w:cs="Times New Roman"/>
                <w:color w:val="auto"/>
                <w:highlight w:val="none"/>
                <w:lang w:val="en-US" w:eastAsia="zh-CN"/>
              </w:rPr>
              <w:t>26</w:t>
            </w:r>
            <w:r>
              <w:rPr>
                <w:rFonts w:hint="default" w:ascii="Times New Roman" w:hAnsi="Times New Roman" w:cs="Times New Roman"/>
                <w:color w:val="auto"/>
                <w:highlight w:val="none"/>
              </w:rPr>
              <w:t>）</w:t>
            </w:r>
            <w:r>
              <w:rPr>
                <w:rFonts w:hint="eastAsia" w:ascii="Times New Roman" w:cs="Times New Roman"/>
                <w:color w:val="auto"/>
                <w:highlight w:val="none"/>
                <w:lang w:val="en-US" w:eastAsia="zh-CN"/>
              </w:rPr>
              <w:t>过渡阶段浓度限值二级标准</w:t>
            </w:r>
            <w:r>
              <w:rPr>
                <w:rFonts w:hint="default" w:ascii="Times New Roman" w:hAnsi="Times New Roman" w:cs="Times New Roman"/>
                <w:bCs/>
                <w:color w:val="auto"/>
                <w:szCs w:val="22"/>
                <w:highlight w:val="none"/>
              </w:rPr>
              <w:t>要求。非甲烷总烃</w:t>
            </w:r>
            <w:r>
              <w:rPr>
                <w:rFonts w:hint="eastAsia" w:cs="Times New Roman"/>
                <w:bCs/>
                <w:color w:val="auto"/>
                <w:szCs w:val="22"/>
                <w:highlight w:val="none"/>
                <w:lang w:val="en-US" w:eastAsia="zh-CN"/>
              </w:rPr>
              <w:t>可达到《大气污染物综合排放标准详解》（1997）要求</w:t>
            </w:r>
            <w:r>
              <w:rPr>
                <w:rFonts w:hint="default" w:ascii="Times New Roman" w:hAnsi="Times New Roman" w:cs="Times New Roman"/>
                <w:bCs/>
                <w:color w:val="auto"/>
                <w:szCs w:val="22"/>
                <w:highlight w:val="none"/>
              </w:rPr>
              <w:t>。</w:t>
            </w:r>
          </w:p>
          <w:p w14:paraId="015BB5C6">
            <w:pPr>
              <w:numPr>
                <w:ilvl w:val="2"/>
                <w:numId w:val="0"/>
              </w:numPr>
              <w:tabs>
                <w:tab w:val="left" w:pos="420"/>
              </w:tabs>
              <w:ind w:left="-2" w:firstLine="482"/>
              <w:rPr>
                <w:b/>
                <w:bCs/>
                <w:color w:val="auto"/>
                <w:highlight w:val="none"/>
              </w:rPr>
            </w:pPr>
            <w:r>
              <w:rPr>
                <w:b/>
                <w:bCs/>
                <w:color w:val="auto"/>
                <w:highlight w:val="none"/>
              </w:rPr>
              <w:t>二、水环境质量现状</w:t>
            </w:r>
          </w:p>
          <w:p w14:paraId="357853F0">
            <w:pPr>
              <w:autoSpaceDE w:val="0"/>
              <w:autoSpaceDN w:val="0"/>
              <w:adjustRightInd w:val="0"/>
              <w:ind w:firstLine="480" w:firstLineChars="200"/>
              <w:jc w:val="left"/>
              <w:rPr>
                <w:color w:val="auto"/>
                <w:highlight w:val="none"/>
              </w:rPr>
            </w:pPr>
            <w:r>
              <w:rPr>
                <w:color w:val="auto"/>
                <w:highlight w:val="none"/>
              </w:rPr>
              <w:t>根据《广东省地表水环境功能区划》（粤环</w:t>
            </w:r>
            <w:r>
              <w:rPr>
                <w:rFonts w:hint="eastAsia"/>
                <w:color w:val="auto"/>
                <w:highlight w:val="none"/>
              </w:rPr>
              <w:t>〔2011〕14号</w:t>
            </w:r>
            <w:r>
              <w:rPr>
                <w:color w:val="auto"/>
                <w:highlight w:val="none"/>
              </w:rPr>
              <w:t>），本项目所在区域主要地表水及纳污水体为武江（乐昌城-犁市），为</w:t>
            </w:r>
            <w:r>
              <w:rPr>
                <w:rFonts w:hint="eastAsia"/>
                <w:color w:val="auto"/>
                <w:highlight w:val="none"/>
              </w:rPr>
              <w:t>Ⅲ</w:t>
            </w:r>
            <w:r>
              <w:rPr>
                <w:color w:val="auto"/>
                <w:highlight w:val="none"/>
              </w:rPr>
              <w:t>类水质功能区，执行《地表水环境质量标准》（GB3838-2002）中的</w:t>
            </w:r>
            <w:r>
              <w:rPr>
                <w:rFonts w:hint="eastAsia"/>
                <w:color w:val="auto"/>
                <w:highlight w:val="none"/>
              </w:rPr>
              <w:t>Ⅲ</w:t>
            </w:r>
            <w:r>
              <w:rPr>
                <w:color w:val="auto"/>
                <w:highlight w:val="none"/>
              </w:rPr>
              <w:t>类标准。</w:t>
            </w:r>
          </w:p>
          <w:p w14:paraId="2CCC4FD6">
            <w:pPr>
              <w:autoSpaceDE w:val="0"/>
              <w:autoSpaceDN w:val="0"/>
              <w:adjustRightInd w:val="0"/>
              <w:ind w:firstLine="480" w:firstLineChars="200"/>
              <w:jc w:val="left"/>
              <w:rPr>
                <w:color w:val="auto"/>
                <w:highlight w:val="none"/>
              </w:rPr>
            </w:pPr>
            <w:r>
              <w:rPr>
                <w:color w:val="auto"/>
                <w:highlight w:val="none"/>
              </w:rPr>
              <w:t>根据《韶关市生态环境状况公报》</w:t>
            </w:r>
            <w:r>
              <w:rPr>
                <w:rFonts w:hint="eastAsia"/>
                <w:color w:val="auto"/>
                <w:highlight w:val="none"/>
              </w:rPr>
              <w:t>（</w:t>
            </w:r>
            <w:r>
              <w:rPr>
                <w:color w:val="auto"/>
                <w:highlight w:val="none"/>
              </w:rPr>
              <w:t>202</w:t>
            </w:r>
            <w:r>
              <w:rPr>
                <w:rFonts w:hint="eastAsia"/>
                <w:color w:val="auto"/>
                <w:highlight w:val="none"/>
              </w:rPr>
              <w:t>4</w:t>
            </w:r>
            <w:r>
              <w:rPr>
                <w:color w:val="auto"/>
                <w:highlight w:val="none"/>
              </w:rPr>
              <w:t>年</w:t>
            </w:r>
            <w:r>
              <w:rPr>
                <w:rFonts w:hint="eastAsia"/>
                <w:color w:val="auto"/>
                <w:highlight w:val="none"/>
              </w:rPr>
              <w:t>）</w:t>
            </w:r>
            <w:r>
              <w:rPr>
                <w:color w:val="auto"/>
                <w:highlight w:val="none"/>
              </w:rPr>
              <w:t>，2024年，韶关市11条主要江河（北江、武江、浈江、南水河、墨江、锦江、马坝河、滃江、新丰江、横石水和大潭河）34个市考以上手工监测断面水质优良率为100%，与2023年持平</w:t>
            </w:r>
            <w:r>
              <w:rPr>
                <w:rFonts w:hint="eastAsia"/>
                <w:color w:val="auto"/>
                <w:highlight w:val="none"/>
              </w:rPr>
              <w:t>，其中Ⅰ类比例为2.9%、Ⅱ类比例为88.2%、Ⅲ类比例为8.8%。</w:t>
            </w:r>
            <w:r>
              <w:rPr>
                <w:color w:val="auto"/>
                <w:highlight w:val="none"/>
              </w:rPr>
              <w:t>故项目所在地地表水环境质量现状良好。</w:t>
            </w:r>
          </w:p>
          <w:p w14:paraId="2BEBA24A">
            <w:pPr>
              <w:pStyle w:val="10"/>
              <w:numPr>
                <w:ilvl w:val="2"/>
                <w:numId w:val="0"/>
              </w:numPr>
              <w:ind w:left="-2" w:firstLine="482"/>
              <w:rPr>
                <w:color w:val="auto"/>
                <w:highlight w:val="none"/>
              </w:rPr>
            </w:pPr>
            <w:r>
              <w:rPr>
                <w:color w:val="auto"/>
                <w:highlight w:val="none"/>
              </w:rPr>
              <w:t>三、声环境质量现状</w:t>
            </w:r>
          </w:p>
          <w:p w14:paraId="09240663">
            <w:pPr>
              <w:ind w:firstLine="480" w:firstLineChars="200"/>
              <w:rPr>
                <w:color w:val="auto"/>
                <w:kern w:val="0"/>
                <w:highlight w:val="none"/>
              </w:rPr>
            </w:pPr>
            <w:r>
              <w:rPr>
                <w:color w:val="auto"/>
                <w:kern w:val="0"/>
                <w:highlight w:val="none"/>
              </w:rPr>
              <w:t>项目所在地为工业园区内，执行《声环境质量标准》（GB3096—2008）3类标准（昼间65dB(A)；夜间55dB(A)）</w:t>
            </w:r>
            <w:r>
              <w:rPr>
                <w:rFonts w:hint="eastAsia"/>
                <w:color w:val="auto"/>
                <w:kern w:val="0"/>
                <w:highlight w:val="none"/>
                <w:lang w:eastAsia="zh-CN"/>
              </w:rPr>
              <w:t>，</w:t>
            </w:r>
            <w:r>
              <w:rPr>
                <w:rFonts w:hint="eastAsia"/>
                <w:color w:val="auto"/>
                <w:highlight w:val="none"/>
                <w:lang w:val="en-US" w:eastAsia="zh-CN"/>
              </w:rPr>
              <w:t>根据《乐昌市中心城区声功能区划（2025年修订版）》（图见附图17），</w:t>
            </w:r>
            <w:r>
              <w:rPr>
                <w:color w:val="auto"/>
                <w:highlight w:val="none"/>
              </w:rPr>
              <w:t>本项目</w:t>
            </w:r>
            <w:r>
              <w:rPr>
                <w:rFonts w:hint="eastAsia"/>
                <w:color w:val="auto"/>
                <w:highlight w:val="none"/>
                <w:lang w:val="en-US" w:eastAsia="zh-CN"/>
              </w:rPr>
              <w:t>东、北厂界外为4a类声功能区，</w:t>
            </w:r>
            <w:r>
              <w:rPr>
                <w:rFonts w:hint="eastAsia"/>
                <w:color w:val="auto"/>
                <w:kern w:val="0"/>
                <w:highlight w:val="none"/>
                <w:lang w:val="en-US" w:eastAsia="zh-CN"/>
              </w:rPr>
              <w:t>厂界执行4a类标准</w:t>
            </w:r>
            <w:r>
              <w:rPr>
                <w:color w:val="auto"/>
                <w:kern w:val="0"/>
                <w:highlight w:val="none"/>
              </w:rPr>
              <w:t>。</w:t>
            </w:r>
          </w:p>
          <w:p w14:paraId="7DD5E4AA">
            <w:pPr>
              <w:ind w:firstLine="480" w:firstLineChars="200"/>
              <w:rPr>
                <w:color w:val="auto"/>
                <w:kern w:val="0"/>
                <w:highlight w:val="none"/>
              </w:rPr>
            </w:pPr>
            <w:r>
              <w:rPr>
                <w:color w:val="auto"/>
                <w:highlight w:val="none"/>
              </w:rPr>
              <w:t>根据《建设项目环境影响报告表编制技术指南（污染影响类）（试行）》，</w:t>
            </w:r>
            <w:r>
              <w:rPr>
                <w:color w:val="auto"/>
                <w:kern w:val="0"/>
                <w:highlight w:val="none"/>
              </w:rPr>
              <w:t>本项目周边50米范围内无敏感点，故无需进行声环境质量现状监测与评价。</w:t>
            </w:r>
          </w:p>
          <w:p w14:paraId="31A50448">
            <w:pPr>
              <w:pStyle w:val="10"/>
              <w:numPr>
                <w:ilvl w:val="2"/>
                <w:numId w:val="0"/>
              </w:numPr>
              <w:ind w:left="-2" w:firstLine="482"/>
              <w:rPr>
                <w:color w:val="auto"/>
                <w:highlight w:val="none"/>
              </w:rPr>
            </w:pPr>
            <w:r>
              <w:rPr>
                <w:color w:val="auto"/>
                <w:highlight w:val="none"/>
              </w:rPr>
              <w:t>四、地下水、土壤环境质量现状</w:t>
            </w:r>
          </w:p>
          <w:p w14:paraId="74F48BAD">
            <w:pPr>
              <w:autoSpaceDE w:val="0"/>
              <w:autoSpaceDN w:val="0"/>
              <w:adjustRightInd w:val="0"/>
              <w:ind w:firstLine="480" w:firstLineChars="200"/>
              <w:rPr>
                <w:bCs/>
                <w:color w:val="auto"/>
                <w:kern w:val="28"/>
                <w:highlight w:val="none"/>
              </w:rPr>
            </w:pPr>
            <w:r>
              <w:rPr>
                <w:rFonts w:hint="eastAsia"/>
                <w:color w:val="auto"/>
                <w:highlight w:val="none"/>
              </w:rPr>
              <w:t>项目投产后，生产用地范围内均进行硬底化</w:t>
            </w:r>
            <w:r>
              <w:rPr>
                <w:bCs/>
                <w:color w:val="auto"/>
                <w:kern w:val="28"/>
                <w:highlight w:val="none"/>
              </w:rPr>
              <w:t>，铝卷表面预处理生产车间、危险废物暂存间、自建污水处理站作基础防渗，防渗层为至少lm厚粘土层（渗透系数≤10</w:t>
            </w:r>
            <w:r>
              <w:rPr>
                <w:bCs/>
                <w:color w:val="auto"/>
                <w:kern w:val="28"/>
                <w:highlight w:val="none"/>
                <w:vertAlign w:val="superscript"/>
              </w:rPr>
              <w:t>-7</w:t>
            </w:r>
            <w:r>
              <w:rPr>
                <w:bCs/>
                <w:color w:val="auto"/>
                <w:kern w:val="28"/>
                <w:highlight w:val="none"/>
              </w:rPr>
              <w:t>cm/s），或2mm厚高密度聚乙烯，或至少2mm厚的其他人工材料，渗透系数≤10</w:t>
            </w:r>
            <w:r>
              <w:rPr>
                <w:bCs/>
                <w:color w:val="auto"/>
                <w:kern w:val="28"/>
                <w:highlight w:val="none"/>
                <w:vertAlign w:val="superscript"/>
              </w:rPr>
              <w:t>-10</w:t>
            </w:r>
            <w:r>
              <w:rPr>
                <w:bCs/>
                <w:color w:val="auto"/>
                <w:kern w:val="28"/>
                <w:highlight w:val="none"/>
              </w:rPr>
              <w:t>cm/s；本项目液态原辅料均储存在厂房设置的化学品仓内，且出入口处设置围堰围挡，物料随用随取，不使用时密闭封存，厂界四周设置围墙围挡，仅保留东</w:t>
            </w:r>
            <w:r>
              <w:rPr>
                <w:rFonts w:hint="eastAsia"/>
                <w:bCs/>
                <w:color w:val="auto"/>
                <w:kern w:val="28"/>
                <w:highlight w:val="none"/>
              </w:rPr>
              <w:t>北</w:t>
            </w:r>
            <w:r>
              <w:rPr>
                <w:bCs/>
                <w:color w:val="auto"/>
                <w:kern w:val="28"/>
                <w:highlight w:val="none"/>
              </w:rPr>
              <w:t>侧厂区出入口，且厂区出入口通道整体呈西南自东北走向，可防止地表径流直接进入本项目周边水体。因此不存在地下水、土壤环境污染途径。其他区域均进行水泥地面硬底化。项目生产经营范围内具有一定的防腐防渗作用，可有效阻断污染物入渗土壤的途径，正常工况下不会对地下水、土壤环境造成显著不良影响，且占地范围内不具备监测条件。因此不存在地下水、土壤环境污染。</w:t>
            </w:r>
          </w:p>
          <w:p w14:paraId="017B4E42">
            <w:pPr>
              <w:pStyle w:val="10"/>
              <w:numPr>
                <w:ilvl w:val="2"/>
                <w:numId w:val="0"/>
              </w:numPr>
              <w:ind w:left="-2" w:firstLine="482"/>
              <w:rPr>
                <w:color w:val="auto"/>
                <w:highlight w:val="none"/>
              </w:rPr>
            </w:pPr>
            <w:r>
              <w:rPr>
                <w:color w:val="auto"/>
                <w:highlight w:val="none"/>
              </w:rPr>
              <w:t>五、生态环境质量现状</w:t>
            </w:r>
          </w:p>
          <w:p w14:paraId="277D372E">
            <w:pPr>
              <w:pStyle w:val="10"/>
              <w:numPr>
                <w:ilvl w:val="2"/>
                <w:numId w:val="0"/>
              </w:numPr>
              <w:ind w:firstLine="480" w:firstLineChars="200"/>
              <w:rPr>
                <w:b w:val="0"/>
                <w:bCs w:val="0"/>
                <w:color w:val="auto"/>
                <w:szCs w:val="32"/>
                <w:highlight w:val="none"/>
              </w:rPr>
            </w:pPr>
            <w:r>
              <w:rPr>
                <w:b w:val="0"/>
                <w:bCs w:val="0"/>
                <w:color w:val="auto"/>
                <w:szCs w:val="32"/>
                <w:highlight w:val="none"/>
              </w:rPr>
              <w:t>本项目位于乐昌市乐昌产业转移工业园内，根据现场勘踏和调查，项目用地范围内不含生态环境保护目标，不需进行生态环境调查。</w:t>
            </w:r>
          </w:p>
          <w:p w14:paraId="6CF195B4">
            <w:pPr>
              <w:pStyle w:val="10"/>
              <w:numPr>
                <w:ilvl w:val="2"/>
                <w:numId w:val="0"/>
              </w:numPr>
              <w:ind w:firstLine="480" w:firstLineChars="200"/>
              <w:rPr>
                <w:color w:val="auto"/>
                <w:highlight w:val="none"/>
              </w:rPr>
            </w:pPr>
            <w:r>
              <w:rPr>
                <w:rFonts w:hint="eastAsia"/>
                <w:color w:val="auto"/>
                <w:highlight w:val="none"/>
              </w:rPr>
              <w:t>六</w:t>
            </w:r>
            <w:r>
              <w:rPr>
                <w:color w:val="auto"/>
                <w:highlight w:val="none"/>
              </w:rPr>
              <w:t>、</w:t>
            </w:r>
            <w:r>
              <w:rPr>
                <w:rFonts w:hint="eastAsia"/>
                <w:color w:val="auto"/>
                <w:highlight w:val="none"/>
              </w:rPr>
              <w:t>辐射</w:t>
            </w:r>
            <w:r>
              <w:rPr>
                <w:color w:val="auto"/>
                <w:highlight w:val="none"/>
              </w:rPr>
              <w:t>环境现状</w:t>
            </w:r>
          </w:p>
          <w:p w14:paraId="11BB2CF5">
            <w:pPr>
              <w:pStyle w:val="10"/>
              <w:numPr>
                <w:ilvl w:val="2"/>
                <w:numId w:val="0"/>
              </w:numPr>
              <w:ind w:firstLine="480" w:firstLineChars="200"/>
              <w:rPr>
                <w:b w:val="0"/>
                <w:bCs w:val="0"/>
                <w:color w:val="auto"/>
                <w:szCs w:val="32"/>
                <w:highlight w:val="none"/>
              </w:rPr>
            </w:pPr>
            <w:r>
              <w:rPr>
                <w:b w:val="0"/>
                <w:bCs w:val="0"/>
                <w:color w:val="auto"/>
                <w:szCs w:val="32"/>
                <w:highlight w:val="none"/>
              </w:rPr>
              <w:t>本项目</w:t>
            </w:r>
            <w:r>
              <w:rPr>
                <w:rFonts w:hint="eastAsia"/>
                <w:b w:val="0"/>
                <w:bCs w:val="0"/>
                <w:color w:val="auto"/>
                <w:szCs w:val="32"/>
                <w:highlight w:val="none"/>
              </w:rPr>
              <w:t>为废塑料</w:t>
            </w:r>
            <w:r>
              <w:rPr>
                <w:rFonts w:hint="eastAsia"/>
                <w:b w:val="0"/>
                <w:bCs w:val="0"/>
                <w:color w:val="auto"/>
                <w:szCs w:val="32"/>
                <w:highlight w:val="none"/>
                <w:lang w:val="en-US" w:eastAsia="zh-CN"/>
              </w:rPr>
              <w:t>破碎清洗分选造粒</w:t>
            </w:r>
            <w:r>
              <w:rPr>
                <w:rFonts w:hint="eastAsia"/>
                <w:b w:val="0"/>
                <w:bCs w:val="0"/>
                <w:color w:val="auto"/>
                <w:szCs w:val="32"/>
                <w:highlight w:val="none"/>
              </w:rPr>
              <w:t>项目，主要建设内容包括</w:t>
            </w:r>
            <w:r>
              <w:rPr>
                <w:rFonts w:hint="eastAsia"/>
                <w:b w:val="0"/>
                <w:bCs w:val="0"/>
                <w:color w:val="auto"/>
                <w:szCs w:val="32"/>
                <w:highlight w:val="none"/>
                <w:lang w:val="en-US" w:eastAsia="zh-CN"/>
              </w:rPr>
              <w:t>破碎、分选、造粒</w:t>
            </w:r>
            <w:r>
              <w:rPr>
                <w:rFonts w:hint="eastAsia"/>
                <w:b w:val="0"/>
                <w:bCs w:val="0"/>
                <w:color w:val="auto"/>
                <w:szCs w:val="32"/>
                <w:highlight w:val="none"/>
              </w:rPr>
              <w:t>等工序，不涉及放射性同位素、射线装置、高压输变电工程、移动通信基站等电离或电磁辐射污染源。</w:t>
            </w:r>
          </w:p>
          <w:p w14:paraId="44156334">
            <w:pPr>
              <w:pStyle w:val="10"/>
              <w:numPr>
                <w:ilvl w:val="2"/>
                <w:numId w:val="0"/>
              </w:numPr>
              <w:ind w:firstLine="480" w:firstLineChars="200"/>
              <w:rPr>
                <w:b w:val="0"/>
                <w:bCs w:val="0"/>
                <w:color w:val="auto"/>
                <w:szCs w:val="32"/>
                <w:highlight w:val="none"/>
              </w:rPr>
            </w:pPr>
            <w:r>
              <w:rPr>
                <w:rFonts w:hint="eastAsia"/>
                <w:b w:val="0"/>
                <w:bCs w:val="0"/>
                <w:color w:val="auto"/>
                <w:szCs w:val="32"/>
                <w:highlight w:val="none"/>
              </w:rPr>
              <w:t>项目所在区域周边无核技术利用单位、无大型变电站、无广播电视发射塔等辐射设施。根据《建设项目环境影响评价分类管理名录（2021年版）》及《辐射环境保护管理导则》，本项目无需开展辐射环境影响专项评价。</w:t>
            </w:r>
          </w:p>
          <w:p w14:paraId="24288300">
            <w:pPr>
              <w:pStyle w:val="10"/>
              <w:numPr>
                <w:ilvl w:val="2"/>
                <w:numId w:val="0"/>
              </w:numPr>
              <w:ind w:firstLine="480" w:firstLineChars="200"/>
              <w:rPr>
                <w:b w:val="0"/>
                <w:bCs w:val="0"/>
                <w:color w:val="auto"/>
                <w:szCs w:val="32"/>
                <w:highlight w:val="none"/>
              </w:rPr>
            </w:pPr>
            <w:r>
              <w:rPr>
                <w:rFonts w:hint="eastAsia"/>
                <w:b w:val="0"/>
                <w:bCs w:val="0"/>
                <w:color w:val="auto"/>
                <w:szCs w:val="32"/>
                <w:highlight w:val="none"/>
              </w:rPr>
              <w:t>综上，项目运营期无辐射污染物产生，对辐射环境无影响。</w:t>
            </w:r>
          </w:p>
          <w:p w14:paraId="7B57C5FF">
            <w:pPr>
              <w:pStyle w:val="10"/>
              <w:numPr>
                <w:ilvl w:val="2"/>
                <w:numId w:val="0"/>
              </w:numPr>
              <w:ind w:firstLine="480" w:firstLineChars="200"/>
              <w:rPr>
                <w:color w:val="auto"/>
                <w:highlight w:val="none"/>
              </w:rPr>
            </w:pPr>
          </w:p>
        </w:tc>
      </w:tr>
      <w:tr w14:paraId="0356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Align w:val="center"/>
          </w:tcPr>
          <w:p w14:paraId="20FE047A">
            <w:pPr>
              <w:keepNext/>
              <w:widowControl/>
              <w:numPr>
                <w:ilvl w:val="1"/>
                <w:numId w:val="0"/>
              </w:numPr>
              <w:tabs>
                <w:tab w:val="left" w:pos="420"/>
              </w:tabs>
              <w:spacing w:line="276" w:lineRule="auto"/>
              <w:jc w:val="center"/>
              <w:rPr>
                <w:b/>
                <w:bCs/>
                <w:color w:val="auto"/>
                <w:highlight w:val="none"/>
              </w:rPr>
            </w:pPr>
            <w:bookmarkStart w:id="74" w:name="_Toc31357"/>
            <w:bookmarkStart w:id="75" w:name="_Toc28375"/>
            <w:bookmarkStart w:id="76" w:name="_Toc20976"/>
            <w:bookmarkStart w:id="77" w:name="_Toc461"/>
            <w:bookmarkStart w:id="78" w:name="_Toc15908"/>
            <w:bookmarkStart w:id="79" w:name="_Toc728"/>
            <w:bookmarkStart w:id="80" w:name="_Toc28582"/>
            <w:bookmarkStart w:id="81" w:name="_Toc28210"/>
            <w:bookmarkStart w:id="82" w:name="_Toc4567"/>
            <w:bookmarkStart w:id="83" w:name="_Toc241"/>
            <w:bookmarkStart w:id="84" w:name="_Toc15642"/>
            <w:bookmarkStart w:id="85" w:name="_Toc24022"/>
            <w:bookmarkStart w:id="86" w:name="_Toc14552"/>
            <w:bookmarkStart w:id="87" w:name="_Toc31344"/>
            <w:r>
              <w:rPr>
                <w:b/>
                <w:bCs/>
                <w:color w:val="auto"/>
                <w:highlight w:val="none"/>
              </w:rPr>
              <w:t>环境保护目标</w:t>
            </w:r>
            <w:bookmarkEnd w:id="74"/>
            <w:bookmarkEnd w:id="75"/>
            <w:bookmarkEnd w:id="76"/>
            <w:bookmarkEnd w:id="77"/>
            <w:bookmarkEnd w:id="78"/>
            <w:bookmarkEnd w:id="79"/>
            <w:bookmarkEnd w:id="80"/>
            <w:bookmarkEnd w:id="81"/>
            <w:bookmarkEnd w:id="82"/>
            <w:bookmarkEnd w:id="83"/>
            <w:bookmarkEnd w:id="84"/>
            <w:bookmarkEnd w:id="85"/>
            <w:bookmarkEnd w:id="86"/>
            <w:bookmarkEnd w:id="87"/>
          </w:p>
        </w:tc>
        <w:tc>
          <w:tcPr>
            <w:tcW w:w="4737" w:type="pct"/>
          </w:tcPr>
          <w:p w14:paraId="1FEAF511">
            <w:pPr>
              <w:pStyle w:val="10"/>
              <w:numPr>
                <w:ilvl w:val="2"/>
                <w:numId w:val="0"/>
              </w:numPr>
              <w:ind w:firstLine="480" w:firstLineChars="200"/>
              <w:rPr>
                <w:color w:val="auto"/>
                <w:highlight w:val="none"/>
              </w:rPr>
            </w:pPr>
            <w:r>
              <w:rPr>
                <w:color w:val="auto"/>
                <w:highlight w:val="none"/>
              </w:rPr>
              <w:t>一、环境空气保护目标</w:t>
            </w:r>
          </w:p>
          <w:p w14:paraId="7ED35D1E">
            <w:pPr>
              <w:pStyle w:val="110"/>
              <w:ind w:firstLine="480"/>
              <w:rPr>
                <w:color w:val="auto"/>
                <w:highlight w:val="none"/>
              </w:rPr>
            </w:pPr>
            <w:r>
              <w:rPr>
                <w:color w:val="auto"/>
                <w:highlight w:val="none"/>
              </w:rPr>
              <w:t>本项目厂界外500m范围内无自然保护区、风景名胜区、文化区，主要大气环境保护目标为居民区等。具体情况详见下表，大气环境保护</w:t>
            </w:r>
            <w:r>
              <w:rPr>
                <w:rFonts w:hint="eastAsia"/>
                <w:color w:val="auto"/>
                <w:highlight w:val="none"/>
              </w:rPr>
              <w:t>目标</w:t>
            </w:r>
            <w:r>
              <w:rPr>
                <w:color w:val="auto"/>
                <w:highlight w:val="none"/>
              </w:rPr>
              <w:t>分布情况详见附图4。</w:t>
            </w:r>
          </w:p>
          <w:p w14:paraId="375B8838">
            <w:pPr>
              <w:pStyle w:val="10"/>
              <w:numPr>
                <w:ilvl w:val="0"/>
                <w:numId w:val="0"/>
              </w:numPr>
              <w:jc w:val="center"/>
              <w:rPr>
                <w:color w:val="auto"/>
                <w:sz w:val="21"/>
                <w:szCs w:val="21"/>
                <w:highlight w:val="none"/>
              </w:rPr>
            </w:pPr>
            <w:r>
              <w:rPr>
                <w:color w:val="auto"/>
                <w:sz w:val="21"/>
                <w:szCs w:val="21"/>
                <w:highlight w:val="none"/>
              </w:rPr>
              <w:t>表3-</w:t>
            </w:r>
            <w:r>
              <w:rPr>
                <w:rFonts w:hint="eastAsia"/>
                <w:color w:val="auto"/>
                <w:sz w:val="21"/>
                <w:szCs w:val="21"/>
                <w:highlight w:val="none"/>
                <w:lang w:val="en-US" w:eastAsia="zh-CN"/>
              </w:rPr>
              <w:t>4</w:t>
            </w:r>
            <w:r>
              <w:rPr>
                <w:rFonts w:hint="eastAsia"/>
                <w:color w:val="auto"/>
                <w:sz w:val="21"/>
                <w:szCs w:val="21"/>
                <w:highlight w:val="none"/>
              </w:rPr>
              <w:t xml:space="preserve"> </w:t>
            </w:r>
            <w:r>
              <w:rPr>
                <w:color w:val="auto"/>
                <w:sz w:val="21"/>
                <w:szCs w:val="21"/>
                <w:highlight w:val="none"/>
              </w:rPr>
              <w:t>大气环境保护目标一览表</w:t>
            </w:r>
          </w:p>
          <w:tbl>
            <w:tblPr>
              <w:tblStyle w:val="49"/>
              <w:tblW w:w="5017" w:type="pct"/>
              <w:jc w:val="center"/>
              <w:tblLayout w:type="fixed"/>
              <w:tblCellMar>
                <w:top w:w="0" w:type="dxa"/>
                <w:left w:w="108" w:type="dxa"/>
                <w:bottom w:w="0" w:type="dxa"/>
                <w:right w:w="108" w:type="dxa"/>
              </w:tblCellMar>
            </w:tblPr>
            <w:tblGrid>
              <w:gridCol w:w="639"/>
              <w:gridCol w:w="2010"/>
              <w:gridCol w:w="700"/>
              <w:gridCol w:w="683"/>
              <w:gridCol w:w="914"/>
              <w:gridCol w:w="1077"/>
              <w:gridCol w:w="1087"/>
              <w:gridCol w:w="1053"/>
              <w:gridCol w:w="1092"/>
            </w:tblGrid>
            <w:tr w14:paraId="7AB2BA4A">
              <w:tblPrEx>
                <w:tblCellMar>
                  <w:top w:w="0" w:type="dxa"/>
                  <w:left w:w="108" w:type="dxa"/>
                  <w:bottom w:w="0" w:type="dxa"/>
                  <w:right w:w="108" w:type="dxa"/>
                </w:tblCellMar>
              </w:tblPrEx>
              <w:trPr>
                <w:trHeight w:val="261" w:hRule="atLeast"/>
                <w:jc w:val="center"/>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485D">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序号</w:t>
                  </w:r>
                </w:p>
              </w:tc>
              <w:tc>
                <w:tcPr>
                  <w:tcW w:w="10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2B250">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名称</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0B5A6">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坐标/m</w:t>
                  </w:r>
                </w:p>
              </w:tc>
              <w:tc>
                <w:tcPr>
                  <w:tcW w:w="4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473C3">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保护</w:t>
                  </w:r>
                  <w:r>
                    <w:rPr>
                      <w:b/>
                      <w:bCs/>
                      <w:color w:val="auto"/>
                      <w:kern w:val="0"/>
                      <w:sz w:val="21"/>
                      <w:szCs w:val="21"/>
                      <w:highlight w:val="none"/>
                    </w:rPr>
                    <w:br w:type="textWrapping"/>
                  </w:r>
                  <w:r>
                    <w:rPr>
                      <w:b/>
                      <w:bCs/>
                      <w:color w:val="auto"/>
                      <w:kern w:val="0"/>
                      <w:sz w:val="21"/>
                      <w:szCs w:val="21"/>
                      <w:highlight w:val="none"/>
                    </w:rPr>
                    <w:t>对象</w:t>
                  </w: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013A4">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保护内容</w:t>
                  </w:r>
                </w:p>
              </w:tc>
              <w:tc>
                <w:tcPr>
                  <w:tcW w:w="5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FF2A1">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环境功能</w:t>
                  </w:r>
                </w:p>
              </w:tc>
              <w:tc>
                <w:tcPr>
                  <w:tcW w:w="5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EEE89">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相对厂址方位</w:t>
                  </w:r>
                </w:p>
              </w:tc>
              <w:tc>
                <w:tcPr>
                  <w:tcW w:w="5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B2EA3">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相对厂址距离/m</w:t>
                  </w:r>
                </w:p>
              </w:tc>
            </w:tr>
            <w:tr w14:paraId="7BFF1468">
              <w:tblPrEx>
                <w:tblCellMar>
                  <w:top w:w="0" w:type="dxa"/>
                  <w:left w:w="108" w:type="dxa"/>
                  <w:bottom w:w="0" w:type="dxa"/>
                  <w:right w:w="108" w:type="dxa"/>
                </w:tblCellMar>
              </w:tblPrEx>
              <w:trPr>
                <w:trHeight w:val="263" w:hRule="atLeast"/>
                <w:jc w:val="center"/>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CF6E1">
                  <w:pPr>
                    <w:widowControl/>
                    <w:snapToGrid w:val="0"/>
                    <w:spacing w:line="276" w:lineRule="auto"/>
                    <w:jc w:val="center"/>
                    <w:rPr>
                      <w:b/>
                      <w:bCs/>
                      <w:color w:val="auto"/>
                      <w:sz w:val="21"/>
                      <w:szCs w:val="21"/>
                      <w:highlight w:val="none"/>
                    </w:rPr>
                  </w:pPr>
                </w:p>
              </w:tc>
              <w:tc>
                <w:tcPr>
                  <w:tcW w:w="10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AB858">
                  <w:pPr>
                    <w:widowControl/>
                    <w:snapToGrid w:val="0"/>
                    <w:spacing w:line="276" w:lineRule="auto"/>
                    <w:jc w:val="center"/>
                    <w:rPr>
                      <w:b/>
                      <w:bCs/>
                      <w:color w:val="auto"/>
                      <w:sz w:val="21"/>
                      <w:szCs w:val="21"/>
                      <w:highlight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93BED">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X</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AB6B">
                  <w:pPr>
                    <w:widowControl/>
                    <w:snapToGrid w:val="0"/>
                    <w:spacing w:line="276" w:lineRule="auto"/>
                    <w:jc w:val="center"/>
                    <w:textAlignment w:val="center"/>
                    <w:rPr>
                      <w:b/>
                      <w:bCs/>
                      <w:color w:val="auto"/>
                      <w:sz w:val="21"/>
                      <w:szCs w:val="21"/>
                      <w:highlight w:val="none"/>
                    </w:rPr>
                  </w:pPr>
                  <w:r>
                    <w:rPr>
                      <w:b/>
                      <w:bCs/>
                      <w:color w:val="auto"/>
                      <w:kern w:val="0"/>
                      <w:sz w:val="21"/>
                      <w:szCs w:val="21"/>
                      <w:highlight w:val="none"/>
                    </w:rPr>
                    <w:t>Y</w:t>
                  </w:r>
                </w:p>
              </w:tc>
              <w:tc>
                <w:tcPr>
                  <w:tcW w:w="4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A474">
                  <w:pPr>
                    <w:widowControl/>
                    <w:snapToGrid w:val="0"/>
                    <w:spacing w:line="276" w:lineRule="auto"/>
                    <w:jc w:val="center"/>
                    <w:rPr>
                      <w:b/>
                      <w:bCs/>
                      <w:color w:val="auto"/>
                      <w:sz w:val="21"/>
                      <w:szCs w:val="21"/>
                      <w:highlight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8CCF2">
                  <w:pPr>
                    <w:widowControl/>
                    <w:snapToGrid w:val="0"/>
                    <w:spacing w:line="276" w:lineRule="auto"/>
                    <w:jc w:val="center"/>
                    <w:rPr>
                      <w:b/>
                      <w:bCs/>
                      <w:color w:val="auto"/>
                      <w:sz w:val="21"/>
                      <w:szCs w:val="21"/>
                      <w:highlight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1254B">
                  <w:pPr>
                    <w:widowControl/>
                    <w:snapToGrid w:val="0"/>
                    <w:spacing w:line="276" w:lineRule="auto"/>
                    <w:jc w:val="center"/>
                    <w:rPr>
                      <w:b/>
                      <w:bCs/>
                      <w:color w:val="auto"/>
                      <w:sz w:val="21"/>
                      <w:szCs w:val="21"/>
                      <w:highlight w:val="none"/>
                    </w:rPr>
                  </w:pPr>
                </w:p>
              </w:tc>
              <w:tc>
                <w:tcPr>
                  <w:tcW w:w="5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7DE0A">
                  <w:pPr>
                    <w:widowControl/>
                    <w:snapToGrid w:val="0"/>
                    <w:spacing w:line="276" w:lineRule="auto"/>
                    <w:jc w:val="center"/>
                    <w:rPr>
                      <w:b/>
                      <w:bCs/>
                      <w:color w:val="auto"/>
                      <w:sz w:val="21"/>
                      <w:szCs w:val="21"/>
                      <w:highlight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43B17">
                  <w:pPr>
                    <w:widowControl/>
                    <w:snapToGrid w:val="0"/>
                    <w:spacing w:line="276" w:lineRule="auto"/>
                    <w:jc w:val="center"/>
                    <w:rPr>
                      <w:b/>
                      <w:bCs/>
                      <w:color w:val="auto"/>
                      <w:sz w:val="21"/>
                      <w:szCs w:val="21"/>
                      <w:highlight w:val="none"/>
                    </w:rPr>
                  </w:pPr>
                </w:p>
              </w:tc>
            </w:tr>
            <w:tr w14:paraId="592F3BC9">
              <w:tblPrEx>
                <w:tblCellMar>
                  <w:top w:w="0" w:type="dxa"/>
                  <w:left w:w="108" w:type="dxa"/>
                  <w:bottom w:w="0" w:type="dxa"/>
                  <w:right w:w="108" w:type="dxa"/>
                </w:tblCellMar>
              </w:tblPrEx>
              <w:trPr>
                <w:trHeight w:val="510" w:hRule="atLeast"/>
                <w:jc w:val="center"/>
              </w:trPr>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A30D">
                  <w:pPr>
                    <w:widowControl/>
                    <w:snapToGrid w:val="0"/>
                    <w:spacing w:line="276" w:lineRule="auto"/>
                    <w:jc w:val="center"/>
                    <w:textAlignment w:val="center"/>
                    <w:rPr>
                      <w:color w:val="auto"/>
                      <w:sz w:val="21"/>
                      <w:szCs w:val="21"/>
                      <w:highlight w:val="none"/>
                    </w:rPr>
                  </w:pPr>
                  <w:r>
                    <w:rPr>
                      <w:color w:val="auto"/>
                      <w:kern w:val="0"/>
                      <w:sz w:val="21"/>
                      <w:szCs w:val="21"/>
                      <w:highlight w:val="none"/>
                    </w:rPr>
                    <w:t>1</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8C4B">
                  <w:pPr>
                    <w:widowControl/>
                    <w:snapToGrid w:val="0"/>
                    <w:spacing w:line="276" w:lineRule="auto"/>
                    <w:jc w:val="center"/>
                    <w:textAlignment w:val="center"/>
                    <w:rPr>
                      <w:color w:val="auto"/>
                      <w:sz w:val="21"/>
                      <w:szCs w:val="21"/>
                      <w:highlight w:val="none"/>
                    </w:rPr>
                  </w:pPr>
                  <w:r>
                    <w:rPr>
                      <w:rFonts w:hint="eastAsia"/>
                      <w:color w:val="auto"/>
                      <w:kern w:val="0"/>
                      <w:sz w:val="21"/>
                      <w:szCs w:val="21"/>
                      <w:highlight w:val="none"/>
                    </w:rPr>
                    <w:t>高粱头村</w:t>
                  </w:r>
                </w:p>
              </w:tc>
              <w:tc>
                <w:tcPr>
                  <w:tcW w:w="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3AE8">
                  <w:pPr>
                    <w:widowControl/>
                    <w:snapToGrid w:val="0"/>
                    <w:spacing w:line="276" w:lineRule="auto"/>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rPr>
                    <w:t>155</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68F8F">
                  <w:pPr>
                    <w:widowControl/>
                    <w:snapToGrid w:val="0"/>
                    <w:spacing w:line="276" w:lineRule="auto"/>
                    <w:jc w:val="center"/>
                    <w:textAlignment w:val="center"/>
                    <w:rPr>
                      <w:color w:val="auto"/>
                      <w:sz w:val="21"/>
                      <w:szCs w:val="21"/>
                      <w:highlight w:val="none"/>
                    </w:rPr>
                  </w:pPr>
                  <w:r>
                    <w:rPr>
                      <w:rFonts w:hint="eastAsia"/>
                      <w:color w:val="auto"/>
                      <w:kern w:val="0"/>
                      <w:sz w:val="21"/>
                      <w:szCs w:val="21"/>
                      <w:highlight w:val="none"/>
                    </w:rPr>
                    <w:t>-5</w:t>
                  </w:r>
                  <w:r>
                    <w:rPr>
                      <w:rFonts w:hint="eastAsia"/>
                      <w:color w:val="auto"/>
                      <w:kern w:val="0"/>
                      <w:sz w:val="21"/>
                      <w:szCs w:val="21"/>
                      <w:highlight w:val="none"/>
                      <w:lang w:val="en-US" w:eastAsia="zh-CN"/>
                    </w:rPr>
                    <w:t>3</w:t>
                  </w:r>
                  <w:r>
                    <w:rPr>
                      <w:rFonts w:hint="eastAsia"/>
                      <w:color w:val="auto"/>
                      <w:kern w:val="0"/>
                      <w:sz w:val="21"/>
                      <w:szCs w:val="21"/>
                      <w:highlight w:val="none"/>
                    </w:rPr>
                    <w:t>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CEAA">
                  <w:pPr>
                    <w:widowControl/>
                    <w:snapToGrid w:val="0"/>
                    <w:spacing w:line="276" w:lineRule="auto"/>
                    <w:jc w:val="center"/>
                    <w:textAlignment w:val="center"/>
                    <w:rPr>
                      <w:color w:val="auto"/>
                      <w:sz w:val="21"/>
                      <w:szCs w:val="21"/>
                      <w:highlight w:val="none"/>
                    </w:rPr>
                  </w:pPr>
                  <w:r>
                    <w:rPr>
                      <w:color w:val="auto"/>
                      <w:kern w:val="0"/>
                      <w:sz w:val="21"/>
                      <w:szCs w:val="21"/>
                      <w:highlight w:val="none"/>
                    </w:rPr>
                    <w:t>居民区</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75B8">
                  <w:pPr>
                    <w:widowControl/>
                    <w:snapToGrid w:val="0"/>
                    <w:spacing w:line="276" w:lineRule="auto"/>
                    <w:jc w:val="center"/>
                    <w:textAlignment w:val="center"/>
                    <w:rPr>
                      <w:color w:val="auto"/>
                      <w:sz w:val="21"/>
                      <w:szCs w:val="21"/>
                      <w:highlight w:val="none"/>
                    </w:rPr>
                  </w:pPr>
                  <w:r>
                    <w:rPr>
                      <w:rFonts w:hint="eastAsia"/>
                      <w:color w:val="auto"/>
                      <w:kern w:val="0"/>
                      <w:sz w:val="21"/>
                      <w:szCs w:val="21"/>
                      <w:highlight w:val="none"/>
                    </w:rPr>
                    <w:t>135</w:t>
                  </w:r>
                  <w:r>
                    <w:rPr>
                      <w:color w:val="auto"/>
                      <w:kern w:val="0"/>
                      <w:sz w:val="21"/>
                      <w:szCs w:val="21"/>
                      <w:highlight w:val="none"/>
                    </w:rPr>
                    <w:t>人</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FF6A">
                  <w:pPr>
                    <w:widowControl/>
                    <w:snapToGrid w:val="0"/>
                    <w:spacing w:line="276" w:lineRule="auto"/>
                    <w:jc w:val="center"/>
                    <w:textAlignment w:val="center"/>
                    <w:rPr>
                      <w:color w:val="auto"/>
                      <w:sz w:val="21"/>
                      <w:szCs w:val="21"/>
                      <w:highlight w:val="none"/>
                    </w:rPr>
                  </w:pPr>
                  <w:r>
                    <w:rPr>
                      <w:color w:val="auto"/>
                      <w:kern w:val="0"/>
                      <w:sz w:val="21"/>
                      <w:szCs w:val="21"/>
                      <w:highlight w:val="none"/>
                    </w:rPr>
                    <w:t>环境空气二类区</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E064">
                  <w:pPr>
                    <w:widowControl/>
                    <w:snapToGrid w:val="0"/>
                    <w:spacing w:line="276" w:lineRule="auto"/>
                    <w:jc w:val="center"/>
                    <w:textAlignment w:val="center"/>
                    <w:rPr>
                      <w:color w:val="auto"/>
                      <w:sz w:val="21"/>
                      <w:szCs w:val="21"/>
                      <w:highlight w:val="none"/>
                    </w:rPr>
                  </w:pPr>
                  <w:r>
                    <w:rPr>
                      <w:rFonts w:hint="eastAsia"/>
                      <w:color w:val="auto"/>
                      <w:kern w:val="0"/>
                      <w:sz w:val="21"/>
                      <w:szCs w:val="21"/>
                      <w:highlight w:val="none"/>
                    </w:rPr>
                    <w:t>东南</w:t>
                  </w:r>
                  <w:r>
                    <w:rPr>
                      <w:color w:val="auto"/>
                      <w:kern w:val="0"/>
                      <w:sz w:val="21"/>
                      <w:szCs w:val="21"/>
                      <w:highlight w:val="none"/>
                    </w:rPr>
                    <w:t>面</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CDDE">
                  <w:pPr>
                    <w:widowControl/>
                    <w:snapToGrid w:val="0"/>
                    <w:spacing w:line="276" w:lineRule="auto"/>
                    <w:jc w:val="center"/>
                    <w:textAlignment w:val="center"/>
                    <w:rPr>
                      <w:rFonts w:hint="eastAsia" w:eastAsia="宋体"/>
                      <w:color w:val="auto"/>
                      <w:sz w:val="21"/>
                      <w:szCs w:val="21"/>
                      <w:highlight w:val="none"/>
                      <w:lang w:eastAsia="zh-CN"/>
                    </w:rPr>
                  </w:pPr>
                  <w:r>
                    <w:rPr>
                      <w:rFonts w:hint="eastAsia"/>
                      <w:color w:val="auto"/>
                      <w:kern w:val="0"/>
                      <w:sz w:val="21"/>
                      <w:szCs w:val="21"/>
                      <w:highlight w:val="none"/>
                      <w:lang w:eastAsia="zh-CN"/>
                    </w:rPr>
                    <w:t>490</w:t>
                  </w:r>
                </w:p>
              </w:tc>
            </w:tr>
            <w:tr w14:paraId="7AB4C0AC">
              <w:tblPrEx>
                <w:tblCellMar>
                  <w:top w:w="0" w:type="dxa"/>
                  <w:left w:w="108" w:type="dxa"/>
                  <w:bottom w:w="0" w:type="dxa"/>
                  <w:right w:w="108" w:type="dxa"/>
                </w:tblCellMar>
              </w:tblPrEx>
              <w:trPr>
                <w:trHeight w:val="881"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CAB3EC">
                  <w:pPr>
                    <w:widowControl/>
                    <w:snapToGrid w:val="0"/>
                    <w:spacing w:line="276" w:lineRule="auto"/>
                    <w:jc w:val="left"/>
                    <w:textAlignment w:val="center"/>
                    <w:rPr>
                      <w:color w:val="auto"/>
                      <w:highlight w:val="none"/>
                    </w:rPr>
                  </w:pPr>
                  <w:r>
                    <w:rPr>
                      <w:color w:val="auto"/>
                      <w:kern w:val="0"/>
                      <w:sz w:val="21"/>
                      <w:szCs w:val="21"/>
                      <w:highlight w:val="none"/>
                    </w:rPr>
                    <w:t>备注：以厂房中点坐标为原点（E</w:t>
                  </w:r>
                  <w:r>
                    <w:rPr>
                      <w:rFonts w:hint="eastAsia"/>
                      <w:color w:val="auto"/>
                      <w:kern w:val="0"/>
                      <w:sz w:val="21"/>
                      <w:szCs w:val="21"/>
                      <w:highlight w:val="none"/>
                    </w:rPr>
                    <w:t>113°24′30.35</w:t>
                  </w:r>
                  <w:r>
                    <w:rPr>
                      <w:rFonts w:hint="eastAsia"/>
                      <w:color w:val="auto"/>
                      <w:kern w:val="0"/>
                      <w:sz w:val="21"/>
                      <w:szCs w:val="21"/>
                      <w:highlight w:val="none"/>
                      <w:lang w:val="en-US" w:eastAsia="zh-CN"/>
                    </w:rPr>
                    <w:t>8</w:t>
                  </w:r>
                  <w:r>
                    <w:rPr>
                      <w:rFonts w:hint="eastAsia"/>
                      <w:color w:val="auto"/>
                      <w:kern w:val="0"/>
                      <w:sz w:val="21"/>
                      <w:szCs w:val="21"/>
                      <w:highlight w:val="none"/>
                    </w:rPr>
                    <w:t>″,</w:t>
                  </w:r>
                  <w:r>
                    <w:rPr>
                      <w:rFonts w:hint="eastAsia"/>
                      <w:color w:val="auto"/>
                      <w:kern w:val="0"/>
                      <w:sz w:val="21"/>
                      <w:szCs w:val="21"/>
                      <w:highlight w:val="none"/>
                      <w:lang w:val="en-US" w:eastAsia="zh-CN"/>
                    </w:rPr>
                    <w:t>N</w:t>
                  </w:r>
                  <w:r>
                    <w:rPr>
                      <w:rFonts w:hint="eastAsia"/>
                      <w:color w:val="auto"/>
                      <w:kern w:val="0"/>
                      <w:sz w:val="21"/>
                      <w:szCs w:val="21"/>
                      <w:highlight w:val="none"/>
                    </w:rPr>
                    <w:t>5°9′15.495″</w:t>
                  </w:r>
                  <w:r>
                    <w:rPr>
                      <w:color w:val="auto"/>
                      <w:kern w:val="0"/>
                      <w:sz w:val="21"/>
                      <w:szCs w:val="21"/>
                      <w:highlight w:val="none"/>
                    </w:rPr>
                    <w:t>），正东为X轴正向，正北为Y轴正向，建立直角坐标系。</w:t>
                  </w:r>
                </w:p>
              </w:tc>
            </w:tr>
          </w:tbl>
          <w:p w14:paraId="599933AD">
            <w:pPr>
              <w:pStyle w:val="10"/>
              <w:numPr>
                <w:ilvl w:val="2"/>
                <w:numId w:val="0"/>
              </w:numPr>
              <w:ind w:firstLine="480" w:firstLineChars="200"/>
              <w:rPr>
                <w:color w:val="auto"/>
                <w:highlight w:val="none"/>
              </w:rPr>
            </w:pPr>
            <w:r>
              <w:rPr>
                <w:color w:val="auto"/>
                <w:highlight w:val="none"/>
              </w:rPr>
              <w:t>二、声环境保护目标</w:t>
            </w:r>
          </w:p>
          <w:p w14:paraId="51BD90F3">
            <w:pPr>
              <w:ind w:firstLine="480"/>
              <w:rPr>
                <w:color w:val="auto"/>
                <w:highlight w:val="none"/>
              </w:rPr>
            </w:pPr>
            <w:r>
              <w:rPr>
                <w:color w:val="auto"/>
                <w:szCs w:val="32"/>
                <w:highlight w:val="none"/>
              </w:rPr>
              <w:t>本项目</w:t>
            </w:r>
            <w:r>
              <w:rPr>
                <w:color w:val="auto"/>
                <w:highlight w:val="none"/>
              </w:rPr>
              <w:t>厂界外50米范围内无声环境保护目标。</w:t>
            </w:r>
          </w:p>
          <w:p w14:paraId="167DA7F1">
            <w:pPr>
              <w:pStyle w:val="10"/>
              <w:numPr>
                <w:ilvl w:val="2"/>
                <w:numId w:val="0"/>
              </w:numPr>
              <w:ind w:firstLine="480" w:firstLineChars="200"/>
              <w:rPr>
                <w:color w:val="auto"/>
                <w:highlight w:val="none"/>
              </w:rPr>
            </w:pPr>
            <w:r>
              <w:rPr>
                <w:color w:val="auto"/>
                <w:highlight w:val="none"/>
              </w:rPr>
              <w:t>三、地下水环境保护目标</w:t>
            </w:r>
          </w:p>
          <w:p w14:paraId="28A64AFE">
            <w:pPr>
              <w:ind w:firstLine="480"/>
              <w:rPr>
                <w:color w:val="auto"/>
                <w:highlight w:val="none"/>
              </w:rPr>
            </w:pPr>
            <w:r>
              <w:rPr>
                <w:color w:val="auto"/>
                <w:szCs w:val="32"/>
                <w:highlight w:val="none"/>
              </w:rPr>
              <w:t>本</w:t>
            </w:r>
            <w:r>
              <w:rPr>
                <w:color w:val="auto"/>
                <w:highlight w:val="none"/>
              </w:rPr>
              <w:t>项目厂界外500米范围内无地下水集中式饮用水水源和热水、矿泉水、温泉等特殊地下水资源。</w:t>
            </w:r>
          </w:p>
          <w:p w14:paraId="5A780CAD">
            <w:pPr>
              <w:pStyle w:val="10"/>
              <w:numPr>
                <w:ilvl w:val="2"/>
                <w:numId w:val="0"/>
              </w:numPr>
              <w:ind w:firstLine="480" w:firstLineChars="200"/>
              <w:rPr>
                <w:color w:val="auto"/>
                <w:highlight w:val="none"/>
              </w:rPr>
            </w:pPr>
            <w:r>
              <w:rPr>
                <w:color w:val="auto"/>
                <w:highlight w:val="none"/>
              </w:rPr>
              <w:t>四、生态环境保护目标</w:t>
            </w:r>
          </w:p>
          <w:p w14:paraId="69F5352C">
            <w:pPr>
              <w:ind w:firstLine="480" w:firstLineChars="200"/>
              <w:rPr>
                <w:color w:val="auto"/>
                <w:highlight w:val="none"/>
              </w:rPr>
            </w:pPr>
            <w:r>
              <w:rPr>
                <w:color w:val="auto"/>
                <w:highlight w:val="none"/>
              </w:rPr>
              <w:t>保护本项目建设地块的生态环境，防止水土流失，使其能实现生态环境的良性循环，</w:t>
            </w:r>
            <w:r>
              <w:rPr>
                <w:color w:val="auto"/>
                <w:szCs w:val="32"/>
                <w:highlight w:val="none"/>
              </w:rPr>
              <w:t>不对现有的生态环境造成大面积的破坏。本项目所在区域</w:t>
            </w:r>
            <w:r>
              <w:rPr>
                <w:color w:val="auto"/>
                <w:highlight w:val="none"/>
              </w:rPr>
              <w:t>无生态环境保护目标。</w:t>
            </w:r>
          </w:p>
        </w:tc>
      </w:tr>
      <w:tr w14:paraId="626B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62" w:type="pct"/>
            <w:vAlign w:val="center"/>
          </w:tcPr>
          <w:p w14:paraId="5728822A">
            <w:pPr>
              <w:keepNext/>
              <w:widowControl/>
              <w:numPr>
                <w:ilvl w:val="1"/>
                <w:numId w:val="0"/>
              </w:numPr>
              <w:tabs>
                <w:tab w:val="left" w:pos="420"/>
              </w:tabs>
              <w:jc w:val="center"/>
              <w:rPr>
                <w:b/>
                <w:bCs/>
                <w:color w:val="auto"/>
                <w:highlight w:val="none"/>
              </w:rPr>
            </w:pPr>
            <w:bookmarkStart w:id="88" w:name="_Toc9663"/>
            <w:bookmarkStart w:id="89" w:name="_Toc30637"/>
            <w:bookmarkStart w:id="90" w:name="_Toc27828"/>
            <w:bookmarkStart w:id="91" w:name="_Toc32736"/>
            <w:bookmarkStart w:id="92" w:name="_Toc4596"/>
            <w:bookmarkStart w:id="93" w:name="_Toc8003"/>
            <w:bookmarkStart w:id="94" w:name="_Toc29246"/>
            <w:bookmarkStart w:id="95" w:name="_Toc10187"/>
            <w:bookmarkStart w:id="96" w:name="_Toc14344"/>
            <w:bookmarkStart w:id="97" w:name="_Toc24161"/>
            <w:bookmarkStart w:id="98" w:name="_Toc2199"/>
            <w:bookmarkStart w:id="99" w:name="_Toc31966"/>
            <w:bookmarkStart w:id="100" w:name="_Toc8874"/>
            <w:bookmarkStart w:id="101" w:name="_Toc21959"/>
            <w:r>
              <w:rPr>
                <w:b/>
                <w:bCs/>
                <w:color w:val="auto"/>
                <w:highlight w:val="none"/>
              </w:rPr>
              <w:t>污染物排放控制标准</w:t>
            </w:r>
            <w:bookmarkEnd w:id="88"/>
            <w:bookmarkEnd w:id="89"/>
            <w:bookmarkEnd w:id="90"/>
            <w:bookmarkEnd w:id="91"/>
            <w:bookmarkEnd w:id="92"/>
            <w:bookmarkEnd w:id="93"/>
            <w:bookmarkEnd w:id="94"/>
            <w:bookmarkEnd w:id="95"/>
            <w:bookmarkEnd w:id="96"/>
            <w:bookmarkEnd w:id="97"/>
            <w:bookmarkEnd w:id="98"/>
            <w:bookmarkEnd w:id="99"/>
            <w:bookmarkEnd w:id="100"/>
            <w:bookmarkEnd w:id="101"/>
          </w:p>
        </w:tc>
        <w:tc>
          <w:tcPr>
            <w:tcW w:w="4737" w:type="pct"/>
          </w:tcPr>
          <w:p w14:paraId="3123DA32">
            <w:pPr>
              <w:pStyle w:val="10"/>
              <w:numPr>
                <w:ilvl w:val="2"/>
                <w:numId w:val="0"/>
              </w:numPr>
              <w:ind w:left="-2" w:firstLine="482"/>
              <w:rPr>
                <w:color w:val="auto"/>
                <w:highlight w:val="none"/>
              </w:rPr>
            </w:pPr>
            <w:r>
              <w:rPr>
                <w:color w:val="auto"/>
                <w:highlight w:val="none"/>
              </w:rPr>
              <w:t>一、废气排放标准</w:t>
            </w:r>
          </w:p>
          <w:p w14:paraId="0563B0CB">
            <w:pPr>
              <w:pStyle w:val="10"/>
              <w:numPr>
                <w:ilvl w:val="2"/>
                <w:numId w:val="0"/>
              </w:numPr>
              <w:ind w:firstLine="480" w:firstLineChars="200"/>
              <w:rPr>
                <w:rFonts w:hint="default" w:eastAsia="宋体"/>
                <w:color w:val="auto"/>
                <w:highlight w:val="none"/>
                <w:lang w:val="en-US" w:eastAsia="zh-CN"/>
              </w:rPr>
            </w:pPr>
            <w:r>
              <w:rPr>
                <w:rFonts w:hint="eastAsia"/>
                <w:b w:val="0"/>
                <w:bCs w:val="0"/>
                <w:color w:val="auto"/>
                <w:highlight w:val="none"/>
                <w:lang w:val="en-US" w:eastAsia="zh-CN"/>
              </w:rPr>
              <w:t>项目3#厂房已建设完成，仅需进行设备安装。</w:t>
            </w:r>
            <w:r>
              <w:rPr>
                <w:b w:val="0"/>
                <w:bCs w:val="0"/>
                <w:color w:val="auto"/>
                <w:highlight w:val="none"/>
              </w:rPr>
              <w:t>运营期</w:t>
            </w:r>
            <w:r>
              <w:rPr>
                <w:rFonts w:hint="eastAsia"/>
                <w:b w:val="0"/>
                <w:bCs w:val="0"/>
                <w:color w:val="auto"/>
                <w:highlight w:val="none"/>
                <w:lang w:val="en-US" w:eastAsia="zh-CN"/>
              </w:rPr>
              <w:t>废气排放标准如下：</w:t>
            </w:r>
          </w:p>
          <w:p w14:paraId="1A3F9FC0">
            <w:pPr>
              <w:keepNext w:val="0"/>
              <w:keepLines w:val="0"/>
              <w:suppressLineNumbers w:val="0"/>
              <w:tabs>
                <w:tab w:val="left" w:pos="2790"/>
              </w:tabs>
              <w:spacing w:before="0" w:beforeAutospacing="0" w:after="0" w:afterAutospacing="0" w:line="360" w:lineRule="auto"/>
              <w:ind w:left="0" w:right="0" w:firstLine="480" w:firstLineChars="200"/>
              <w:rPr>
                <w:color w:val="auto"/>
                <w:highlight w:val="none"/>
              </w:rPr>
            </w:pPr>
            <w:r>
              <w:rPr>
                <w:color w:val="auto"/>
                <w:highlight w:val="none"/>
              </w:rPr>
              <w:t>本项目</w:t>
            </w:r>
            <w:r>
              <w:rPr>
                <w:rFonts w:hint="eastAsia"/>
                <w:color w:val="auto"/>
                <w:highlight w:val="none"/>
                <w:lang w:val="en-US" w:eastAsia="zh-CN"/>
              </w:rPr>
              <w:t>生产</w:t>
            </w:r>
            <w:r>
              <w:rPr>
                <w:rFonts w:hint="eastAsia"/>
                <w:b w:val="0"/>
                <w:bCs w:val="0"/>
                <w:color w:val="auto"/>
                <w:szCs w:val="32"/>
                <w:highlight w:val="none"/>
                <w:lang w:val="en-US" w:eastAsia="zh-CN"/>
              </w:rPr>
              <w:t>过程中产生的</w:t>
            </w:r>
            <w:r>
              <w:rPr>
                <w:rFonts w:hint="eastAsia"/>
                <w:color w:val="auto"/>
                <w:highlight w:val="none"/>
                <w:lang w:val="en-US" w:eastAsia="zh-CN"/>
              </w:rPr>
              <w:t>废气主要含</w:t>
            </w:r>
            <w:r>
              <w:rPr>
                <w:color w:val="auto"/>
                <w:highlight w:val="none"/>
              </w:rPr>
              <w:t>颗粒物</w:t>
            </w:r>
            <w:r>
              <w:rPr>
                <w:rFonts w:hint="eastAsia"/>
                <w:color w:val="auto"/>
                <w:highlight w:val="none"/>
                <w:lang w:eastAsia="zh-CN"/>
              </w:rPr>
              <w:t>、</w:t>
            </w:r>
            <w:r>
              <w:rPr>
                <w:rFonts w:hint="eastAsia"/>
                <w:color w:val="auto"/>
                <w:highlight w:val="none"/>
                <w:lang w:val="en-US" w:eastAsia="zh-CN"/>
              </w:rPr>
              <w:t>非甲烷总烃、臭气浓度</w:t>
            </w:r>
            <w:r>
              <w:rPr>
                <w:color w:val="auto"/>
                <w:highlight w:val="none"/>
              </w:rPr>
              <w:t>，</w:t>
            </w:r>
            <w:r>
              <w:rPr>
                <w:rFonts w:hint="eastAsia"/>
                <w:color w:val="auto"/>
                <w:highlight w:val="none"/>
              </w:rPr>
              <w:t>废气颗粒物</w:t>
            </w:r>
            <w:r>
              <w:rPr>
                <w:rFonts w:hint="eastAsia"/>
                <w:color w:val="auto"/>
                <w:highlight w:val="none"/>
                <w:lang w:eastAsia="zh-CN"/>
              </w:rPr>
              <w:t>、</w:t>
            </w:r>
            <w:r>
              <w:rPr>
                <w:rFonts w:hint="eastAsia"/>
                <w:color w:val="auto"/>
                <w:highlight w:val="none"/>
                <w:lang w:val="en-US" w:eastAsia="zh-CN"/>
              </w:rPr>
              <w:t>非甲烷总烃</w:t>
            </w:r>
            <w:r>
              <w:rPr>
                <w:rFonts w:hint="eastAsia"/>
                <w:color w:val="auto"/>
                <w:highlight w:val="none"/>
              </w:rPr>
              <w:t>有组织排放执行《合成树脂工业污染物排放标准》(GB31572-2015) 及其 2024 年修改单中表 5 大气污染物特别排放限值</w:t>
            </w:r>
            <w:r>
              <w:rPr>
                <w:rFonts w:hint="eastAsia" w:cs="Times New Roman"/>
                <w:b w:val="0"/>
                <w:bCs/>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广东省《固定污染源挥发性有机物综合排放标准》（DB44/2367-2022）中表</w:t>
            </w:r>
            <w:r>
              <w:rPr>
                <w:rFonts w:hint="eastAsia" w:cs="Times New Roman"/>
                <w:color w:val="auto"/>
                <w:sz w:val="24"/>
                <w:szCs w:val="24"/>
                <w:highlight w:val="none"/>
                <w:lang w:val="en-US" w:eastAsia="zh-CN"/>
              </w:rPr>
              <w:t>1挥发性有机物排放限值两者中较严者</w:t>
            </w:r>
            <w:r>
              <w:rPr>
                <w:rFonts w:hint="eastAsia"/>
                <w:color w:val="auto"/>
                <w:highlight w:val="none"/>
                <w:lang w:eastAsia="zh-CN"/>
              </w:rPr>
              <w:t>，</w:t>
            </w:r>
            <w:r>
              <w:rPr>
                <w:rFonts w:hint="default" w:ascii="Times New Roman" w:hAnsi="Times New Roman" w:eastAsia="宋体" w:cs="Times New Roman"/>
                <w:color w:val="auto"/>
                <w:sz w:val="24"/>
                <w:highlight w:val="none"/>
              </w:rPr>
              <w:t>臭气浓度有组织排放执行《恶臭污染物排放标准》（GB14554-93）中表2恶臭污染物排放标准值</w:t>
            </w:r>
            <w:r>
              <w:rPr>
                <w:rFonts w:hint="eastAsia" w:ascii="Times New Roman" w:hAnsi="Times New Roman" w:cs="Times New Roman"/>
                <w:color w:val="auto"/>
                <w:sz w:val="24"/>
                <w:highlight w:val="none"/>
                <w:lang w:eastAsia="zh-CN"/>
              </w:rPr>
              <w:t>。</w:t>
            </w:r>
          </w:p>
          <w:p w14:paraId="04A350AF">
            <w:pPr>
              <w:pStyle w:val="2"/>
              <w:tabs>
                <w:tab w:val="left" w:pos="0"/>
              </w:tabs>
              <w:ind w:firstLine="40"/>
              <w:jc w:val="center"/>
              <w:rPr>
                <w:rFonts w:hint="eastAsia" w:ascii="Times New Roman" w:cs="Times New Roman"/>
                <w:b/>
                <w:bCs/>
                <w:color w:val="auto"/>
                <w:sz w:val="21"/>
                <w:szCs w:val="21"/>
                <w:highlight w:val="none"/>
                <w:lang w:val="en-US" w:eastAsia="zh-CN"/>
              </w:rPr>
            </w:pPr>
            <w:r>
              <w:rPr>
                <w:rFonts w:ascii="Times New Roman" w:cs="Times New Roman"/>
                <w:b/>
                <w:color w:val="auto"/>
                <w:sz w:val="21"/>
                <w:szCs w:val="21"/>
                <w:highlight w:val="none"/>
              </w:rPr>
              <w:t>表3-</w:t>
            </w:r>
            <w:r>
              <w:rPr>
                <w:rFonts w:hint="eastAsia" w:ascii="Times New Roman" w:cs="Times New Roman"/>
                <w:b/>
                <w:color w:val="auto"/>
                <w:sz w:val="21"/>
                <w:szCs w:val="21"/>
                <w:highlight w:val="none"/>
                <w:lang w:val="en-US" w:eastAsia="zh-CN"/>
              </w:rPr>
              <w:t>5</w:t>
            </w:r>
            <w:r>
              <w:rPr>
                <w:rFonts w:hint="eastAsia" w:ascii="Times New Roman" w:cs="Times New Roman"/>
                <w:b/>
                <w:color w:val="auto"/>
                <w:sz w:val="21"/>
                <w:szCs w:val="21"/>
                <w:highlight w:val="none"/>
              </w:rPr>
              <w:t xml:space="preserve"> </w:t>
            </w:r>
            <w:r>
              <w:rPr>
                <w:rFonts w:hint="eastAsia" w:ascii="Times New Roman" w:cs="Times New Roman"/>
                <w:b/>
                <w:color w:val="auto"/>
                <w:sz w:val="21"/>
                <w:szCs w:val="21"/>
                <w:highlight w:val="none"/>
                <w:lang w:val="en-US" w:eastAsia="zh-CN"/>
              </w:rPr>
              <w:t>排气筒DA001、DA002</w:t>
            </w:r>
            <w:r>
              <w:rPr>
                <w:rFonts w:ascii="Times New Roman" w:cs="Times New Roman"/>
                <w:b/>
                <w:bCs/>
                <w:color w:val="auto"/>
                <w:sz w:val="21"/>
                <w:szCs w:val="21"/>
                <w:highlight w:val="none"/>
              </w:rPr>
              <w:t>废气排放标准</w:t>
            </w:r>
            <w:r>
              <w:rPr>
                <w:rFonts w:hint="eastAsia" w:ascii="Times New Roman" w:cs="Times New Roman"/>
                <w:b/>
                <w:bCs/>
                <w:color w:val="auto"/>
                <w:sz w:val="21"/>
                <w:szCs w:val="21"/>
                <w:highlight w:val="none"/>
                <w:lang w:val="en-US" w:eastAsia="zh-CN"/>
              </w:rPr>
              <w:t xml:space="preserve">  </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7"/>
              <w:gridCol w:w="1967"/>
              <w:gridCol w:w="1333"/>
              <w:gridCol w:w="1287"/>
            </w:tblGrid>
            <w:tr w14:paraId="4EA9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jc w:val="center"/>
              </w:trPr>
              <w:tc>
                <w:tcPr>
                  <w:tcW w:w="2510" w:type="pct"/>
                  <w:tcBorders>
                    <w:tl2br w:val="nil"/>
                    <w:tr2bl w:val="nil"/>
                  </w:tcBorders>
                  <w:noWrap/>
                  <w:tcMar>
                    <w:left w:w="0" w:type="dxa"/>
                    <w:right w:w="0" w:type="dxa"/>
                  </w:tcMar>
                  <w:vAlign w:val="center"/>
                </w:tcPr>
                <w:p w14:paraId="600C80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污染物</w:t>
                  </w:r>
                </w:p>
              </w:tc>
              <w:tc>
                <w:tcPr>
                  <w:tcW w:w="1067" w:type="pct"/>
                  <w:tcBorders>
                    <w:tl2br w:val="nil"/>
                    <w:tr2bl w:val="nil"/>
                  </w:tcBorders>
                  <w:noWrap/>
                  <w:tcMar>
                    <w:left w:w="0" w:type="dxa"/>
                    <w:right w:w="0" w:type="dxa"/>
                  </w:tcMar>
                  <w:vAlign w:val="center"/>
                </w:tcPr>
                <w:p w14:paraId="0B09529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highlight w:val="none"/>
                      <w:lang w:val="en-US" w:eastAsia="zh-CN"/>
                    </w:rPr>
                  </w:pPr>
                  <w:r>
                    <w:rPr>
                      <w:rFonts w:hint="eastAsia"/>
                      <w:b/>
                      <w:bCs/>
                      <w:color w:val="auto"/>
                      <w:sz w:val="21"/>
                      <w:szCs w:val="21"/>
                      <w:highlight w:val="none"/>
                      <w:lang w:val="en-US" w:eastAsia="zh-CN"/>
                    </w:rPr>
                    <w:t>颗粒物</w:t>
                  </w:r>
                </w:p>
              </w:tc>
              <w:tc>
                <w:tcPr>
                  <w:tcW w:w="723" w:type="pct"/>
                  <w:tcBorders>
                    <w:tl2br w:val="nil"/>
                    <w:tr2bl w:val="nil"/>
                  </w:tcBorders>
                  <w:noWrap/>
                  <w:vAlign w:val="center"/>
                </w:tcPr>
                <w:p w14:paraId="6D3197C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非甲烷总烃</w:t>
                  </w:r>
                </w:p>
              </w:tc>
              <w:tc>
                <w:tcPr>
                  <w:tcW w:w="698" w:type="pct"/>
                  <w:tcBorders>
                    <w:tl2br w:val="nil"/>
                    <w:tr2bl w:val="nil"/>
                  </w:tcBorders>
                  <w:noWrap/>
                  <w:vAlign w:val="center"/>
                </w:tcPr>
                <w:p w14:paraId="4168A78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臭气浓度</w:t>
                  </w:r>
                </w:p>
              </w:tc>
            </w:tr>
            <w:tr w14:paraId="48EB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2510" w:type="pct"/>
                  <w:tcBorders>
                    <w:tl2br w:val="nil"/>
                    <w:tr2bl w:val="nil"/>
                  </w:tcBorders>
                  <w:noWrap/>
                  <w:tcMar>
                    <w:left w:w="0" w:type="dxa"/>
                    <w:right w:w="0" w:type="dxa"/>
                  </w:tcMar>
                  <w:vAlign w:val="center"/>
                </w:tcPr>
                <w:p w14:paraId="0165E955">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《合成树脂工业污染物排放标准》（GB31572-2015）</w:t>
                  </w:r>
                  <w:r>
                    <w:rPr>
                      <w:rFonts w:hint="default" w:ascii="Times New Roman" w:hAnsi="Times New Roman" w:cs="Times New Roman"/>
                      <w:b w:val="0"/>
                      <w:bCs/>
                      <w:color w:val="auto"/>
                      <w:sz w:val="21"/>
                      <w:szCs w:val="21"/>
                      <w:highlight w:val="none"/>
                    </w:rPr>
                    <w:t>表5大气污染物特别排放限值</w:t>
                  </w:r>
                </w:p>
              </w:tc>
              <w:tc>
                <w:tcPr>
                  <w:tcW w:w="1067" w:type="pct"/>
                  <w:tcBorders>
                    <w:tl2br w:val="nil"/>
                    <w:tr2bl w:val="nil"/>
                  </w:tcBorders>
                  <w:noWrap/>
                  <w:tcMar>
                    <w:left w:w="0" w:type="dxa"/>
                    <w:right w:w="0" w:type="dxa"/>
                  </w:tcMar>
                  <w:vAlign w:val="center"/>
                </w:tcPr>
                <w:p w14:paraId="74AEE00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b/>
                      <w:bCs/>
                      <w:color w:val="auto"/>
                      <w:sz w:val="21"/>
                      <w:szCs w:val="21"/>
                      <w:highlight w:val="none"/>
                      <w:lang w:val="en-US" w:eastAsia="zh-CN"/>
                    </w:rPr>
                  </w:pPr>
                  <w:r>
                    <w:rPr>
                      <w:rFonts w:hint="eastAsia"/>
                      <w:b w:val="0"/>
                      <w:bCs w:val="0"/>
                      <w:color w:val="auto"/>
                      <w:sz w:val="21"/>
                      <w:szCs w:val="21"/>
                      <w:highlight w:val="none"/>
                      <w:lang w:val="en-US" w:eastAsia="zh-CN"/>
                    </w:rPr>
                    <w:t>20</w:t>
                  </w:r>
                </w:p>
              </w:tc>
              <w:tc>
                <w:tcPr>
                  <w:tcW w:w="723" w:type="pct"/>
                  <w:tcBorders>
                    <w:tl2br w:val="nil"/>
                    <w:tr2bl w:val="nil"/>
                  </w:tcBorders>
                  <w:noWrap/>
                  <w:vAlign w:val="center"/>
                </w:tcPr>
                <w:p w14:paraId="68ECF27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60</w:t>
                  </w:r>
                </w:p>
              </w:tc>
              <w:tc>
                <w:tcPr>
                  <w:tcW w:w="698" w:type="pct"/>
                  <w:tcBorders>
                    <w:tl2br w:val="nil"/>
                    <w:tr2bl w:val="nil"/>
                  </w:tcBorders>
                  <w:noWrap/>
                  <w:vAlign w:val="center"/>
                </w:tcPr>
                <w:p w14:paraId="6C3FF63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w:t>
                  </w:r>
                </w:p>
              </w:tc>
            </w:tr>
            <w:tr w14:paraId="3126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2510" w:type="pct"/>
                  <w:tcBorders>
                    <w:tl2br w:val="nil"/>
                    <w:tr2bl w:val="nil"/>
                  </w:tcBorders>
                  <w:noWrap/>
                  <w:tcMar>
                    <w:left w:w="0" w:type="dxa"/>
                    <w:right w:w="0" w:type="dxa"/>
                  </w:tcMar>
                  <w:vAlign w:val="center"/>
                </w:tcPr>
                <w:p w14:paraId="167A9155">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《固定污染源挥发性有机物综合排放标准》（DB44/2367-2022）中表</w:t>
                  </w:r>
                  <w:r>
                    <w:rPr>
                      <w:rFonts w:hint="eastAsia" w:cs="Times New Roman"/>
                      <w:color w:val="auto"/>
                      <w:sz w:val="21"/>
                      <w:szCs w:val="21"/>
                      <w:highlight w:val="none"/>
                      <w:lang w:val="en-US" w:eastAsia="zh-CN"/>
                    </w:rPr>
                    <w:t>1挥发性有机物排放限值</w:t>
                  </w:r>
                </w:p>
              </w:tc>
              <w:tc>
                <w:tcPr>
                  <w:tcW w:w="1067" w:type="pct"/>
                  <w:tcBorders>
                    <w:tl2br w:val="nil"/>
                    <w:tr2bl w:val="nil"/>
                  </w:tcBorders>
                  <w:noWrap/>
                  <w:tcMar>
                    <w:left w:w="0" w:type="dxa"/>
                    <w:right w:w="0" w:type="dxa"/>
                  </w:tcMar>
                  <w:vAlign w:val="center"/>
                </w:tcPr>
                <w:p w14:paraId="0CCD786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w:t>
                  </w:r>
                </w:p>
              </w:tc>
              <w:tc>
                <w:tcPr>
                  <w:tcW w:w="723" w:type="pct"/>
                  <w:tcBorders>
                    <w:tl2br w:val="nil"/>
                    <w:tr2bl w:val="nil"/>
                  </w:tcBorders>
                  <w:noWrap/>
                  <w:vAlign w:val="center"/>
                </w:tcPr>
                <w:p w14:paraId="51DA88D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eastAsia"/>
                      <w:color w:val="auto"/>
                      <w:sz w:val="21"/>
                      <w:szCs w:val="21"/>
                      <w:highlight w:val="none"/>
                      <w:lang w:val="en-US" w:eastAsia="zh-CN"/>
                    </w:rPr>
                    <w:t>8</w:t>
                  </w:r>
                  <w:r>
                    <w:rPr>
                      <w:rFonts w:hint="eastAsia"/>
                      <w:color w:val="auto"/>
                      <w:sz w:val="21"/>
                      <w:szCs w:val="21"/>
                      <w:highlight w:val="none"/>
                    </w:rPr>
                    <w:t>0</w:t>
                  </w:r>
                </w:p>
              </w:tc>
              <w:tc>
                <w:tcPr>
                  <w:tcW w:w="698" w:type="pct"/>
                  <w:tcBorders>
                    <w:tl2br w:val="nil"/>
                    <w:tr2bl w:val="nil"/>
                  </w:tcBorders>
                  <w:noWrap/>
                  <w:vAlign w:val="center"/>
                </w:tcPr>
                <w:p w14:paraId="149C0BE5">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eastAsia"/>
                      <w:color w:val="auto"/>
                      <w:sz w:val="21"/>
                      <w:szCs w:val="21"/>
                      <w:highlight w:val="none"/>
                    </w:rPr>
                    <w:t>/</w:t>
                  </w:r>
                </w:p>
              </w:tc>
            </w:tr>
            <w:tr w14:paraId="1DC5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2510" w:type="pct"/>
                  <w:tcBorders>
                    <w:tl2br w:val="nil"/>
                    <w:tr2bl w:val="nil"/>
                  </w:tcBorders>
                  <w:noWrap/>
                  <w:tcMar>
                    <w:left w:w="0" w:type="dxa"/>
                    <w:right w:w="0" w:type="dxa"/>
                  </w:tcMar>
                  <w:vAlign w:val="center"/>
                </w:tcPr>
                <w:p w14:paraId="455885E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2"/>
                      <w:sz w:val="21"/>
                      <w:szCs w:val="21"/>
                      <w:highlight w:val="none"/>
                    </w:rPr>
                    <w:t>《恶臭污染物排放标准》（GB14554-93）表2污染物排放标准值</w:t>
                  </w:r>
                </w:p>
              </w:tc>
              <w:tc>
                <w:tcPr>
                  <w:tcW w:w="1067" w:type="pct"/>
                  <w:tcBorders>
                    <w:tl2br w:val="nil"/>
                    <w:tr2bl w:val="nil"/>
                  </w:tcBorders>
                  <w:noWrap/>
                  <w:tcMar>
                    <w:left w:w="0" w:type="dxa"/>
                    <w:right w:w="0" w:type="dxa"/>
                  </w:tcMar>
                  <w:vAlign w:val="center"/>
                </w:tcPr>
                <w:p w14:paraId="3D88D38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w:t>
                  </w:r>
                </w:p>
              </w:tc>
              <w:tc>
                <w:tcPr>
                  <w:tcW w:w="723" w:type="pct"/>
                  <w:tcBorders>
                    <w:tl2br w:val="nil"/>
                    <w:tr2bl w:val="nil"/>
                  </w:tcBorders>
                  <w:noWrap/>
                  <w:vAlign w:val="center"/>
                </w:tcPr>
                <w:p w14:paraId="503BADD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98" w:type="pct"/>
                  <w:tcBorders>
                    <w:tl2br w:val="nil"/>
                    <w:tr2bl w:val="nil"/>
                  </w:tcBorders>
                  <w:noWrap/>
                  <w:vAlign w:val="center"/>
                </w:tcPr>
                <w:p w14:paraId="063E9EC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2000</w:t>
                  </w:r>
                </w:p>
              </w:tc>
            </w:tr>
            <w:tr w14:paraId="581E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2510" w:type="pct"/>
                  <w:tcBorders>
                    <w:tl2br w:val="nil"/>
                    <w:tr2bl w:val="nil"/>
                  </w:tcBorders>
                  <w:noWrap/>
                  <w:tcMar>
                    <w:left w:w="0" w:type="dxa"/>
                    <w:right w:w="0" w:type="dxa"/>
                  </w:tcMar>
                  <w:vAlign w:val="center"/>
                </w:tcPr>
                <w:p w14:paraId="6D757167">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eastAsia"/>
                      <w:color w:val="auto"/>
                      <w:sz w:val="21"/>
                      <w:szCs w:val="21"/>
                      <w:highlight w:val="none"/>
                      <w:lang w:val="en-US" w:eastAsia="zh-CN"/>
                    </w:rPr>
                    <w:t>本项目</w:t>
                  </w:r>
                  <w:r>
                    <w:rPr>
                      <w:color w:val="auto"/>
                      <w:sz w:val="21"/>
                      <w:szCs w:val="21"/>
                      <w:highlight w:val="none"/>
                    </w:rPr>
                    <w:t>执行限值</w:t>
                  </w:r>
                </w:p>
              </w:tc>
              <w:tc>
                <w:tcPr>
                  <w:tcW w:w="1067" w:type="pct"/>
                  <w:tcBorders>
                    <w:tl2br w:val="nil"/>
                    <w:tr2bl w:val="nil"/>
                  </w:tcBorders>
                  <w:noWrap/>
                  <w:tcMar>
                    <w:left w:w="0" w:type="dxa"/>
                    <w:right w:w="0" w:type="dxa"/>
                  </w:tcMar>
                  <w:vAlign w:val="center"/>
                </w:tcPr>
                <w:p w14:paraId="6FA918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w:t>
                  </w:r>
                </w:p>
              </w:tc>
              <w:tc>
                <w:tcPr>
                  <w:tcW w:w="723" w:type="pct"/>
                  <w:tcBorders>
                    <w:tl2br w:val="nil"/>
                    <w:tr2bl w:val="nil"/>
                  </w:tcBorders>
                  <w:noWrap/>
                  <w:vAlign w:val="center"/>
                </w:tcPr>
                <w:p w14:paraId="6FB6A0F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60</w:t>
                  </w:r>
                </w:p>
              </w:tc>
              <w:tc>
                <w:tcPr>
                  <w:tcW w:w="698" w:type="pct"/>
                  <w:tcBorders>
                    <w:tl2br w:val="nil"/>
                    <w:tr2bl w:val="nil"/>
                  </w:tcBorders>
                  <w:noWrap/>
                  <w:vAlign w:val="center"/>
                </w:tcPr>
                <w:p w14:paraId="3DB91A8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2000</w:t>
                  </w:r>
                </w:p>
              </w:tc>
            </w:tr>
          </w:tbl>
          <w:p w14:paraId="1CCF01F7">
            <w:pPr>
              <w:widowControl/>
              <w:ind w:firstLine="480" w:firstLineChars="200"/>
              <w:rPr>
                <w:color w:val="auto"/>
                <w:kern w:val="0"/>
                <w:highlight w:val="none"/>
              </w:rPr>
            </w:pPr>
            <w:r>
              <w:rPr>
                <w:rFonts w:hint="eastAsia"/>
                <w:color w:val="auto"/>
                <w:kern w:val="0"/>
                <w:highlight w:val="none"/>
              </w:rPr>
              <w:t>本项目</w:t>
            </w:r>
            <w:r>
              <w:rPr>
                <w:rFonts w:hint="eastAsia"/>
                <w:color w:val="auto"/>
                <w:kern w:val="0"/>
                <w:highlight w:val="none"/>
                <w:lang w:val="en-US" w:eastAsia="zh-CN"/>
              </w:rPr>
              <w:t>未被收集的非甲烷总烃、颗粒物</w:t>
            </w:r>
            <w:r>
              <w:rPr>
                <w:rFonts w:hint="eastAsia"/>
                <w:color w:val="auto"/>
                <w:kern w:val="0"/>
                <w:highlight w:val="none"/>
              </w:rPr>
              <w:t>及臭气浓度等在厂区内无组织排放。</w:t>
            </w:r>
            <w:r>
              <w:rPr>
                <w:rFonts w:hint="eastAsia"/>
                <w:color w:val="auto"/>
                <w:kern w:val="0"/>
                <w:highlight w:val="none"/>
                <w:lang w:val="en-US" w:eastAsia="zh-CN"/>
              </w:rPr>
              <w:t>厂界</w:t>
            </w:r>
            <w:r>
              <w:rPr>
                <w:rFonts w:hint="default" w:ascii="Times New Roman" w:hAnsi="Times New Roman" w:eastAsia="宋体" w:cs="Times New Roman"/>
                <w:color w:val="auto"/>
                <w:sz w:val="24"/>
                <w:highlight w:val="none"/>
              </w:rPr>
              <w:t>非甲烷总烃</w:t>
            </w:r>
            <w:r>
              <w:rPr>
                <w:rFonts w:hint="eastAsia" w:eastAsia="宋体" w:cs="Times New Roman"/>
                <w:color w:val="auto"/>
                <w:sz w:val="24"/>
                <w:highlight w:val="none"/>
                <w:lang w:eastAsia="zh-CN"/>
              </w:rPr>
              <w:t>、</w:t>
            </w:r>
            <w:r>
              <w:rPr>
                <w:rFonts w:hint="eastAsia" w:eastAsia="宋体" w:cs="Times New Roman"/>
                <w:color w:val="auto"/>
                <w:sz w:val="24"/>
                <w:highlight w:val="none"/>
                <w:lang w:val="en-US" w:eastAsia="zh-CN"/>
              </w:rPr>
              <w:t>颗粒物</w:t>
            </w:r>
            <w:r>
              <w:rPr>
                <w:rFonts w:hint="default" w:ascii="Times New Roman" w:hAnsi="Times New Roman" w:eastAsia="宋体" w:cs="Times New Roman"/>
                <w:color w:val="auto"/>
                <w:sz w:val="24"/>
                <w:highlight w:val="none"/>
              </w:rPr>
              <w:t>无组织排放执行《合成树脂工业污染物排放标准》（GB31572-2015）表9企业边界大气污染物浓度限值，</w:t>
            </w:r>
            <w:r>
              <w:rPr>
                <w:color w:val="auto"/>
                <w:kern w:val="0"/>
                <w:highlight w:val="none"/>
              </w:rPr>
              <w:t>厂界臭气浓度排放浓度执行《恶臭污染物排放标准》（GB14554-93）中表1二级标准中“新改扩建”限值要求。</w:t>
            </w:r>
          </w:p>
          <w:p w14:paraId="45871913">
            <w:pPr>
              <w:widowControl/>
              <w:ind w:firstLine="480" w:firstLineChars="200"/>
              <w:rPr>
                <w:color w:val="auto"/>
                <w:highlight w:val="none"/>
              </w:rPr>
            </w:pPr>
            <w:r>
              <w:rPr>
                <w:rFonts w:hint="default" w:ascii="Times New Roman" w:hAnsi="Times New Roman" w:eastAsia="宋体" w:cs="Times New Roman"/>
                <w:color w:val="auto"/>
                <w:sz w:val="24"/>
                <w:highlight w:val="none"/>
              </w:rPr>
              <w:t>厂区内</w:t>
            </w:r>
            <w:r>
              <w:rPr>
                <w:rFonts w:hint="eastAsia" w:ascii="Times New Roman" w:hAnsi="Times New Roman" w:cs="Times New Roman"/>
                <w:color w:val="auto"/>
                <w:sz w:val="24"/>
                <w:highlight w:val="none"/>
                <w:lang w:val="en-US" w:eastAsia="zh-CN"/>
              </w:rPr>
              <w:t>NMHC</w:t>
            </w:r>
            <w:r>
              <w:rPr>
                <w:rFonts w:hint="default" w:ascii="Times New Roman" w:hAnsi="Times New Roman" w:eastAsia="宋体" w:cs="Times New Roman"/>
                <w:color w:val="auto"/>
                <w:sz w:val="24"/>
                <w:highlight w:val="none"/>
              </w:rPr>
              <w:t>执行广东省《固定污染源挥发性有机物综合排放标准》（DB44/2367-2022）</w:t>
            </w:r>
            <w:r>
              <w:rPr>
                <w:rFonts w:hint="eastAsia" w:ascii="Times New Roman" w:hAnsi="Times New Roman" w:cs="Times New Roman"/>
                <w:color w:val="auto"/>
                <w:sz w:val="24"/>
                <w:highlight w:val="none"/>
                <w:lang w:val="en-US" w:eastAsia="zh-CN"/>
              </w:rPr>
              <w:t>中</w:t>
            </w:r>
            <w:r>
              <w:rPr>
                <w:rFonts w:hint="default" w:ascii="Times New Roman" w:hAnsi="Times New Roman" w:eastAsia="宋体" w:cs="Times New Roman"/>
                <w:color w:val="auto"/>
                <w:sz w:val="24"/>
                <w:highlight w:val="none"/>
              </w:rPr>
              <w:t>表3厂区内VOCs无组织排放限值，具体详见下表。</w:t>
            </w:r>
          </w:p>
          <w:p w14:paraId="64988F92">
            <w:pPr>
              <w:pStyle w:val="2"/>
              <w:tabs>
                <w:tab w:val="left" w:pos="0"/>
              </w:tabs>
              <w:ind w:firstLine="40"/>
              <w:jc w:val="center"/>
              <w:rPr>
                <w:rFonts w:ascii="Times New Roman" w:cs="Times New Roman"/>
                <w:b/>
                <w:bCs/>
                <w:color w:val="auto"/>
                <w:sz w:val="21"/>
                <w:szCs w:val="21"/>
                <w:highlight w:val="none"/>
              </w:rPr>
            </w:pPr>
            <w:r>
              <w:rPr>
                <w:rFonts w:ascii="Times New Roman" w:cs="Times New Roman"/>
                <w:b/>
                <w:color w:val="auto"/>
                <w:sz w:val="21"/>
                <w:szCs w:val="21"/>
                <w:highlight w:val="none"/>
              </w:rPr>
              <w:t>表3</w:t>
            </w:r>
            <w:r>
              <w:rPr>
                <w:rFonts w:hint="eastAsia" w:ascii="Times New Roman" w:cs="Times New Roman"/>
                <w:b/>
                <w:color w:val="auto"/>
                <w:sz w:val="21"/>
                <w:szCs w:val="21"/>
                <w:highlight w:val="none"/>
              </w:rPr>
              <w:t>-</w:t>
            </w:r>
            <w:r>
              <w:rPr>
                <w:rFonts w:hint="eastAsia" w:ascii="Times New Roman" w:cs="Times New Roman"/>
                <w:b/>
                <w:color w:val="auto"/>
                <w:sz w:val="21"/>
                <w:szCs w:val="21"/>
                <w:highlight w:val="none"/>
                <w:lang w:val="en-US" w:eastAsia="zh-CN"/>
              </w:rPr>
              <w:t>6 厂界无组织废气</w:t>
            </w:r>
            <w:r>
              <w:rPr>
                <w:rFonts w:ascii="Times New Roman" w:cs="Times New Roman"/>
                <w:b/>
                <w:bCs/>
                <w:color w:val="auto"/>
                <w:sz w:val="21"/>
                <w:szCs w:val="21"/>
                <w:highlight w:val="none"/>
              </w:rPr>
              <w:t>排放标准（单位：mg/m</w:t>
            </w:r>
            <w:r>
              <w:rPr>
                <w:rFonts w:ascii="Times New Roman" w:cs="Times New Roman"/>
                <w:b/>
                <w:bCs/>
                <w:color w:val="auto"/>
                <w:sz w:val="21"/>
                <w:szCs w:val="21"/>
                <w:highlight w:val="none"/>
                <w:vertAlign w:val="superscript"/>
              </w:rPr>
              <w:t>3</w:t>
            </w:r>
            <w:r>
              <w:rPr>
                <w:rFonts w:ascii="Times New Roman" w:cs="Times New Roman"/>
                <w:b/>
                <w:bCs/>
                <w:color w:val="auto"/>
                <w:sz w:val="21"/>
                <w:szCs w:val="21"/>
                <w:highlight w:val="none"/>
              </w:rPr>
              <w:t>）</w:t>
            </w:r>
          </w:p>
          <w:tbl>
            <w:tblPr>
              <w:tblStyle w:val="49"/>
              <w:tblW w:w="9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3"/>
              <w:gridCol w:w="883"/>
              <w:gridCol w:w="1617"/>
              <w:gridCol w:w="1617"/>
              <w:gridCol w:w="650"/>
              <w:gridCol w:w="583"/>
              <w:gridCol w:w="609"/>
            </w:tblGrid>
            <w:tr w14:paraId="5747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433" w:type="dxa"/>
                  <w:tcBorders>
                    <w:tl2br w:val="nil"/>
                    <w:tr2bl w:val="nil"/>
                  </w:tcBorders>
                  <w:noWrap/>
                  <w:tcMar>
                    <w:left w:w="0" w:type="dxa"/>
                    <w:right w:w="0" w:type="dxa"/>
                  </w:tcMar>
                  <w:vAlign w:val="center"/>
                </w:tcPr>
                <w:p w14:paraId="6D25150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污染物</w:t>
                  </w:r>
                </w:p>
              </w:tc>
              <w:tc>
                <w:tcPr>
                  <w:tcW w:w="883" w:type="dxa"/>
                  <w:tcBorders>
                    <w:tl2br w:val="nil"/>
                    <w:tr2bl w:val="nil"/>
                  </w:tcBorders>
                  <w:noWrap/>
                  <w:tcMar>
                    <w:left w:w="0" w:type="dxa"/>
                    <w:right w:w="0" w:type="dxa"/>
                  </w:tcMar>
                  <w:vAlign w:val="center"/>
                </w:tcPr>
                <w:p w14:paraId="1A516CF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highlight w:val="none"/>
                      <w:lang w:val="en-US" w:eastAsia="zh-CN"/>
                    </w:rPr>
                  </w:pPr>
                  <w:r>
                    <w:rPr>
                      <w:rFonts w:hint="eastAsia"/>
                      <w:b/>
                      <w:bCs/>
                      <w:color w:val="auto"/>
                      <w:sz w:val="21"/>
                      <w:szCs w:val="21"/>
                      <w:highlight w:val="none"/>
                      <w:lang w:val="en-US" w:eastAsia="zh-CN"/>
                    </w:rPr>
                    <w:t>颗粒物</w:t>
                  </w:r>
                </w:p>
              </w:tc>
              <w:tc>
                <w:tcPr>
                  <w:tcW w:w="3234" w:type="dxa"/>
                  <w:gridSpan w:val="2"/>
                  <w:tcBorders>
                    <w:tl2br w:val="nil"/>
                    <w:tr2bl w:val="nil"/>
                  </w:tcBorders>
                  <w:noWrap/>
                  <w:vAlign w:val="center"/>
                </w:tcPr>
                <w:p w14:paraId="66C49C4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非甲烷总烃</w:t>
                  </w:r>
                </w:p>
              </w:tc>
              <w:tc>
                <w:tcPr>
                  <w:tcW w:w="650" w:type="dxa"/>
                  <w:tcBorders>
                    <w:tl2br w:val="nil"/>
                    <w:tr2bl w:val="nil"/>
                  </w:tcBorders>
                  <w:noWrap/>
                  <w:vAlign w:val="center"/>
                </w:tcPr>
                <w:p w14:paraId="01592FC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臭气浓度</w:t>
                  </w:r>
                </w:p>
              </w:tc>
              <w:tc>
                <w:tcPr>
                  <w:tcW w:w="583" w:type="dxa"/>
                  <w:tcBorders>
                    <w:tl2br w:val="nil"/>
                    <w:tr2bl w:val="nil"/>
                  </w:tcBorders>
                  <w:noWrap/>
                  <w:vAlign w:val="center"/>
                </w:tcPr>
                <w:p w14:paraId="05879FA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highlight w:val="none"/>
                      <w:lang w:val="en-US" w:eastAsia="zh-CN"/>
                    </w:rPr>
                  </w:pPr>
                  <w:r>
                    <w:rPr>
                      <w:rFonts w:hint="eastAsia"/>
                      <w:b/>
                      <w:bCs/>
                      <w:color w:val="auto"/>
                      <w:sz w:val="21"/>
                      <w:szCs w:val="21"/>
                      <w:highlight w:val="none"/>
                      <w:lang w:val="en-US" w:eastAsia="zh-CN"/>
                    </w:rPr>
                    <w:t>氨</w:t>
                  </w:r>
                </w:p>
              </w:tc>
              <w:tc>
                <w:tcPr>
                  <w:tcW w:w="609" w:type="dxa"/>
                  <w:tcBorders>
                    <w:tl2br w:val="nil"/>
                    <w:tr2bl w:val="nil"/>
                  </w:tcBorders>
                  <w:noWrap/>
                  <w:vAlign w:val="center"/>
                </w:tcPr>
                <w:p w14:paraId="0D1C79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highlight w:val="none"/>
                      <w:lang w:val="en-US" w:eastAsia="zh-CN"/>
                    </w:rPr>
                  </w:pPr>
                  <w:r>
                    <w:rPr>
                      <w:rFonts w:hint="eastAsia"/>
                      <w:b/>
                      <w:bCs/>
                      <w:color w:val="auto"/>
                      <w:sz w:val="21"/>
                      <w:szCs w:val="21"/>
                      <w:highlight w:val="none"/>
                      <w:lang w:val="en-US" w:eastAsia="zh-CN"/>
                    </w:rPr>
                    <w:t>硫化氢</w:t>
                  </w:r>
                </w:p>
              </w:tc>
            </w:tr>
            <w:tr w14:paraId="1125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3433" w:type="dxa"/>
                  <w:tcBorders>
                    <w:tl2br w:val="nil"/>
                    <w:tr2bl w:val="nil"/>
                  </w:tcBorders>
                  <w:noWrap/>
                  <w:tcMar>
                    <w:left w:w="0" w:type="dxa"/>
                    <w:right w:w="0" w:type="dxa"/>
                  </w:tcMar>
                  <w:vAlign w:val="center"/>
                </w:tcPr>
                <w:p w14:paraId="3B1DEB44">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《合成树脂工业污染物排放标准》（GB31572-2015）</w:t>
                  </w:r>
                  <w:r>
                    <w:rPr>
                      <w:rFonts w:hint="default" w:ascii="Times New Roman" w:hAnsi="Times New Roman" w:eastAsia="宋体" w:cs="Times New Roman"/>
                      <w:b w:val="0"/>
                      <w:bCs w:val="0"/>
                      <w:color w:val="auto"/>
                      <w:sz w:val="21"/>
                      <w:szCs w:val="21"/>
                      <w:highlight w:val="none"/>
                    </w:rPr>
                    <w:t>表9企业边界大气污染物浓度限值</w:t>
                  </w:r>
                </w:p>
              </w:tc>
              <w:tc>
                <w:tcPr>
                  <w:tcW w:w="883" w:type="dxa"/>
                  <w:tcBorders>
                    <w:tl2br w:val="nil"/>
                    <w:tr2bl w:val="nil"/>
                  </w:tcBorders>
                  <w:noWrap/>
                  <w:tcMar>
                    <w:left w:w="0" w:type="dxa"/>
                    <w:right w:w="0" w:type="dxa"/>
                  </w:tcMar>
                  <w:vAlign w:val="center"/>
                </w:tcPr>
                <w:p w14:paraId="23A2209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b/>
                      <w:bCs/>
                      <w:color w:val="auto"/>
                      <w:sz w:val="21"/>
                      <w:szCs w:val="21"/>
                      <w:highlight w:val="none"/>
                      <w:lang w:val="en-US" w:eastAsia="zh-CN"/>
                    </w:rPr>
                  </w:pPr>
                  <w:r>
                    <w:rPr>
                      <w:rFonts w:hint="eastAsia"/>
                      <w:b w:val="0"/>
                      <w:bCs w:val="0"/>
                      <w:color w:val="auto"/>
                      <w:sz w:val="21"/>
                      <w:szCs w:val="21"/>
                      <w:highlight w:val="none"/>
                      <w:lang w:val="en-US" w:eastAsia="zh-CN"/>
                    </w:rPr>
                    <w:t>1.0</w:t>
                  </w:r>
                </w:p>
              </w:tc>
              <w:tc>
                <w:tcPr>
                  <w:tcW w:w="3234" w:type="dxa"/>
                  <w:gridSpan w:val="2"/>
                  <w:tcBorders>
                    <w:tl2br w:val="nil"/>
                    <w:tr2bl w:val="nil"/>
                  </w:tcBorders>
                  <w:noWrap/>
                  <w:vAlign w:val="center"/>
                </w:tcPr>
                <w:p w14:paraId="365CB2B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4.0</w:t>
                  </w:r>
                </w:p>
              </w:tc>
              <w:tc>
                <w:tcPr>
                  <w:tcW w:w="650" w:type="dxa"/>
                  <w:tcBorders>
                    <w:tl2br w:val="nil"/>
                    <w:tr2bl w:val="nil"/>
                  </w:tcBorders>
                  <w:noWrap/>
                  <w:vAlign w:val="center"/>
                </w:tcPr>
                <w:p w14:paraId="35202CC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w:t>
                  </w:r>
                </w:p>
              </w:tc>
              <w:tc>
                <w:tcPr>
                  <w:tcW w:w="583" w:type="dxa"/>
                  <w:tcBorders>
                    <w:tl2br w:val="nil"/>
                    <w:tr2bl w:val="nil"/>
                  </w:tcBorders>
                  <w:noWrap/>
                  <w:vAlign w:val="center"/>
                </w:tcPr>
                <w:p w14:paraId="199FECB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609" w:type="dxa"/>
                  <w:tcBorders>
                    <w:tl2br w:val="nil"/>
                    <w:tr2bl w:val="nil"/>
                  </w:tcBorders>
                  <w:noWrap/>
                  <w:vAlign w:val="center"/>
                </w:tcPr>
                <w:p w14:paraId="2802463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280E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jc w:val="center"/>
              </w:trPr>
              <w:tc>
                <w:tcPr>
                  <w:tcW w:w="3433" w:type="dxa"/>
                  <w:vMerge w:val="restart"/>
                  <w:tcBorders>
                    <w:tl2br w:val="nil"/>
                    <w:tr2bl w:val="nil"/>
                  </w:tcBorders>
                  <w:noWrap/>
                  <w:tcMar>
                    <w:left w:w="0" w:type="dxa"/>
                    <w:right w:w="0" w:type="dxa"/>
                  </w:tcMar>
                  <w:vAlign w:val="center"/>
                </w:tcPr>
                <w:p w14:paraId="070D418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《固定污染源挥发性有机物综合排放标准》（DB44/2367-2022）中表</w:t>
                  </w:r>
                  <w:r>
                    <w:rPr>
                      <w:rFonts w:hint="eastAsia" w:cs="Times New Roman"/>
                      <w:color w:val="auto"/>
                      <w:sz w:val="21"/>
                      <w:szCs w:val="21"/>
                      <w:highlight w:val="none"/>
                      <w:lang w:val="en-US" w:eastAsia="zh-CN"/>
                    </w:rPr>
                    <w:t>1挥发性有机物排放限值</w:t>
                  </w:r>
                </w:p>
              </w:tc>
              <w:tc>
                <w:tcPr>
                  <w:tcW w:w="883" w:type="dxa"/>
                  <w:vMerge w:val="restart"/>
                  <w:tcBorders>
                    <w:tl2br w:val="nil"/>
                    <w:tr2bl w:val="nil"/>
                  </w:tcBorders>
                  <w:noWrap/>
                  <w:tcMar>
                    <w:left w:w="0" w:type="dxa"/>
                    <w:right w:w="0" w:type="dxa"/>
                  </w:tcMar>
                  <w:vAlign w:val="center"/>
                </w:tcPr>
                <w:p w14:paraId="00A5E78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w:t>
                  </w:r>
                </w:p>
              </w:tc>
              <w:tc>
                <w:tcPr>
                  <w:tcW w:w="3234" w:type="dxa"/>
                  <w:gridSpan w:val="2"/>
                  <w:tcBorders>
                    <w:tl2br w:val="nil"/>
                    <w:tr2bl w:val="nil"/>
                  </w:tcBorders>
                  <w:noWrap/>
                  <w:vAlign w:val="center"/>
                </w:tcPr>
                <w:p w14:paraId="162FA2F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厂内NMHC</w:t>
                  </w:r>
                </w:p>
              </w:tc>
              <w:tc>
                <w:tcPr>
                  <w:tcW w:w="650" w:type="dxa"/>
                  <w:vMerge w:val="restart"/>
                  <w:tcBorders>
                    <w:tl2br w:val="nil"/>
                    <w:tr2bl w:val="nil"/>
                  </w:tcBorders>
                  <w:noWrap/>
                  <w:vAlign w:val="center"/>
                </w:tcPr>
                <w:p w14:paraId="466F181A">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eastAsia"/>
                      <w:color w:val="auto"/>
                      <w:sz w:val="21"/>
                      <w:szCs w:val="21"/>
                      <w:highlight w:val="none"/>
                    </w:rPr>
                    <w:t>/</w:t>
                  </w:r>
                </w:p>
              </w:tc>
              <w:tc>
                <w:tcPr>
                  <w:tcW w:w="583" w:type="dxa"/>
                  <w:vMerge w:val="restart"/>
                  <w:tcBorders>
                    <w:tl2br w:val="nil"/>
                    <w:tr2bl w:val="nil"/>
                  </w:tcBorders>
                  <w:noWrap/>
                  <w:vAlign w:val="center"/>
                </w:tcPr>
                <w:p w14:paraId="0FBDCC6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09" w:type="dxa"/>
                  <w:tcBorders>
                    <w:tl2br w:val="nil"/>
                    <w:tr2bl w:val="nil"/>
                  </w:tcBorders>
                  <w:noWrap/>
                  <w:vAlign w:val="center"/>
                </w:tcPr>
                <w:p w14:paraId="45C73ED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56F9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3433" w:type="dxa"/>
                  <w:vMerge w:val="continue"/>
                  <w:tcBorders>
                    <w:tl2br w:val="nil"/>
                    <w:tr2bl w:val="nil"/>
                  </w:tcBorders>
                  <w:noWrap/>
                  <w:tcMar>
                    <w:left w:w="0" w:type="dxa"/>
                    <w:right w:w="0" w:type="dxa"/>
                  </w:tcMar>
                  <w:vAlign w:val="center"/>
                </w:tcPr>
                <w:p w14:paraId="10A37E31">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p>
              </w:tc>
              <w:tc>
                <w:tcPr>
                  <w:tcW w:w="883" w:type="dxa"/>
                  <w:vMerge w:val="continue"/>
                  <w:tcBorders>
                    <w:tl2br w:val="nil"/>
                    <w:tr2bl w:val="nil"/>
                  </w:tcBorders>
                  <w:noWrap/>
                  <w:tcMar>
                    <w:left w:w="0" w:type="dxa"/>
                    <w:right w:w="0" w:type="dxa"/>
                  </w:tcMar>
                  <w:vAlign w:val="center"/>
                </w:tcPr>
                <w:p w14:paraId="4AF46C0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highlight w:val="none"/>
                      <w:lang w:val="en-US" w:eastAsia="zh-CN"/>
                    </w:rPr>
                  </w:pPr>
                </w:p>
              </w:tc>
              <w:tc>
                <w:tcPr>
                  <w:tcW w:w="1617" w:type="dxa"/>
                  <w:tcBorders>
                    <w:tl2br w:val="nil"/>
                    <w:tr2bl w:val="nil"/>
                  </w:tcBorders>
                  <w:noWrap/>
                  <w:vAlign w:val="center"/>
                </w:tcPr>
                <w:p w14:paraId="1C09C0E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w:t>
                  </w:r>
                  <w:r>
                    <w:rPr>
                      <w:rFonts w:hint="default" w:ascii="Times New Roman" w:hAnsi="Times New Roman" w:eastAsia="宋体" w:cs="Times New Roman"/>
                      <w:color w:val="auto"/>
                      <w:sz w:val="21"/>
                      <w:szCs w:val="21"/>
                      <w:highlight w:val="none"/>
                    </w:rPr>
                    <w:t>监控点处1h平均浓度值</w:t>
                  </w:r>
                  <w:r>
                    <w:rPr>
                      <w:rFonts w:hint="eastAsia"/>
                      <w:color w:val="auto"/>
                      <w:sz w:val="21"/>
                      <w:szCs w:val="21"/>
                      <w:highlight w:val="none"/>
                      <w:lang w:val="en-US" w:eastAsia="zh-CN"/>
                    </w:rPr>
                    <w:t>）</w:t>
                  </w:r>
                </w:p>
              </w:tc>
              <w:tc>
                <w:tcPr>
                  <w:tcW w:w="1617" w:type="dxa"/>
                  <w:tcBorders>
                    <w:tl2br w:val="nil"/>
                    <w:tr2bl w:val="nil"/>
                  </w:tcBorders>
                  <w:noWrap/>
                  <w:vAlign w:val="center"/>
                </w:tcPr>
                <w:p w14:paraId="2167546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w:t>
                  </w:r>
                  <w:r>
                    <w:rPr>
                      <w:rFonts w:hint="default" w:ascii="Times New Roman" w:hAnsi="Times New Roman" w:eastAsia="宋体" w:cs="Times New Roman"/>
                      <w:color w:val="auto"/>
                      <w:sz w:val="21"/>
                      <w:szCs w:val="21"/>
                      <w:highlight w:val="none"/>
                    </w:rPr>
                    <w:t>监控点处任意一次浓度值</w:t>
                  </w:r>
                  <w:r>
                    <w:rPr>
                      <w:rFonts w:hint="eastAsia"/>
                      <w:color w:val="auto"/>
                      <w:sz w:val="21"/>
                      <w:szCs w:val="21"/>
                      <w:highlight w:val="none"/>
                      <w:lang w:val="en-US" w:eastAsia="zh-CN"/>
                    </w:rPr>
                    <w:t>）</w:t>
                  </w:r>
                </w:p>
              </w:tc>
              <w:tc>
                <w:tcPr>
                  <w:tcW w:w="650" w:type="dxa"/>
                  <w:vMerge w:val="continue"/>
                  <w:tcBorders>
                    <w:tl2br w:val="nil"/>
                    <w:tr2bl w:val="nil"/>
                  </w:tcBorders>
                  <w:noWrap/>
                  <w:vAlign w:val="center"/>
                </w:tcPr>
                <w:p w14:paraId="5455D60E">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p>
              </w:tc>
              <w:tc>
                <w:tcPr>
                  <w:tcW w:w="583" w:type="dxa"/>
                  <w:vMerge w:val="continue"/>
                  <w:tcBorders>
                    <w:tl2br w:val="nil"/>
                    <w:tr2bl w:val="nil"/>
                  </w:tcBorders>
                  <w:noWrap/>
                  <w:vAlign w:val="center"/>
                </w:tcPr>
                <w:p w14:paraId="5300C821">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p>
              </w:tc>
              <w:tc>
                <w:tcPr>
                  <w:tcW w:w="609" w:type="dxa"/>
                  <w:tcBorders>
                    <w:tl2br w:val="nil"/>
                    <w:tr2bl w:val="nil"/>
                  </w:tcBorders>
                  <w:noWrap/>
                  <w:vAlign w:val="center"/>
                </w:tcPr>
                <w:p w14:paraId="16B280B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r>
            <w:tr w14:paraId="67FC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3433" w:type="dxa"/>
                  <w:tcBorders>
                    <w:tl2br w:val="nil"/>
                    <w:tr2bl w:val="nil"/>
                  </w:tcBorders>
                  <w:noWrap/>
                  <w:tcMar>
                    <w:left w:w="0" w:type="dxa"/>
                    <w:right w:w="0" w:type="dxa"/>
                  </w:tcMar>
                  <w:vAlign w:val="center"/>
                </w:tcPr>
                <w:p w14:paraId="19A6E6D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2"/>
                      <w:sz w:val="21"/>
                      <w:szCs w:val="21"/>
                      <w:highlight w:val="none"/>
                    </w:rPr>
                    <w:t>《恶臭污染物排放标准》（GB14554-93）</w:t>
                  </w:r>
                  <w:r>
                    <w:rPr>
                      <w:rFonts w:hint="default" w:ascii="Times New Roman" w:hAnsi="Times New Roman" w:eastAsia="宋体" w:cs="Times New Roman"/>
                      <w:b w:val="0"/>
                      <w:bCs w:val="0"/>
                      <w:color w:val="auto"/>
                      <w:sz w:val="21"/>
                      <w:szCs w:val="21"/>
                      <w:highlight w:val="none"/>
                    </w:rPr>
                    <w:t>表1恶臭污染物厂界标准值二级新扩改建标准</w:t>
                  </w:r>
                </w:p>
              </w:tc>
              <w:tc>
                <w:tcPr>
                  <w:tcW w:w="883" w:type="dxa"/>
                  <w:tcBorders>
                    <w:tl2br w:val="nil"/>
                    <w:tr2bl w:val="nil"/>
                  </w:tcBorders>
                  <w:noWrap/>
                  <w:tcMar>
                    <w:left w:w="0" w:type="dxa"/>
                    <w:right w:w="0" w:type="dxa"/>
                  </w:tcMar>
                  <w:vAlign w:val="center"/>
                </w:tcPr>
                <w:p w14:paraId="724E9AE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w:t>
                  </w:r>
                </w:p>
              </w:tc>
              <w:tc>
                <w:tcPr>
                  <w:tcW w:w="3234" w:type="dxa"/>
                  <w:gridSpan w:val="2"/>
                  <w:tcBorders>
                    <w:tl2br w:val="nil"/>
                    <w:tr2bl w:val="nil"/>
                  </w:tcBorders>
                  <w:noWrap/>
                  <w:vAlign w:val="center"/>
                </w:tcPr>
                <w:p w14:paraId="6BE263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50" w:type="dxa"/>
                  <w:tcBorders>
                    <w:tl2br w:val="nil"/>
                    <w:tr2bl w:val="nil"/>
                  </w:tcBorders>
                  <w:noWrap/>
                  <w:vAlign w:val="center"/>
                </w:tcPr>
                <w:p w14:paraId="626555A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w:t>
                  </w:r>
                </w:p>
              </w:tc>
              <w:tc>
                <w:tcPr>
                  <w:tcW w:w="583" w:type="dxa"/>
                  <w:tcBorders>
                    <w:tl2br w:val="nil"/>
                    <w:tr2bl w:val="nil"/>
                  </w:tcBorders>
                  <w:noWrap/>
                  <w:vAlign w:val="center"/>
                </w:tcPr>
                <w:p w14:paraId="2BAFD0D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1.5</w:t>
                  </w:r>
                </w:p>
              </w:tc>
              <w:tc>
                <w:tcPr>
                  <w:tcW w:w="609" w:type="dxa"/>
                  <w:tcBorders>
                    <w:tl2br w:val="nil"/>
                    <w:tr2bl w:val="nil"/>
                  </w:tcBorders>
                  <w:noWrap/>
                  <w:vAlign w:val="center"/>
                </w:tcPr>
                <w:p w14:paraId="587A6DD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0.06</w:t>
                  </w:r>
                </w:p>
              </w:tc>
            </w:tr>
            <w:tr w14:paraId="22CE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3433" w:type="dxa"/>
                  <w:tcBorders>
                    <w:tl2br w:val="nil"/>
                    <w:tr2bl w:val="nil"/>
                  </w:tcBorders>
                  <w:noWrap/>
                  <w:tcMar>
                    <w:left w:w="0" w:type="dxa"/>
                    <w:right w:w="0" w:type="dxa"/>
                  </w:tcMar>
                  <w:vAlign w:val="center"/>
                </w:tcPr>
                <w:p w14:paraId="049E4EEF">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highlight w:val="none"/>
                    </w:rPr>
                  </w:pPr>
                  <w:r>
                    <w:rPr>
                      <w:rFonts w:hint="eastAsia"/>
                      <w:color w:val="auto"/>
                      <w:sz w:val="21"/>
                      <w:szCs w:val="21"/>
                      <w:highlight w:val="none"/>
                      <w:lang w:val="en-US" w:eastAsia="zh-CN"/>
                    </w:rPr>
                    <w:t>本项目</w:t>
                  </w:r>
                  <w:r>
                    <w:rPr>
                      <w:color w:val="auto"/>
                      <w:sz w:val="21"/>
                      <w:szCs w:val="21"/>
                      <w:highlight w:val="none"/>
                    </w:rPr>
                    <w:t>执行限值</w:t>
                  </w:r>
                </w:p>
              </w:tc>
              <w:tc>
                <w:tcPr>
                  <w:tcW w:w="883" w:type="dxa"/>
                  <w:tcBorders>
                    <w:tl2br w:val="nil"/>
                    <w:tr2bl w:val="nil"/>
                  </w:tcBorders>
                  <w:noWrap/>
                  <w:tcMar>
                    <w:left w:w="0" w:type="dxa"/>
                    <w:right w:w="0" w:type="dxa"/>
                  </w:tcMar>
                  <w:vAlign w:val="center"/>
                </w:tcPr>
                <w:p w14:paraId="515CC1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1617" w:type="dxa"/>
                  <w:tcBorders>
                    <w:tl2br w:val="nil"/>
                    <w:tr2bl w:val="nil"/>
                  </w:tcBorders>
                  <w:noWrap/>
                  <w:vAlign w:val="center"/>
                </w:tcPr>
                <w:p w14:paraId="5A058C3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w:t>
                  </w:r>
                  <w:r>
                    <w:rPr>
                      <w:rFonts w:hint="default" w:ascii="Times New Roman" w:hAnsi="Times New Roman" w:eastAsia="宋体" w:cs="Times New Roman"/>
                      <w:color w:val="auto"/>
                      <w:sz w:val="21"/>
                      <w:szCs w:val="21"/>
                      <w:highlight w:val="none"/>
                    </w:rPr>
                    <w:t>监控点处1h平均浓度值</w:t>
                  </w:r>
                  <w:r>
                    <w:rPr>
                      <w:rFonts w:hint="eastAsia"/>
                      <w:color w:val="auto"/>
                      <w:sz w:val="21"/>
                      <w:szCs w:val="21"/>
                      <w:highlight w:val="none"/>
                      <w:lang w:val="en-US" w:eastAsia="zh-CN"/>
                    </w:rPr>
                    <w:t>）</w:t>
                  </w:r>
                </w:p>
              </w:tc>
              <w:tc>
                <w:tcPr>
                  <w:tcW w:w="1617" w:type="dxa"/>
                  <w:tcBorders>
                    <w:tl2br w:val="nil"/>
                    <w:tr2bl w:val="nil"/>
                  </w:tcBorders>
                  <w:noWrap/>
                  <w:vAlign w:val="center"/>
                </w:tcPr>
                <w:p w14:paraId="71391EF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w:t>
                  </w:r>
                  <w:r>
                    <w:rPr>
                      <w:rFonts w:hint="default" w:ascii="Times New Roman" w:hAnsi="Times New Roman" w:eastAsia="宋体" w:cs="Times New Roman"/>
                      <w:color w:val="auto"/>
                      <w:sz w:val="21"/>
                      <w:szCs w:val="21"/>
                      <w:highlight w:val="none"/>
                    </w:rPr>
                    <w:t>监控点处任意一次浓度值</w:t>
                  </w:r>
                  <w:r>
                    <w:rPr>
                      <w:rFonts w:hint="eastAsia"/>
                      <w:color w:val="auto"/>
                      <w:sz w:val="21"/>
                      <w:szCs w:val="21"/>
                      <w:highlight w:val="none"/>
                      <w:lang w:val="en-US" w:eastAsia="zh-CN"/>
                    </w:rPr>
                    <w:t>）</w:t>
                  </w:r>
                </w:p>
              </w:tc>
              <w:tc>
                <w:tcPr>
                  <w:tcW w:w="650" w:type="dxa"/>
                  <w:tcBorders>
                    <w:tl2br w:val="nil"/>
                    <w:tr2bl w:val="nil"/>
                  </w:tcBorders>
                  <w:noWrap/>
                  <w:vAlign w:val="center"/>
                </w:tcPr>
                <w:p w14:paraId="583A55F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w:t>
                  </w:r>
                </w:p>
              </w:tc>
              <w:tc>
                <w:tcPr>
                  <w:tcW w:w="583" w:type="dxa"/>
                  <w:tcBorders>
                    <w:tl2br w:val="nil"/>
                    <w:tr2bl w:val="nil"/>
                  </w:tcBorders>
                  <w:noWrap/>
                  <w:vAlign w:val="center"/>
                </w:tcPr>
                <w:p w14:paraId="4455D30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1.5</w:t>
                  </w:r>
                </w:p>
              </w:tc>
              <w:tc>
                <w:tcPr>
                  <w:tcW w:w="609" w:type="dxa"/>
                  <w:tcBorders>
                    <w:tl2br w:val="nil"/>
                    <w:tr2bl w:val="nil"/>
                  </w:tcBorders>
                  <w:noWrap/>
                  <w:vAlign w:val="center"/>
                </w:tcPr>
                <w:p w14:paraId="5EDB80D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0.06</w:t>
                  </w:r>
                </w:p>
              </w:tc>
            </w:tr>
          </w:tbl>
          <w:p w14:paraId="0A57C52F">
            <w:pPr>
              <w:pStyle w:val="10"/>
              <w:numPr>
                <w:ilvl w:val="2"/>
                <w:numId w:val="0"/>
              </w:numPr>
              <w:ind w:firstLine="480" w:firstLineChars="200"/>
              <w:rPr>
                <w:color w:val="auto"/>
                <w:highlight w:val="none"/>
              </w:rPr>
            </w:pPr>
            <w:r>
              <w:rPr>
                <w:rFonts w:hint="eastAsia" w:ascii="Times New Roman" w:hAnsi="Times New Roman" w:eastAsia="宋体" w:cs="Times New Roman"/>
                <w:b w:val="0"/>
                <w:bCs w:val="0"/>
                <w:color w:val="auto"/>
                <w:sz w:val="24"/>
                <w:szCs w:val="24"/>
                <w:highlight w:val="none"/>
                <w:lang w:val="en-US" w:eastAsia="zh-CN"/>
              </w:rPr>
              <w:t>项目</w:t>
            </w:r>
            <w:r>
              <w:rPr>
                <w:rFonts w:hint="default" w:ascii="Times New Roman" w:hAnsi="Times New Roman" w:eastAsia="宋体" w:cs="Times New Roman"/>
                <w:b w:val="0"/>
                <w:bCs w:val="0"/>
                <w:color w:val="auto"/>
                <w:sz w:val="24"/>
                <w:szCs w:val="24"/>
                <w:highlight w:val="none"/>
              </w:rPr>
              <w:t>食堂油烟执行《饮食业油烟排放标准（试行）》（GB18483-2001）</w:t>
            </w:r>
            <w:r>
              <w:rPr>
                <w:rFonts w:hint="eastAsia" w:ascii="Times New Roman" w:hAnsi="Times New Roman" w:eastAsia="宋体" w:cs="Times New Roman"/>
                <w:b w:val="0"/>
                <w:bCs w:val="0"/>
                <w:color w:val="auto"/>
                <w:sz w:val="24"/>
                <w:szCs w:val="24"/>
                <w:highlight w:val="none"/>
                <w:lang w:val="en-US" w:eastAsia="zh-CN"/>
              </w:rPr>
              <w:t>中</w:t>
            </w:r>
            <w:r>
              <w:rPr>
                <w:rFonts w:hint="default" w:ascii="Times New Roman" w:hAnsi="Times New Roman" w:eastAsia="宋体" w:cs="Times New Roman"/>
                <w:b w:val="0"/>
                <w:bCs w:val="0"/>
                <w:color w:val="auto"/>
                <w:sz w:val="24"/>
                <w:szCs w:val="24"/>
                <w:highlight w:val="none"/>
              </w:rPr>
              <w:t>型规模标准，最高允许排放浓度为2.0mg/m</w:t>
            </w:r>
            <w:r>
              <w:rPr>
                <w:rFonts w:hint="default" w:ascii="Times New Roman" w:hAnsi="Times New Roman" w:eastAsia="宋体" w:cs="Times New Roman"/>
                <w:b w:val="0"/>
                <w:bCs w:val="0"/>
                <w:color w:val="auto"/>
                <w:sz w:val="24"/>
                <w:szCs w:val="24"/>
                <w:highlight w:val="none"/>
                <w:vertAlign w:val="superscript"/>
              </w:rPr>
              <w:t>3</w:t>
            </w:r>
            <w:r>
              <w:rPr>
                <w:rFonts w:hint="default" w:ascii="Times New Roman" w:hAnsi="Times New Roman" w:eastAsia="宋体" w:cs="Times New Roman"/>
                <w:b w:val="0"/>
                <w:bCs w:val="0"/>
                <w:color w:val="auto"/>
                <w:sz w:val="24"/>
                <w:szCs w:val="24"/>
                <w:highlight w:val="none"/>
              </w:rPr>
              <w:t>，净化设施最低去除效率为</w:t>
            </w:r>
            <w:r>
              <w:rPr>
                <w:rFonts w:hint="eastAsia" w:ascii="Times New Roman" w:hAnsi="Times New Roman" w:eastAsia="宋体" w:cs="Times New Roman"/>
                <w:b w:val="0"/>
                <w:bCs w:val="0"/>
                <w:color w:val="auto"/>
                <w:sz w:val="24"/>
                <w:szCs w:val="24"/>
                <w:highlight w:val="none"/>
                <w:lang w:val="en-US" w:eastAsia="zh-CN"/>
              </w:rPr>
              <w:t>75</w:t>
            </w:r>
            <w:r>
              <w:rPr>
                <w:rFonts w:hint="default" w:ascii="Times New Roman" w:hAnsi="Times New Roman" w:eastAsia="宋体" w:cs="Times New Roman"/>
                <w:b w:val="0"/>
                <w:bCs w:val="0"/>
                <w:color w:val="auto"/>
                <w:sz w:val="24"/>
                <w:szCs w:val="24"/>
                <w:highlight w:val="none"/>
              </w:rPr>
              <w:t>%</w:t>
            </w:r>
            <w:r>
              <w:rPr>
                <w:rFonts w:hint="eastAsia" w:ascii="Times New Roman" w:hAnsi="Times New Roman" w:eastAsia="宋体" w:cs="Times New Roman"/>
                <w:b w:val="0"/>
                <w:bCs w:val="0"/>
                <w:color w:val="auto"/>
                <w:sz w:val="24"/>
                <w:szCs w:val="24"/>
                <w:highlight w:val="none"/>
                <w:lang w:eastAsia="zh-CN"/>
              </w:rPr>
              <w:t>。</w:t>
            </w:r>
          </w:p>
          <w:p w14:paraId="12C5A652">
            <w:pPr>
              <w:pStyle w:val="10"/>
              <w:numPr>
                <w:ilvl w:val="2"/>
                <w:numId w:val="0"/>
              </w:numPr>
              <w:ind w:firstLine="480" w:firstLineChars="200"/>
              <w:rPr>
                <w:color w:val="auto"/>
                <w:highlight w:val="none"/>
              </w:rPr>
            </w:pPr>
            <w:r>
              <w:rPr>
                <w:color w:val="auto"/>
                <w:highlight w:val="none"/>
              </w:rPr>
              <w:t>二、废水排放标准</w:t>
            </w:r>
          </w:p>
          <w:p w14:paraId="52A68624">
            <w:pPr>
              <w:ind w:firstLine="480" w:firstLineChars="200"/>
              <w:rPr>
                <w:color w:val="auto"/>
                <w:highlight w:val="none"/>
              </w:rPr>
            </w:pPr>
            <w:r>
              <w:rPr>
                <w:color w:val="auto"/>
                <w:highlight w:val="none"/>
              </w:rPr>
              <w:t>本项目</w:t>
            </w:r>
            <w:r>
              <w:rPr>
                <w:rFonts w:hint="eastAsia"/>
                <w:color w:val="auto"/>
                <w:highlight w:val="none"/>
                <w:lang w:val="en-US" w:eastAsia="zh-CN"/>
              </w:rPr>
              <w:t>外排废水主要为生产废水和生活污水</w:t>
            </w:r>
            <w:r>
              <w:rPr>
                <w:color w:val="auto"/>
                <w:highlight w:val="none"/>
              </w:rPr>
              <w:t>。</w:t>
            </w:r>
          </w:p>
          <w:p w14:paraId="17236773">
            <w:pPr>
              <w:ind w:firstLine="480" w:firstLineChars="200"/>
              <w:rPr>
                <w:rFonts w:hint="default" w:eastAsia="宋体"/>
                <w:color w:val="auto"/>
                <w:highlight w:val="none"/>
                <w:lang w:val="en-US" w:eastAsia="zh-CN"/>
              </w:rPr>
            </w:pPr>
            <w:r>
              <w:rPr>
                <w:color w:val="auto"/>
                <w:highlight w:val="none"/>
              </w:rPr>
              <w:t>生活污水经三级化粪池</w:t>
            </w:r>
            <w:r>
              <w:rPr>
                <w:rFonts w:hint="eastAsia"/>
                <w:color w:val="auto"/>
                <w:highlight w:val="none"/>
              </w:rPr>
              <w:t>、隔油隔渣池</w:t>
            </w:r>
            <w:r>
              <w:rPr>
                <w:color w:val="auto"/>
                <w:highlight w:val="none"/>
              </w:rPr>
              <w:t>处理</w:t>
            </w:r>
            <w:r>
              <w:rPr>
                <w:rFonts w:hint="eastAsia"/>
                <w:color w:val="auto"/>
                <w:highlight w:val="none"/>
                <w:lang w:eastAsia="zh-CN"/>
              </w:rPr>
              <w:t>；</w:t>
            </w:r>
            <w:r>
              <w:rPr>
                <w:rFonts w:hint="eastAsia"/>
                <w:color w:val="auto"/>
                <w:highlight w:val="none"/>
                <w:lang w:val="en-US" w:eastAsia="zh-CN"/>
              </w:rPr>
              <w:t>生产废水经自建污水站处理，两股废水一同排入园区污水处理厂进一步处理</w:t>
            </w:r>
            <w:r>
              <w:rPr>
                <w:rFonts w:hint="eastAsia"/>
                <w:color w:val="auto"/>
                <w:highlight w:val="none"/>
              </w:rPr>
              <w:t>；</w:t>
            </w:r>
            <w:r>
              <w:rPr>
                <w:rFonts w:hint="eastAsia"/>
                <w:color w:val="auto"/>
                <w:highlight w:val="none"/>
                <w:lang w:val="en-US" w:eastAsia="zh-CN"/>
              </w:rPr>
              <w:t>本项目外排废水</w:t>
            </w:r>
            <w:r>
              <w:rPr>
                <w:rFonts w:hint="eastAsia"/>
                <w:color w:val="auto"/>
                <w:highlight w:val="none"/>
              </w:rPr>
              <w:t>执行</w:t>
            </w:r>
            <w:r>
              <w:rPr>
                <w:color w:val="auto"/>
                <w:highlight w:val="none"/>
              </w:rPr>
              <w:t>园区污水处理厂接管水质要求</w:t>
            </w:r>
            <w:r>
              <w:rPr>
                <w:rFonts w:hint="eastAsia"/>
                <w:color w:val="auto"/>
                <w:highlight w:val="none"/>
              </w:rPr>
              <w:t>、</w:t>
            </w:r>
            <w:r>
              <w:rPr>
                <w:color w:val="auto"/>
                <w:highlight w:val="none"/>
              </w:rPr>
              <w:t>广东省《</w:t>
            </w:r>
            <w:r>
              <w:rPr>
                <w:rFonts w:hint="eastAsia"/>
                <w:color w:val="auto"/>
                <w:highlight w:val="none"/>
              </w:rPr>
              <w:t>水污染物排放限值</w:t>
            </w:r>
            <w:r>
              <w:rPr>
                <w:color w:val="auto"/>
                <w:highlight w:val="none"/>
              </w:rPr>
              <w:t>》（DB44/26-2001）第二时段三级标准</w:t>
            </w:r>
            <w:r>
              <w:rPr>
                <w:rFonts w:hint="eastAsia"/>
                <w:color w:val="auto"/>
                <w:highlight w:val="none"/>
              </w:rPr>
              <w:t>两</w:t>
            </w:r>
            <w:r>
              <w:rPr>
                <w:color w:val="auto"/>
                <w:highlight w:val="none"/>
              </w:rPr>
              <w:t>者较严值要求。</w:t>
            </w:r>
            <w:r>
              <w:rPr>
                <w:rFonts w:hint="eastAsia"/>
                <w:color w:val="auto"/>
                <w:highlight w:val="none"/>
                <w:lang w:val="en-US" w:eastAsia="zh-CN"/>
              </w:rPr>
              <w:t>回用水执行《城市污水再生利用 工业用水水质》（GB/T19923-2024）。</w:t>
            </w:r>
          </w:p>
          <w:p w14:paraId="4F50CA43">
            <w:pPr>
              <w:ind w:firstLine="480" w:firstLineChars="200"/>
              <w:rPr>
                <w:color w:val="auto"/>
                <w:highlight w:val="none"/>
              </w:rPr>
            </w:pPr>
            <w:r>
              <w:rPr>
                <w:color w:val="auto"/>
                <w:highlight w:val="none"/>
              </w:rPr>
              <w:t>园区污水处理厂出水水质标准执行广东省《</w:t>
            </w:r>
            <w:r>
              <w:rPr>
                <w:rFonts w:hint="eastAsia"/>
                <w:color w:val="auto"/>
                <w:highlight w:val="none"/>
              </w:rPr>
              <w:t>水污染物排放限值</w:t>
            </w:r>
            <w:r>
              <w:rPr>
                <w:color w:val="auto"/>
                <w:highlight w:val="none"/>
              </w:rPr>
              <w:t>》（DB44/26-2001）第二时段一级标准和《城镇污水处理厂污染物排放标准》（GB18919-2002）一级B标准中严者。</w:t>
            </w:r>
            <w:r>
              <w:rPr>
                <w:color w:val="auto"/>
                <w:highlight w:val="none"/>
                <w:lang w:val="zh-CN"/>
              </w:rPr>
              <w:t>相关排放标准情况</w:t>
            </w:r>
            <w:r>
              <w:rPr>
                <w:color w:val="auto"/>
                <w:highlight w:val="none"/>
              </w:rPr>
              <w:t>见下表：</w:t>
            </w:r>
          </w:p>
          <w:p w14:paraId="646A13F8">
            <w:pPr>
              <w:spacing w:line="240" w:lineRule="auto"/>
              <w:jc w:val="center"/>
              <w:rPr>
                <w:rFonts w:hint="default" w:ascii="Times New Roman" w:hAnsi="Times New Roman" w:eastAsia="宋体" w:cs="Times New Roman"/>
                <w:b/>
                <w:bCs/>
                <w:color w:val="auto"/>
                <w:sz w:val="21"/>
                <w:szCs w:val="21"/>
                <w:highlight w:val="none"/>
              </w:rPr>
            </w:pPr>
            <w:r>
              <w:rPr>
                <w:b/>
                <w:bCs/>
                <w:color w:val="auto"/>
                <w:sz w:val="21"/>
                <w:szCs w:val="21"/>
                <w:highlight w:val="none"/>
              </w:rPr>
              <w:t>表3-</w:t>
            </w:r>
            <w:r>
              <w:rPr>
                <w:rFonts w:hint="eastAsia"/>
                <w:b/>
                <w:bCs/>
                <w:color w:val="auto"/>
                <w:sz w:val="21"/>
                <w:szCs w:val="21"/>
                <w:highlight w:val="none"/>
                <w:lang w:val="en-US" w:eastAsia="zh-CN"/>
              </w:rPr>
              <w:t>7</w:t>
            </w:r>
            <w:r>
              <w:rPr>
                <w:rFonts w:hint="eastAsia" w:cs="Times New Roman"/>
                <w:b/>
                <w:bCs/>
                <w:color w:val="auto"/>
                <w:sz w:val="21"/>
                <w:szCs w:val="21"/>
                <w:highlight w:val="none"/>
                <w:lang w:val="en-US" w:eastAsia="zh-CN"/>
              </w:rPr>
              <w:t>本项目废水排放标准</w:t>
            </w:r>
            <w:r>
              <w:rPr>
                <w:rFonts w:hint="default" w:ascii="Times New Roman" w:hAnsi="Times New Roman" w:eastAsia="宋体" w:cs="Times New Roman"/>
                <w:b/>
                <w:bCs/>
                <w:color w:val="auto"/>
                <w:sz w:val="21"/>
                <w:szCs w:val="21"/>
                <w:highlight w:val="none"/>
              </w:rPr>
              <w:t>要求  mg/L，pH为无量纲</w:t>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3"/>
              <w:gridCol w:w="737"/>
              <w:gridCol w:w="693"/>
              <w:gridCol w:w="807"/>
              <w:gridCol w:w="579"/>
              <w:gridCol w:w="695"/>
              <w:gridCol w:w="680"/>
              <w:gridCol w:w="927"/>
              <w:gridCol w:w="697"/>
            </w:tblGrid>
            <w:tr w14:paraId="5421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1841" w:type="pct"/>
                  <w:tcBorders>
                    <w:tl2br w:val="nil"/>
                    <w:tr2bl w:val="nil"/>
                  </w:tcBorders>
                  <w:noWrap/>
                  <w:tcMar>
                    <w:left w:w="0" w:type="dxa"/>
                    <w:right w:w="0" w:type="dxa"/>
                  </w:tcMar>
                  <w:vAlign w:val="center"/>
                </w:tcPr>
                <w:p w14:paraId="001DCA4B">
                  <w:pPr>
                    <w:spacing w:line="276" w:lineRule="auto"/>
                    <w:jc w:val="center"/>
                    <w:rPr>
                      <w:b/>
                      <w:bCs/>
                      <w:color w:val="auto"/>
                      <w:sz w:val="21"/>
                      <w:szCs w:val="21"/>
                      <w:highlight w:val="none"/>
                    </w:rPr>
                  </w:pPr>
                  <w:r>
                    <w:rPr>
                      <w:b/>
                      <w:bCs/>
                      <w:color w:val="auto"/>
                      <w:sz w:val="21"/>
                      <w:szCs w:val="21"/>
                      <w:highlight w:val="none"/>
                    </w:rPr>
                    <w:t>污染物</w:t>
                  </w:r>
                </w:p>
              </w:tc>
              <w:tc>
                <w:tcPr>
                  <w:tcW w:w="400" w:type="pct"/>
                  <w:tcBorders>
                    <w:tl2br w:val="nil"/>
                    <w:tr2bl w:val="nil"/>
                  </w:tcBorders>
                  <w:noWrap/>
                  <w:tcMar>
                    <w:left w:w="0" w:type="dxa"/>
                    <w:right w:w="0" w:type="dxa"/>
                  </w:tcMar>
                  <w:vAlign w:val="center"/>
                </w:tcPr>
                <w:p w14:paraId="1C67D9E3">
                  <w:pPr>
                    <w:spacing w:line="276" w:lineRule="auto"/>
                    <w:jc w:val="center"/>
                    <w:rPr>
                      <w:b/>
                      <w:bCs/>
                      <w:color w:val="auto"/>
                      <w:sz w:val="21"/>
                      <w:szCs w:val="21"/>
                      <w:highlight w:val="none"/>
                    </w:rPr>
                  </w:pPr>
                  <w:r>
                    <w:rPr>
                      <w:b/>
                      <w:bCs/>
                      <w:color w:val="auto"/>
                      <w:sz w:val="21"/>
                      <w:szCs w:val="21"/>
                      <w:highlight w:val="none"/>
                    </w:rPr>
                    <w:t>pH</w:t>
                  </w:r>
                </w:p>
              </w:tc>
              <w:tc>
                <w:tcPr>
                  <w:tcW w:w="376" w:type="pct"/>
                  <w:tcBorders>
                    <w:tl2br w:val="nil"/>
                    <w:tr2bl w:val="nil"/>
                  </w:tcBorders>
                  <w:noWrap/>
                  <w:tcMar>
                    <w:left w:w="0" w:type="dxa"/>
                    <w:right w:w="0" w:type="dxa"/>
                  </w:tcMar>
                  <w:vAlign w:val="center"/>
                </w:tcPr>
                <w:p w14:paraId="0A5EF85B">
                  <w:pPr>
                    <w:spacing w:line="276" w:lineRule="auto"/>
                    <w:jc w:val="center"/>
                    <w:rPr>
                      <w:b/>
                      <w:bCs/>
                      <w:color w:val="auto"/>
                      <w:sz w:val="21"/>
                      <w:szCs w:val="21"/>
                      <w:highlight w:val="none"/>
                      <w:vertAlign w:val="subscript"/>
                    </w:rPr>
                  </w:pPr>
                  <w:r>
                    <w:rPr>
                      <w:b/>
                      <w:bCs/>
                      <w:color w:val="auto"/>
                      <w:sz w:val="21"/>
                      <w:szCs w:val="21"/>
                      <w:highlight w:val="none"/>
                    </w:rPr>
                    <w:t>COD</w:t>
                  </w:r>
                  <w:r>
                    <w:rPr>
                      <w:b/>
                      <w:bCs/>
                      <w:color w:val="auto"/>
                      <w:sz w:val="21"/>
                      <w:szCs w:val="21"/>
                      <w:highlight w:val="none"/>
                      <w:vertAlign w:val="subscript"/>
                    </w:rPr>
                    <w:t>Cr</w:t>
                  </w:r>
                </w:p>
              </w:tc>
              <w:tc>
                <w:tcPr>
                  <w:tcW w:w="438" w:type="pct"/>
                  <w:tcBorders>
                    <w:tl2br w:val="nil"/>
                    <w:tr2bl w:val="nil"/>
                  </w:tcBorders>
                  <w:noWrap/>
                  <w:vAlign w:val="center"/>
                </w:tcPr>
                <w:p w14:paraId="348AE174">
                  <w:pPr>
                    <w:spacing w:line="276" w:lineRule="auto"/>
                    <w:jc w:val="center"/>
                    <w:rPr>
                      <w:b/>
                      <w:bCs/>
                      <w:color w:val="auto"/>
                      <w:sz w:val="21"/>
                      <w:szCs w:val="21"/>
                      <w:highlight w:val="none"/>
                      <w:vertAlign w:val="subscript"/>
                    </w:rPr>
                  </w:pPr>
                  <w:r>
                    <w:rPr>
                      <w:b/>
                      <w:bCs/>
                      <w:color w:val="auto"/>
                      <w:sz w:val="21"/>
                      <w:szCs w:val="21"/>
                      <w:highlight w:val="none"/>
                    </w:rPr>
                    <w:t>BOD</w:t>
                  </w:r>
                  <w:r>
                    <w:rPr>
                      <w:b/>
                      <w:bCs/>
                      <w:color w:val="auto"/>
                      <w:sz w:val="21"/>
                      <w:szCs w:val="21"/>
                      <w:highlight w:val="none"/>
                      <w:vertAlign w:val="subscript"/>
                    </w:rPr>
                    <w:t>5</w:t>
                  </w:r>
                </w:p>
              </w:tc>
              <w:tc>
                <w:tcPr>
                  <w:tcW w:w="314" w:type="pct"/>
                  <w:tcBorders>
                    <w:tl2br w:val="nil"/>
                    <w:tr2bl w:val="nil"/>
                  </w:tcBorders>
                  <w:noWrap/>
                  <w:vAlign w:val="center"/>
                </w:tcPr>
                <w:p w14:paraId="1CC67982">
                  <w:pPr>
                    <w:spacing w:line="276" w:lineRule="auto"/>
                    <w:jc w:val="center"/>
                    <w:rPr>
                      <w:b/>
                      <w:bCs/>
                      <w:color w:val="auto"/>
                      <w:sz w:val="21"/>
                      <w:szCs w:val="21"/>
                      <w:highlight w:val="none"/>
                    </w:rPr>
                  </w:pPr>
                  <w:r>
                    <w:rPr>
                      <w:b/>
                      <w:bCs/>
                      <w:color w:val="auto"/>
                      <w:sz w:val="21"/>
                      <w:szCs w:val="21"/>
                      <w:highlight w:val="none"/>
                    </w:rPr>
                    <w:t>SS</w:t>
                  </w:r>
                </w:p>
              </w:tc>
              <w:tc>
                <w:tcPr>
                  <w:tcW w:w="377" w:type="pct"/>
                  <w:tcBorders>
                    <w:tl2br w:val="nil"/>
                    <w:tr2bl w:val="nil"/>
                  </w:tcBorders>
                  <w:noWrap/>
                  <w:vAlign w:val="center"/>
                </w:tcPr>
                <w:p w14:paraId="2ECFBA3E">
                  <w:pPr>
                    <w:spacing w:line="276" w:lineRule="auto"/>
                    <w:jc w:val="center"/>
                    <w:rPr>
                      <w:b/>
                      <w:bCs/>
                      <w:color w:val="auto"/>
                      <w:sz w:val="21"/>
                      <w:szCs w:val="21"/>
                      <w:highlight w:val="none"/>
                    </w:rPr>
                  </w:pPr>
                  <w:r>
                    <w:rPr>
                      <w:b/>
                      <w:bCs/>
                      <w:color w:val="auto"/>
                      <w:sz w:val="21"/>
                      <w:szCs w:val="21"/>
                      <w:highlight w:val="none"/>
                    </w:rPr>
                    <w:t>氨氮</w:t>
                  </w:r>
                </w:p>
              </w:tc>
              <w:tc>
                <w:tcPr>
                  <w:tcW w:w="369" w:type="pct"/>
                  <w:tcBorders>
                    <w:tl2br w:val="nil"/>
                    <w:tr2bl w:val="nil"/>
                  </w:tcBorders>
                  <w:noWrap/>
                  <w:vAlign w:val="center"/>
                </w:tcPr>
                <w:p w14:paraId="0DE793C5">
                  <w:pPr>
                    <w:spacing w:line="276" w:lineRule="auto"/>
                    <w:jc w:val="center"/>
                    <w:rPr>
                      <w:b/>
                      <w:bCs/>
                      <w:color w:val="auto"/>
                      <w:sz w:val="21"/>
                      <w:szCs w:val="21"/>
                      <w:highlight w:val="none"/>
                    </w:rPr>
                  </w:pPr>
                  <w:r>
                    <w:rPr>
                      <w:b/>
                      <w:bCs/>
                      <w:color w:val="auto"/>
                      <w:sz w:val="21"/>
                      <w:szCs w:val="21"/>
                      <w:highlight w:val="none"/>
                    </w:rPr>
                    <w:t>LAS</w:t>
                  </w:r>
                </w:p>
              </w:tc>
              <w:tc>
                <w:tcPr>
                  <w:tcW w:w="503" w:type="pct"/>
                  <w:tcBorders>
                    <w:tl2br w:val="nil"/>
                    <w:tr2bl w:val="nil"/>
                  </w:tcBorders>
                  <w:noWrap/>
                  <w:vAlign w:val="center"/>
                </w:tcPr>
                <w:p w14:paraId="17B1E85C">
                  <w:pPr>
                    <w:spacing w:line="276" w:lineRule="auto"/>
                    <w:jc w:val="center"/>
                    <w:rPr>
                      <w:b/>
                      <w:bCs/>
                      <w:color w:val="auto"/>
                      <w:sz w:val="21"/>
                      <w:szCs w:val="21"/>
                      <w:highlight w:val="none"/>
                    </w:rPr>
                  </w:pPr>
                  <w:r>
                    <w:rPr>
                      <w:b/>
                      <w:bCs/>
                      <w:color w:val="auto"/>
                      <w:sz w:val="21"/>
                      <w:szCs w:val="21"/>
                      <w:highlight w:val="none"/>
                    </w:rPr>
                    <w:t>石油类</w:t>
                  </w:r>
                </w:p>
              </w:tc>
              <w:tc>
                <w:tcPr>
                  <w:tcW w:w="378" w:type="pct"/>
                  <w:tcBorders>
                    <w:tl2br w:val="nil"/>
                    <w:tr2bl w:val="nil"/>
                  </w:tcBorders>
                  <w:noWrap/>
                  <w:vAlign w:val="center"/>
                </w:tcPr>
                <w:p w14:paraId="0DF7F5DB">
                  <w:pPr>
                    <w:spacing w:line="276" w:lineRule="auto"/>
                    <w:jc w:val="center"/>
                    <w:rPr>
                      <w:b/>
                      <w:bCs/>
                      <w:color w:val="auto"/>
                      <w:sz w:val="21"/>
                      <w:szCs w:val="21"/>
                      <w:highlight w:val="none"/>
                    </w:rPr>
                  </w:pPr>
                  <w:r>
                    <w:rPr>
                      <w:rFonts w:hint="eastAsia"/>
                      <w:b/>
                      <w:bCs/>
                      <w:color w:val="auto"/>
                      <w:sz w:val="21"/>
                      <w:szCs w:val="21"/>
                      <w:highlight w:val="none"/>
                    </w:rPr>
                    <w:t>总磷</w:t>
                  </w:r>
                </w:p>
              </w:tc>
            </w:tr>
            <w:tr w14:paraId="6622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1841" w:type="pct"/>
                  <w:tcBorders>
                    <w:tl2br w:val="nil"/>
                    <w:tr2bl w:val="nil"/>
                  </w:tcBorders>
                  <w:noWrap/>
                  <w:tcMar>
                    <w:left w:w="0" w:type="dxa"/>
                    <w:right w:w="0" w:type="dxa"/>
                  </w:tcMar>
                  <w:vAlign w:val="center"/>
                </w:tcPr>
                <w:p w14:paraId="565E8702">
                  <w:pPr>
                    <w:spacing w:line="276" w:lineRule="auto"/>
                    <w:jc w:val="center"/>
                    <w:rPr>
                      <w:color w:val="auto"/>
                      <w:sz w:val="21"/>
                      <w:szCs w:val="21"/>
                      <w:highlight w:val="none"/>
                    </w:rPr>
                  </w:pPr>
                  <w:r>
                    <w:rPr>
                      <w:color w:val="auto"/>
                      <w:sz w:val="21"/>
                      <w:szCs w:val="21"/>
                      <w:highlight w:val="none"/>
                    </w:rPr>
                    <w:t>园区污水处理厂接管水质要求</w:t>
                  </w:r>
                </w:p>
              </w:tc>
              <w:tc>
                <w:tcPr>
                  <w:tcW w:w="400" w:type="pct"/>
                  <w:tcBorders>
                    <w:tl2br w:val="nil"/>
                    <w:tr2bl w:val="nil"/>
                  </w:tcBorders>
                  <w:noWrap/>
                  <w:tcMar>
                    <w:left w:w="0" w:type="dxa"/>
                    <w:right w:w="0" w:type="dxa"/>
                  </w:tcMar>
                  <w:vAlign w:val="center"/>
                </w:tcPr>
                <w:p w14:paraId="38461410">
                  <w:pPr>
                    <w:spacing w:line="276" w:lineRule="auto"/>
                    <w:jc w:val="center"/>
                    <w:rPr>
                      <w:b/>
                      <w:bCs/>
                      <w:color w:val="auto"/>
                      <w:sz w:val="21"/>
                      <w:szCs w:val="21"/>
                      <w:highlight w:val="none"/>
                    </w:rPr>
                  </w:pPr>
                  <w:r>
                    <w:rPr>
                      <w:color w:val="auto"/>
                      <w:sz w:val="21"/>
                      <w:szCs w:val="21"/>
                      <w:highlight w:val="none"/>
                    </w:rPr>
                    <w:t>6-9</w:t>
                  </w:r>
                </w:p>
              </w:tc>
              <w:tc>
                <w:tcPr>
                  <w:tcW w:w="376" w:type="pct"/>
                  <w:tcBorders>
                    <w:tl2br w:val="nil"/>
                    <w:tr2bl w:val="nil"/>
                  </w:tcBorders>
                  <w:noWrap/>
                  <w:tcMar>
                    <w:left w:w="0" w:type="dxa"/>
                    <w:right w:w="0" w:type="dxa"/>
                  </w:tcMar>
                  <w:vAlign w:val="center"/>
                </w:tcPr>
                <w:p w14:paraId="40BB3A93">
                  <w:pPr>
                    <w:spacing w:line="276" w:lineRule="auto"/>
                    <w:jc w:val="center"/>
                    <w:rPr>
                      <w:color w:val="auto"/>
                      <w:sz w:val="21"/>
                      <w:szCs w:val="21"/>
                      <w:highlight w:val="none"/>
                    </w:rPr>
                  </w:pPr>
                  <w:r>
                    <w:rPr>
                      <w:color w:val="auto"/>
                      <w:sz w:val="21"/>
                      <w:szCs w:val="21"/>
                      <w:highlight w:val="none"/>
                    </w:rPr>
                    <w:t>300</w:t>
                  </w:r>
                </w:p>
              </w:tc>
              <w:tc>
                <w:tcPr>
                  <w:tcW w:w="438" w:type="pct"/>
                  <w:tcBorders>
                    <w:tl2br w:val="nil"/>
                    <w:tr2bl w:val="nil"/>
                  </w:tcBorders>
                  <w:noWrap/>
                  <w:vAlign w:val="center"/>
                </w:tcPr>
                <w:p w14:paraId="22AEB1E0">
                  <w:pPr>
                    <w:spacing w:line="276" w:lineRule="auto"/>
                    <w:jc w:val="center"/>
                    <w:rPr>
                      <w:color w:val="auto"/>
                      <w:sz w:val="21"/>
                      <w:szCs w:val="21"/>
                      <w:highlight w:val="none"/>
                    </w:rPr>
                  </w:pPr>
                  <w:r>
                    <w:rPr>
                      <w:color w:val="auto"/>
                      <w:sz w:val="21"/>
                      <w:szCs w:val="21"/>
                      <w:highlight w:val="none"/>
                    </w:rPr>
                    <w:t>150</w:t>
                  </w:r>
                </w:p>
              </w:tc>
              <w:tc>
                <w:tcPr>
                  <w:tcW w:w="314" w:type="pct"/>
                  <w:tcBorders>
                    <w:tl2br w:val="nil"/>
                    <w:tr2bl w:val="nil"/>
                  </w:tcBorders>
                  <w:noWrap/>
                  <w:vAlign w:val="center"/>
                </w:tcPr>
                <w:p w14:paraId="64BA69AF">
                  <w:pPr>
                    <w:spacing w:line="276" w:lineRule="auto"/>
                    <w:jc w:val="center"/>
                    <w:rPr>
                      <w:color w:val="auto"/>
                      <w:sz w:val="21"/>
                      <w:szCs w:val="21"/>
                      <w:highlight w:val="none"/>
                    </w:rPr>
                  </w:pPr>
                  <w:r>
                    <w:rPr>
                      <w:color w:val="auto"/>
                      <w:sz w:val="21"/>
                      <w:szCs w:val="21"/>
                      <w:highlight w:val="none"/>
                    </w:rPr>
                    <w:t>250</w:t>
                  </w:r>
                </w:p>
              </w:tc>
              <w:tc>
                <w:tcPr>
                  <w:tcW w:w="377" w:type="pct"/>
                  <w:tcBorders>
                    <w:tl2br w:val="nil"/>
                    <w:tr2bl w:val="nil"/>
                  </w:tcBorders>
                  <w:noWrap/>
                  <w:vAlign w:val="center"/>
                </w:tcPr>
                <w:p w14:paraId="34F0B370">
                  <w:pPr>
                    <w:spacing w:line="276" w:lineRule="auto"/>
                    <w:jc w:val="center"/>
                    <w:rPr>
                      <w:color w:val="auto"/>
                      <w:sz w:val="21"/>
                      <w:szCs w:val="21"/>
                      <w:highlight w:val="none"/>
                    </w:rPr>
                  </w:pPr>
                  <w:r>
                    <w:rPr>
                      <w:color w:val="auto"/>
                      <w:sz w:val="21"/>
                      <w:szCs w:val="21"/>
                      <w:highlight w:val="none"/>
                    </w:rPr>
                    <w:t>40</w:t>
                  </w:r>
                </w:p>
              </w:tc>
              <w:tc>
                <w:tcPr>
                  <w:tcW w:w="369" w:type="pct"/>
                  <w:tcBorders>
                    <w:tl2br w:val="nil"/>
                    <w:tr2bl w:val="nil"/>
                  </w:tcBorders>
                  <w:noWrap/>
                  <w:vAlign w:val="center"/>
                </w:tcPr>
                <w:p w14:paraId="3E778849">
                  <w:pPr>
                    <w:spacing w:line="276" w:lineRule="auto"/>
                    <w:jc w:val="center"/>
                    <w:rPr>
                      <w:color w:val="auto"/>
                      <w:sz w:val="21"/>
                      <w:szCs w:val="21"/>
                      <w:highlight w:val="none"/>
                    </w:rPr>
                  </w:pPr>
                  <w:r>
                    <w:rPr>
                      <w:color w:val="auto"/>
                      <w:sz w:val="21"/>
                      <w:szCs w:val="21"/>
                      <w:highlight w:val="none"/>
                    </w:rPr>
                    <w:t>/</w:t>
                  </w:r>
                </w:p>
              </w:tc>
              <w:tc>
                <w:tcPr>
                  <w:tcW w:w="503" w:type="pct"/>
                  <w:tcBorders>
                    <w:tl2br w:val="nil"/>
                    <w:tr2bl w:val="nil"/>
                  </w:tcBorders>
                  <w:noWrap/>
                  <w:vAlign w:val="center"/>
                </w:tcPr>
                <w:p w14:paraId="3FE757F5">
                  <w:pPr>
                    <w:spacing w:line="276" w:lineRule="auto"/>
                    <w:jc w:val="center"/>
                    <w:rPr>
                      <w:color w:val="auto"/>
                      <w:sz w:val="21"/>
                      <w:szCs w:val="21"/>
                      <w:highlight w:val="none"/>
                    </w:rPr>
                  </w:pPr>
                  <w:r>
                    <w:rPr>
                      <w:color w:val="auto"/>
                      <w:sz w:val="21"/>
                      <w:szCs w:val="21"/>
                      <w:highlight w:val="none"/>
                    </w:rPr>
                    <w:t>/</w:t>
                  </w:r>
                </w:p>
              </w:tc>
              <w:tc>
                <w:tcPr>
                  <w:tcW w:w="378" w:type="pct"/>
                  <w:tcBorders>
                    <w:tl2br w:val="nil"/>
                    <w:tr2bl w:val="nil"/>
                  </w:tcBorders>
                  <w:noWrap/>
                  <w:vAlign w:val="center"/>
                </w:tcPr>
                <w:p w14:paraId="28057BC2">
                  <w:pPr>
                    <w:spacing w:line="276" w:lineRule="auto"/>
                    <w:jc w:val="center"/>
                    <w:rPr>
                      <w:color w:val="auto"/>
                      <w:sz w:val="21"/>
                      <w:szCs w:val="21"/>
                      <w:highlight w:val="none"/>
                    </w:rPr>
                  </w:pPr>
                </w:p>
              </w:tc>
            </w:tr>
            <w:tr w14:paraId="392B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1841" w:type="pct"/>
                  <w:tcBorders>
                    <w:tl2br w:val="nil"/>
                    <w:tr2bl w:val="nil"/>
                  </w:tcBorders>
                  <w:noWrap/>
                  <w:tcMar>
                    <w:left w:w="0" w:type="dxa"/>
                    <w:right w:w="0" w:type="dxa"/>
                  </w:tcMar>
                  <w:vAlign w:val="center"/>
                </w:tcPr>
                <w:p w14:paraId="4B70C5B8">
                  <w:pPr>
                    <w:spacing w:line="276" w:lineRule="auto"/>
                    <w:jc w:val="center"/>
                    <w:rPr>
                      <w:color w:val="auto"/>
                      <w:sz w:val="21"/>
                      <w:szCs w:val="21"/>
                      <w:highlight w:val="none"/>
                    </w:rPr>
                  </w:pPr>
                  <w:r>
                    <w:rPr>
                      <w:color w:val="auto"/>
                      <w:sz w:val="21"/>
                      <w:szCs w:val="21"/>
                      <w:highlight w:val="none"/>
                    </w:rPr>
                    <w:t>DB44/26-2001第二时段三级标准</w:t>
                  </w:r>
                </w:p>
              </w:tc>
              <w:tc>
                <w:tcPr>
                  <w:tcW w:w="400" w:type="pct"/>
                  <w:tcBorders>
                    <w:tl2br w:val="nil"/>
                    <w:tr2bl w:val="nil"/>
                  </w:tcBorders>
                  <w:noWrap/>
                  <w:tcMar>
                    <w:left w:w="0" w:type="dxa"/>
                    <w:right w:w="0" w:type="dxa"/>
                  </w:tcMar>
                  <w:vAlign w:val="center"/>
                </w:tcPr>
                <w:p w14:paraId="2DAE4F0B">
                  <w:pPr>
                    <w:spacing w:line="276" w:lineRule="auto"/>
                    <w:jc w:val="center"/>
                    <w:rPr>
                      <w:b/>
                      <w:bCs/>
                      <w:color w:val="auto"/>
                      <w:sz w:val="21"/>
                      <w:szCs w:val="21"/>
                      <w:highlight w:val="none"/>
                    </w:rPr>
                  </w:pPr>
                  <w:r>
                    <w:rPr>
                      <w:color w:val="auto"/>
                      <w:sz w:val="21"/>
                      <w:szCs w:val="21"/>
                      <w:highlight w:val="none"/>
                    </w:rPr>
                    <w:t>6-9</w:t>
                  </w:r>
                </w:p>
              </w:tc>
              <w:tc>
                <w:tcPr>
                  <w:tcW w:w="376" w:type="pct"/>
                  <w:tcBorders>
                    <w:tl2br w:val="nil"/>
                    <w:tr2bl w:val="nil"/>
                  </w:tcBorders>
                  <w:noWrap/>
                  <w:tcMar>
                    <w:left w:w="0" w:type="dxa"/>
                    <w:right w:w="0" w:type="dxa"/>
                  </w:tcMar>
                  <w:vAlign w:val="center"/>
                </w:tcPr>
                <w:p w14:paraId="7C2949C6">
                  <w:pPr>
                    <w:spacing w:line="276" w:lineRule="auto"/>
                    <w:jc w:val="center"/>
                    <w:rPr>
                      <w:color w:val="auto"/>
                      <w:sz w:val="21"/>
                      <w:szCs w:val="21"/>
                      <w:highlight w:val="none"/>
                    </w:rPr>
                  </w:pPr>
                  <w:r>
                    <w:rPr>
                      <w:color w:val="auto"/>
                      <w:sz w:val="21"/>
                      <w:szCs w:val="21"/>
                      <w:highlight w:val="none"/>
                    </w:rPr>
                    <w:t>500</w:t>
                  </w:r>
                </w:p>
              </w:tc>
              <w:tc>
                <w:tcPr>
                  <w:tcW w:w="438" w:type="pct"/>
                  <w:tcBorders>
                    <w:tl2br w:val="nil"/>
                    <w:tr2bl w:val="nil"/>
                  </w:tcBorders>
                  <w:noWrap/>
                  <w:vAlign w:val="center"/>
                </w:tcPr>
                <w:p w14:paraId="63EA2D03">
                  <w:pPr>
                    <w:spacing w:line="276" w:lineRule="auto"/>
                    <w:jc w:val="center"/>
                    <w:rPr>
                      <w:color w:val="auto"/>
                      <w:sz w:val="21"/>
                      <w:szCs w:val="21"/>
                      <w:highlight w:val="none"/>
                    </w:rPr>
                  </w:pPr>
                  <w:r>
                    <w:rPr>
                      <w:color w:val="auto"/>
                      <w:sz w:val="21"/>
                      <w:szCs w:val="21"/>
                      <w:highlight w:val="none"/>
                    </w:rPr>
                    <w:t>300</w:t>
                  </w:r>
                </w:p>
              </w:tc>
              <w:tc>
                <w:tcPr>
                  <w:tcW w:w="314" w:type="pct"/>
                  <w:tcBorders>
                    <w:tl2br w:val="nil"/>
                    <w:tr2bl w:val="nil"/>
                  </w:tcBorders>
                  <w:noWrap/>
                  <w:vAlign w:val="center"/>
                </w:tcPr>
                <w:p w14:paraId="069BDCF1">
                  <w:pPr>
                    <w:spacing w:line="276" w:lineRule="auto"/>
                    <w:jc w:val="center"/>
                    <w:rPr>
                      <w:color w:val="auto"/>
                      <w:sz w:val="21"/>
                      <w:szCs w:val="21"/>
                      <w:highlight w:val="none"/>
                    </w:rPr>
                  </w:pPr>
                  <w:r>
                    <w:rPr>
                      <w:color w:val="auto"/>
                      <w:sz w:val="21"/>
                      <w:szCs w:val="21"/>
                      <w:highlight w:val="none"/>
                    </w:rPr>
                    <w:t>400</w:t>
                  </w:r>
                </w:p>
              </w:tc>
              <w:tc>
                <w:tcPr>
                  <w:tcW w:w="377" w:type="pct"/>
                  <w:tcBorders>
                    <w:tl2br w:val="nil"/>
                    <w:tr2bl w:val="nil"/>
                  </w:tcBorders>
                  <w:noWrap/>
                  <w:vAlign w:val="center"/>
                </w:tcPr>
                <w:p w14:paraId="6FD923F2">
                  <w:pPr>
                    <w:spacing w:line="276" w:lineRule="auto"/>
                    <w:jc w:val="center"/>
                    <w:rPr>
                      <w:color w:val="auto"/>
                      <w:sz w:val="21"/>
                      <w:szCs w:val="21"/>
                      <w:highlight w:val="none"/>
                    </w:rPr>
                  </w:pPr>
                  <w:r>
                    <w:rPr>
                      <w:color w:val="auto"/>
                      <w:sz w:val="21"/>
                      <w:szCs w:val="21"/>
                      <w:highlight w:val="none"/>
                    </w:rPr>
                    <w:t>/</w:t>
                  </w:r>
                </w:p>
              </w:tc>
              <w:tc>
                <w:tcPr>
                  <w:tcW w:w="369" w:type="pct"/>
                  <w:tcBorders>
                    <w:tl2br w:val="nil"/>
                    <w:tr2bl w:val="nil"/>
                  </w:tcBorders>
                  <w:noWrap/>
                  <w:vAlign w:val="center"/>
                </w:tcPr>
                <w:p w14:paraId="60D46C7D">
                  <w:pPr>
                    <w:spacing w:line="276" w:lineRule="auto"/>
                    <w:jc w:val="center"/>
                    <w:rPr>
                      <w:color w:val="auto"/>
                      <w:sz w:val="21"/>
                      <w:szCs w:val="21"/>
                      <w:highlight w:val="none"/>
                    </w:rPr>
                  </w:pPr>
                  <w:r>
                    <w:rPr>
                      <w:color w:val="auto"/>
                      <w:sz w:val="21"/>
                      <w:szCs w:val="21"/>
                      <w:highlight w:val="none"/>
                    </w:rPr>
                    <w:t>20</w:t>
                  </w:r>
                </w:p>
              </w:tc>
              <w:tc>
                <w:tcPr>
                  <w:tcW w:w="503" w:type="pct"/>
                  <w:tcBorders>
                    <w:tl2br w:val="nil"/>
                    <w:tr2bl w:val="nil"/>
                  </w:tcBorders>
                  <w:noWrap/>
                  <w:vAlign w:val="center"/>
                </w:tcPr>
                <w:p w14:paraId="02CF7E60">
                  <w:pPr>
                    <w:spacing w:line="276" w:lineRule="auto"/>
                    <w:jc w:val="center"/>
                    <w:rPr>
                      <w:color w:val="auto"/>
                      <w:sz w:val="21"/>
                      <w:szCs w:val="21"/>
                      <w:highlight w:val="none"/>
                    </w:rPr>
                  </w:pPr>
                  <w:r>
                    <w:rPr>
                      <w:color w:val="auto"/>
                      <w:sz w:val="21"/>
                      <w:szCs w:val="21"/>
                      <w:highlight w:val="none"/>
                    </w:rPr>
                    <w:t>20</w:t>
                  </w:r>
                </w:p>
              </w:tc>
              <w:tc>
                <w:tcPr>
                  <w:tcW w:w="378" w:type="pct"/>
                  <w:tcBorders>
                    <w:tl2br w:val="nil"/>
                    <w:tr2bl w:val="nil"/>
                  </w:tcBorders>
                  <w:noWrap/>
                  <w:vAlign w:val="center"/>
                </w:tcPr>
                <w:p w14:paraId="206B47D4">
                  <w:pPr>
                    <w:spacing w:line="276" w:lineRule="auto"/>
                    <w:jc w:val="center"/>
                    <w:rPr>
                      <w:color w:val="auto"/>
                      <w:sz w:val="21"/>
                      <w:szCs w:val="21"/>
                      <w:highlight w:val="none"/>
                    </w:rPr>
                  </w:pPr>
                  <w:r>
                    <w:rPr>
                      <w:rFonts w:hint="eastAsia"/>
                      <w:color w:val="auto"/>
                      <w:sz w:val="21"/>
                      <w:szCs w:val="21"/>
                      <w:highlight w:val="none"/>
                    </w:rPr>
                    <w:t>/</w:t>
                  </w:r>
                </w:p>
              </w:tc>
            </w:tr>
            <w:tr w14:paraId="19EE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841" w:type="pct"/>
                  <w:tcBorders>
                    <w:tl2br w:val="nil"/>
                    <w:tr2bl w:val="nil"/>
                  </w:tcBorders>
                  <w:noWrap/>
                  <w:tcMar>
                    <w:left w:w="0" w:type="dxa"/>
                    <w:right w:w="0" w:type="dxa"/>
                  </w:tcMar>
                  <w:vAlign w:val="center"/>
                </w:tcPr>
                <w:p w14:paraId="63C1D40F">
                  <w:pPr>
                    <w:spacing w:line="276" w:lineRule="auto"/>
                    <w:jc w:val="center"/>
                    <w:rPr>
                      <w:color w:val="auto"/>
                      <w:sz w:val="21"/>
                      <w:szCs w:val="21"/>
                      <w:highlight w:val="none"/>
                    </w:rPr>
                  </w:pPr>
                  <w:r>
                    <w:rPr>
                      <w:color w:val="auto"/>
                      <w:sz w:val="21"/>
                      <w:szCs w:val="21"/>
                      <w:highlight w:val="none"/>
                    </w:rPr>
                    <w:t>本项目执行限值</w:t>
                  </w:r>
                </w:p>
              </w:tc>
              <w:tc>
                <w:tcPr>
                  <w:tcW w:w="400" w:type="pct"/>
                  <w:tcBorders>
                    <w:tl2br w:val="nil"/>
                    <w:tr2bl w:val="nil"/>
                  </w:tcBorders>
                  <w:noWrap/>
                  <w:tcMar>
                    <w:left w:w="0" w:type="dxa"/>
                    <w:right w:w="0" w:type="dxa"/>
                  </w:tcMar>
                  <w:vAlign w:val="center"/>
                </w:tcPr>
                <w:p w14:paraId="17663582">
                  <w:pPr>
                    <w:spacing w:line="276" w:lineRule="auto"/>
                    <w:jc w:val="center"/>
                    <w:rPr>
                      <w:color w:val="auto"/>
                      <w:sz w:val="21"/>
                      <w:szCs w:val="21"/>
                      <w:highlight w:val="none"/>
                    </w:rPr>
                  </w:pPr>
                  <w:r>
                    <w:rPr>
                      <w:color w:val="auto"/>
                      <w:sz w:val="21"/>
                      <w:szCs w:val="21"/>
                      <w:highlight w:val="none"/>
                    </w:rPr>
                    <w:t>6-9</w:t>
                  </w:r>
                </w:p>
              </w:tc>
              <w:tc>
                <w:tcPr>
                  <w:tcW w:w="376" w:type="pct"/>
                  <w:tcBorders>
                    <w:tl2br w:val="nil"/>
                    <w:tr2bl w:val="nil"/>
                  </w:tcBorders>
                  <w:noWrap/>
                  <w:tcMar>
                    <w:left w:w="0" w:type="dxa"/>
                    <w:right w:w="0" w:type="dxa"/>
                  </w:tcMar>
                  <w:vAlign w:val="center"/>
                </w:tcPr>
                <w:p w14:paraId="3A182B03">
                  <w:pPr>
                    <w:spacing w:line="276" w:lineRule="auto"/>
                    <w:jc w:val="center"/>
                    <w:rPr>
                      <w:color w:val="auto"/>
                      <w:sz w:val="21"/>
                      <w:szCs w:val="21"/>
                      <w:highlight w:val="none"/>
                    </w:rPr>
                  </w:pPr>
                  <w:r>
                    <w:rPr>
                      <w:rFonts w:hint="eastAsia"/>
                      <w:color w:val="auto"/>
                      <w:sz w:val="21"/>
                      <w:szCs w:val="21"/>
                      <w:highlight w:val="none"/>
                    </w:rPr>
                    <w:t>300</w:t>
                  </w:r>
                </w:p>
              </w:tc>
              <w:tc>
                <w:tcPr>
                  <w:tcW w:w="438" w:type="pct"/>
                  <w:tcBorders>
                    <w:tl2br w:val="nil"/>
                    <w:tr2bl w:val="nil"/>
                  </w:tcBorders>
                  <w:noWrap/>
                  <w:vAlign w:val="center"/>
                </w:tcPr>
                <w:p w14:paraId="5C84BEE6">
                  <w:pPr>
                    <w:spacing w:line="276" w:lineRule="auto"/>
                    <w:jc w:val="center"/>
                    <w:rPr>
                      <w:color w:val="auto"/>
                      <w:sz w:val="21"/>
                      <w:szCs w:val="21"/>
                      <w:highlight w:val="none"/>
                    </w:rPr>
                  </w:pPr>
                  <w:r>
                    <w:rPr>
                      <w:color w:val="auto"/>
                      <w:sz w:val="21"/>
                      <w:szCs w:val="21"/>
                      <w:highlight w:val="none"/>
                    </w:rPr>
                    <w:t>150</w:t>
                  </w:r>
                </w:p>
              </w:tc>
              <w:tc>
                <w:tcPr>
                  <w:tcW w:w="314" w:type="pct"/>
                  <w:tcBorders>
                    <w:tl2br w:val="nil"/>
                    <w:tr2bl w:val="nil"/>
                  </w:tcBorders>
                  <w:noWrap/>
                  <w:vAlign w:val="center"/>
                </w:tcPr>
                <w:p w14:paraId="36230B6A">
                  <w:pPr>
                    <w:spacing w:line="276" w:lineRule="auto"/>
                    <w:jc w:val="center"/>
                    <w:rPr>
                      <w:color w:val="auto"/>
                      <w:sz w:val="21"/>
                      <w:szCs w:val="21"/>
                      <w:highlight w:val="none"/>
                    </w:rPr>
                  </w:pPr>
                  <w:r>
                    <w:rPr>
                      <w:rFonts w:hint="eastAsia"/>
                      <w:color w:val="auto"/>
                      <w:sz w:val="21"/>
                      <w:szCs w:val="21"/>
                      <w:highlight w:val="none"/>
                    </w:rPr>
                    <w:t>250</w:t>
                  </w:r>
                </w:p>
              </w:tc>
              <w:tc>
                <w:tcPr>
                  <w:tcW w:w="377" w:type="pct"/>
                  <w:tcBorders>
                    <w:tl2br w:val="nil"/>
                    <w:tr2bl w:val="nil"/>
                  </w:tcBorders>
                  <w:noWrap/>
                  <w:vAlign w:val="center"/>
                </w:tcPr>
                <w:p w14:paraId="169C8997">
                  <w:pPr>
                    <w:spacing w:line="276" w:lineRule="auto"/>
                    <w:jc w:val="center"/>
                    <w:rPr>
                      <w:color w:val="auto"/>
                      <w:sz w:val="21"/>
                      <w:szCs w:val="21"/>
                      <w:highlight w:val="none"/>
                    </w:rPr>
                  </w:pPr>
                  <w:r>
                    <w:rPr>
                      <w:rFonts w:hint="eastAsia"/>
                      <w:color w:val="auto"/>
                      <w:sz w:val="21"/>
                      <w:szCs w:val="21"/>
                      <w:highlight w:val="none"/>
                    </w:rPr>
                    <w:t>40</w:t>
                  </w:r>
                </w:p>
              </w:tc>
              <w:tc>
                <w:tcPr>
                  <w:tcW w:w="369" w:type="pct"/>
                  <w:tcBorders>
                    <w:tl2br w:val="nil"/>
                    <w:tr2bl w:val="nil"/>
                  </w:tcBorders>
                  <w:noWrap/>
                  <w:vAlign w:val="center"/>
                </w:tcPr>
                <w:p w14:paraId="29B7E275">
                  <w:pPr>
                    <w:spacing w:line="276" w:lineRule="auto"/>
                    <w:jc w:val="center"/>
                    <w:rPr>
                      <w:color w:val="auto"/>
                      <w:sz w:val="21"/>
                      <w:szCs w:val="21"/>
                      <w:highlight w:val="none"/>
                    </w:rPr>
                  </w:pPr>
                  <w:r>
                    <w:rPr>
                      <w:color w:val="auto"/>
                      <w:sz w:val="21"/>
                      <w:szCs w:val="21"/>
                      <w:highlight w:val="none"/>
                    </w:rPr>
                    <w:t>20</w:t>
                  </w:r>
                </w:p>
              </w:tc>
              <w:tc>
                <w:tcPr>
                  <w:tcW w:w="503" w:type="pct"/>
                  <w:tcBorders>
                    <w:tl2br w:val="nil"/>
                    <w:tr2bl w:val="nil"/>
                  </w:tcBorders>
                  <w:noWrap/>
                  <w:vAlign w:val="center"/>
                </w:tcPr>
                <w:p w14:paraId="711D52A2">
                  <w:pPr>
                    <w:spacing w:line="276" w:lineRule="auto"/>
                    <w:jc w:val="center"/>
                    <w:rPr>
                      <w:color w:val="auto"/>
                      <w:sz w:val="21"/>
                      <w:szCs w:val="21"/>
                      <w:highlight w:val="none"/>
                    </w:rPr>
                  </w:pPr>
                  <w:r>
                    <w:rPr>
                      <w:rFonts w:hint="eastAsia"/>
                      <w:color w:val="auto"/>
                      <w:sz w:val="21"/>
                      <w:szCs w:val="21"/>
                      <w:highlight w:val="none"/>
                    </w:rPr>
                    <w:t>2.0</w:t>
                  </w:r>
                </w:p>
              </w:tc>
              <w:tc>
                <w:tcPr>
                  <w:tcW w:w="378" w:type="pct"/>
                  <w:tcBorders>
                    <w:tl2br w:val="nil"/>
                    <w:tr2bl w:val="nil"/>
                  </w:tcBorders>
                  <w:noWrap/>
                  <w:vAlign w:val="center"/>
                </w:tcPr>
                <w:p w14:paraId="1BAFCE51">
                  <w:pPr>
                    <w:spacing w:line="276" w:lineRule="auto"/>
                    <w:jc w:val="center"/>
                    <w:rPr>
                      <w:color w:val="auto"/>
                      <w:sz w:val="21"/>
                      <w:szCs w:val="21"/>
                      <w:highlight w:val="none"/>
                    </w:rPr>
                  </w:pPr>
                  <w:r>
                    <w:rPr>
                      <w:rFonts w:hint="eastAsia"/>
                      <w:color w:val="auto"/>
                      <w:sz w:val="21"/>
                      <w:szCs w:val="21"/>
                      <w:highlight w:val="none"/>
                    </w:rPr>
                    <w:t>1.0</w:t>
                  </w:r>
                </w:p>
              </w:tc>
            </w:tr>
          </w:tbl>
          <w:p w14:paraId="6AB0FD3D">
            <w:pPr>
              <w:tabs>
                <w:tab w:val="left" w:pos="0"/>
              </w:tabs>
              <w:jc w:val="center"/>
              <w:rPr>
                <w:b/>
                <w:bCs/>
                <w:color w:val="auto"/>
                <w:sz w:val="21"/>
                <w:szCs w:val="21"/>
                <w:highlight w:val="none"/>
              </w:rPr>
            </w:pPr>
            <w:r>
              <w:rPr>
                <w:b/>
                <w:bCs/>
                <w:color w:val="auto"/>
                <w:sz w:val="21"/>
                <w:szCs w:val="21"/>
                <w:highlight w:val="none"/>
              </w:rPr>
              <w:t>表3-</w:t>
            </w:r>
            <w:r>
              <w:rPr>
                <w:rFonts w:hint="eastAsia"/>
                <w:b/>
                <w:bCs/>
                <w:color w:val="auto"/>
                <w:sz w:val="21"/>
                <w:szCs w:val="21"/>
                <w:highlight w:val="none"/>
                <w:lang w:val="en-US" w:eastAsia="zh-CN"/>
              </w:rPr>
              <w:t>8</w:t>
            </w:r>
            <w:r>
              <w:rPr>
                <w:rFonts w:hint="eastAsia"/>
                <w:b/>
                <w:bCs/>
                <w:color w:val="auto"/>
                <w:sz w:val="21"/>
                <w:szCs w:val="21"/>
                <w:highlight w:val="none"/>
              </w:rPr>
              <w:t xml:space="preserve"> 《城市污水再生利用 工业用水水质》</w:t>
            </w:r>
            <w:r>
              <w:rPr>
                <w:rFonts w:hint="eastAsia"/>
                <w:b/>
                <w:bCs/>
                <w:color w:val="auto"/>
                <w:sz w:val="21"/>
                <w:szCs w:val="21"/>
                <w:highlight w:val="none"/>
                <w:lang w:eastAsia="zh-CN"/>
              </w:rPr>
              <w:t>（</w:t>
            </w:r>
            <w:r>
              <w:rPr>
                <w:rFonts w:hint="eastAsia"/>
                <w:b/>
                <w:bCs/>
                <w:color w:val="auto"/>
                <w:sz w:val="21"/>
                <w:szCs w:val="21"/>
                <w:highlight w:val="none"/>
              </w:rPr>
              <w:t>GB/T19923-2024</w:t>
            </w:r>
            <w:r>
              <w:rPr>
                <w:rFonts w:hint="eastAsia"/>
                <w:b/>
                <w:bCs/>
                <w:color w:val="auto"/>
                <w:sz w:val="21"/>
                <w:szCs w:val="21"/>
                <w:highlight w:val="none"/>
                <w:lang w:eastAsia="zh-CN"/>
              </w:rPr>
              <w:t>）</w:t>
            </w:r>
            <w:r>
              <w:rPr>
                <w:rFonts w:hint="eastAsia"/>
                <w:b/>
                <w:bCs/>
                <w:color w:val="auto"/>
                <w:sz w:val="21"/>
                <w:szCs w:val="21"/>
                <w:highlight w:val="none"/>
              </w:rPr>
              <w:t>水质基本控制</w:t>
            </w:r>
            <w:r>
              <w:rPr>
                <w:b/>
                <w:bCs/>
                <w:color w:val="auto"/>
                <w:sz w:val="21"/>
                <w:szCs w:val="21"/>
                <w:highlight w:val="none"/>
              </w:rPr>
              <w:t>限值（摘录）</w:t>
            </w:r>
            <w:r>
              <w:rPr>
                <w:rFonts w:hint="eastAsia"/>
                <w:b/>
                <w:bCs/>
                <w:color w:val="auto"/>
                <w:sz w:val="21"/>
                <w:szCs w:val="21"/>
                <w:highlight w:val="none"/>
              </w:rPr>
              <w:t xml:space="preserve"> </w:t>
            </w:r>
          </w:p>
          <w:tbl>
            <w:tblPr>
              <w:tblStyle w:val="49"/>
              <w:tblW w:w="500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3529"/>
              <w:gridCol w:w="4828"/>
            </w:tblGrid>
            <w:tr w14:paraId="5587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6" w:type="pct"/>
                  <w:shd w:val="clear" w:color="auto" w:fill="auto"/>
                  <w:vAlign w:val="center"/>
                </w:tcPr>
                <w:p w14:paraId="011A55AF">
                  <w:pPr>
                    <w:spacing w:line="276" w:lineRule="auto"/>
                    <w:jc w:val="center"/>
                    <w:rPr>
                      <w:b/>
                      <w:bCs/>
                      <w:color w:val="auto"/>
                      <w:sz w:val="21"/>
                      <w:szCs w:val="21"/>
                      <w:highlight w:val="none"/>
                    </w:rPr>
                  </w:pPr>
                  <w:r>
                    <w:rPr>
                      <w:rFonts w:hint="eastAsia"/>
                      <w:b/>
                      <w:bCs/>
                      <w:color w:val="auto"/>
                      <w:sz w:val="21"/>
                      <w:szCs w:val="21"/>
                      <w:highlight w:val="none"/>
                    </w:rPr>
                    <w:t>序号</w:t>
                  </w:r>
                </w:p>
              </w:tc>
              <w:tc>
                <w:tcPr>
                  <w:tcW w:w="1914" w:type="pct"/>
                  <w:shd w:val="clear" w:color="auto" w:fill="auto"/>
                  <w:vAlign w:val="center"/>
                </w:tcPr>
                <w:p w14:paraId="31D32DC9">
                  <w:pPr>
                    <w:spacing w:line="276" w:lineRule="auto"/>
                    <w:jc w:val="center"/>
                    <w:rPr>
                      <w:b/>
                      <w:bCs/>
                      <w:color w:val="auto"/>
                      <w:sz w:val="21"/>
                      <w:szCs w:val="21"/>
                      <w:highlight w:val="none"/>
                    </w:rPr>
                  </w:pPr>
                  <w:r>
                    <w:rPr>
                      <w:rFonts w:hint="eastAsia"/>
                      <w:b/>
                      <w:bCs/>
                      <w:color w:val="auto"/>
                      <w:sz w:val="21"/>
                      <w:szCs w:val="21"/>
                      <w:highlight w:val="none"/>
                    </w:rPr>
                    <w:t>控制项目</w:t>
                  </w:r>
                </w:p>
              </w:tc>
              <w:tc>
                <w:tcPr>
                  <w:tcW w:w="2618" w:type="pct"/>
                  <w:shd w:val="clear" w:color="auto" w:fill="auto"/>
                  <w:vAlign w:val="center"/>
                </w:tcPr>
                <w:p w14:paraId="743044F0">
                  <w:pPr>
                    <w:spacing w:line="276" w:lineRule="auto"/>
                    <w:jc w:val="center"/>
                    <w:rPr>
                      <w:b/>
                      <w:bCs/>
                      <w:color w:val="auto"/>
                      <w:sz w:val="21"/>
                      <w:szCs w:val="21"/>
                      <w:highlight w:val="none"/>
                    </w:rPr>
                  </w:pPr>
                  <w:r>
                    <w:rPr>
                      <w:rFonts w:hint="eastAsia"/>
                      <w:b/>
                      <w:bCs/>
                      <w:color w:val="auto"/>
                      <w:sz w:val="21"/>
                      <w:szCs w:val="21"/>
                      <w:highlight w:val="none"/>
                    </w:rPr>
                    <w:t>直流冷却水、洗涤用水</w:t>
                  </w:r>
                </w:p>
              </w:tc>
            </w:tr>
            <w:tr w14:paraId="6777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66" w:type="pct"/>
                  <w:shd w:val="clear" w:color="auto" w:fill="auto"/>
                  <w:vAlign w:val="center"/>
                </w:tcPr>
                <w:p w14:paraId="372BB18D">
                  <w:pPr>
                    <w:spacing w:line="276" w:lineRule="auto"/>
                    <w:jc w:val="center"/>
                    <w:rPr>
                      <w:color w:val="auto"/>
                      <w:sz w:val="21"/>
                      <w:szCs w:val="21"/>
                      <w:highlight w:val="none"/>
                    </w:rPr>
                  </w:pPr>
                  <w:r>
                    <w:rPr>
                      <w:rFonts w:hint="eastAsia"/>
                      <w:color w:val="auto"/>
                      <w:sz w:val="21"/>
                      <w:szCs w:val="21"/>
                      <w:highlight w:val="none"/>
                    </w:rPr>
                    <w:t>1</w:t>
                  </w:r>
                </w:p>
              </w:tc>
              <w:tc>
                <w:tcPr>
                  <w:tcW w:w="1914" w:type="pct"/>
                  <w:shd w:val="clear" w:color="auto" w:fill="auto"/>
                  <w:vAlign w:val="center"/>
                </w:tcPr>
                <w:p w14:paraId="0ED920EE">
                  <w:pPr>
                    <w:spacing w:line="276" w:lineRule="auto"/>
                    <w:jc w:val="center"/>
                    <w:rPr>
                      <w:color w:val="auto"/>
                      <w:sz w:val="21"/>
                      <w:szCs w:val="21"/>
                      <w:highlight w:val="none"/>
                    </w:rPr>
                  </w:pPr>
                  <w:r>
                    <w:rPr>
                      <w:rFonts w:hint="eastAsia"/>
                      <w:color w:val="auto"/>
                      <w:sz w:val="21"/>
                      <w:szCs w:val="21"/>
                      <w:highlight w:val="none"/>
                    </w:rPr>
                    <w:t>pH (无量纲)</w:t>
                  </w:r>
                </w:p>
              </w:tc>
              <w:tc>
                <w:tcPr>
                  <w:tcW w:w="2618" w:type="pct"/>
                  <w:shd w:val="clear" w:color="auto" w:fill="auto"/>
                  <w:vAlign w:val="center"/>
                </w:tcPr>
                <w:p w14:paraId="73ADEA17">
                  <w:pPr>
                    <w:spacing w:line="276" w:lineRule="auto"/>
                    <w:jc w:val="center"/>
                    <w:rPr>
                      <w:color w:val="auto"/>
                      <w:sz w:val="21"/>
                      <w:szCs w:val="21"/>
                      <w:highlight w:val="none"/>
                    </w:rPr>
                  </w:pPr>
                  <w:r>
                    <w:rPr>
                      <w:rFonts w:hint="eastAsia"/>
                      <w:color w:val="auto"/>
                      <w:sz w:val="21"/>
                      <w:szCs w:val="21"/>
                      <w:highlight w:val="none"/>
                    </w:rPr>
                    <w:t>6.0~9.0</w:t>
                  </w:r>
                </w:p>
              </w:tc>
            </w:tr>
            <w:tr w14:paraId="191F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6" w:type="pct"/>
                  <w:shd w:val="clear" w:color="auto" w:fill="auto"/>
                  <w:vAlign w:val="center"/>
                </w:tcPr>
                <w:p w14:paraId="6B9A905F">
                  <w:pPr>
                    <w:spacing w:line="276" w:lineRule="auto"/>
                    <w:jc w:val="center"/>
                    <w:rPr>
                      <w:color w:val="auto"/>
                      <w:sz w:val="21"/>
                      <w:szCs w:val="21"/>
                      <w:highlight w:val="none"/>
                    </w:rPr>
                  </w:pPr>
                  <w:r>
                    <w:rPr>
                      <w:rFonts w:hint="eastAsia"/>
                      <w:color w:val="auto"/>
                      <w:sz w:val="21"/>
                      <w:szCs w:val="21"/>
                      <w:highlight w:val="none"/>
                    </w:rPr>
                    <w:t>2</w:t>
                  </w:r>
                </w:p>
              </w:tc>
              <w:tc>
                <w:tcPr>
                  <w:tcW w:w="1914" w:type="pct"/>
                  <w:shd w:val="clear" w:color="auto" w:fill="auto"/>
                  <w:vAlign w:val="center"/>
                </w:tcPr>
                <w:p w14:paraId="58DF0C50">
                  <w:pPr>
                    <w:spacing w:line="276" w:lineRule="auto"/>
                    <w:jc w:val="center"/>
                    <w:rPr>
                      <w:color w:val="auto"/>
                      <w:sz w:val="21"/>
                      <w:szCs w:val="21"/>
                      <w:highlight w:val="none"/>
                    </w:rPr>
                  </w:pPr>
                  <w:r>
                    <w:rPr>
                      <w:rFonts w:hint="eastAsia"/>
                      <w:color w:val="auto"/>
                      <w:sz w:val="21"/>
                      <w:szCs w:val="21"/>
                      <w:highlight w:val="none"/>
                    </w:rPr>
                    <w:t>五日生化需氧量 (BOD</w:t>
                  </w:r>
                  <w:r>
                    <w:rPr>
                      <w:rFonts w:hint="eastAsia"/>
                      <w:color w:val="auto"/>
                      <w:sz w:val="21"/>
                      <w:szCs w:val="21"/>
                      <w:highlight w:val="none"/>
                      <w:vertAlign w:val="subscript"/>
                    </w:rPr>
                    <w:t>5</w:t>
                  </w:r>
                  <w:r>
                    <w:rPr>
                      <w:rFonts w:hint="eastAsia"/>
                      <w:color w:val="auto"/>
                      <w:sz w:val="21"/>
                      <w:szCs w:val="21"/>
                      <w:highlight w:val="none"/>
                    </w:rPr>
                    <w:t>)/(mg/L)</w:t>
                  </w:r>
                </w:p>
              </w:tc>
              <w:tc>
                <w:tcPr>
                  <w:tcW w:w="2618" w:type="pct"/>
                  <w:shd w:val="clear" w:color="auto" w:fill="auto"/>
                  <w:vAlign w:val="center"/>
                </w:tcPr>
                <w:p w14:paraId="4B73E588">
                  <w:pPr>
                    <w:spacing w:line="276" w:lineRule="auto"/>
                    <w:jc w:val="center"/>
                    <w:rPr>
                      <w:color w:val="auto"/>
                      <w:sz w:val="21"/>
                      <w:szCs w:val="21"/>
                      <w:highlight w:val="none"/>
                    </w:rPr>
                  </w:pPr>
                  <w:r>
                    <w:rPr>
                      <w:rFonts w:hint="eastAsia"/>
                      <w:color w:val="auto"/>
                      <w:sz w:val="21"/>
                      <w:szCs w:val="21"/>
                      <w:highlight w:val="none"/>
                    </w:rPr>
                    <w:t>10</w:t>
                  </w:r>
                </w:p>
              </w:tc>
            </w:tr>
            <w:tr w14:paraId="261F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66" w:type="pct"/>
                  <w:shd w:val="clear" w:color="auto" w:fill="auto"/>
                  <w:vAlign w:val="center"/>
                </w:tcPr>
                <w:p w14:paraId="28188E62">
                  <w:pPr>
                    <w:spacing w:line="276" w:lineRule="auto"/>
                    <w:jc w:val="center"/>
                    <w:rPr>
                      <w:color w:val="auto"/>
                      <w:sz w:val="21"/>
                      <w:szCs w:val="21"/>
                      <w:highlight w:val="none"/>
                    </w:rPr>
                  </w:pPr>
                  <w:r>
                    <w:rPr>
                      <w:rFonts w:hint="eastAsia"/>
                      <w:color w:val="auto"/>
                      <w:sz w:val="21"/>
                      <w:szCs w:val="21"/>
                      <w:highlight w:val="none"/>
                    </w:rPr>
                    <w:t>3</w:t>
                  </w:r>
                </w:p>
              </w:tc>
              <w:tc>
                <w:tcPr>
                  <w:tcW w:w="1914" w:type="pct"/>
                  <w:shd w:val="clear" w:color="auto" w:fill="auto"/>
                  <w:vAlign w:val="center"/>
                </w:tcPr>
                <w:p w14:paraId="23724092">
                  <w:pPr>
                    <w:spacing w:line="276" w:lineRule="auto"/>
                    <w:jc w:val="center"/>
                    <w:rPr>
                      <w:color w:val="auto"/>
                      <w:sz w:val="21"/>
                      <w:szCs w:val="21"/>
                      <w:highlight w:val="none"/>
                    </w:rPr>
                  </w:pPr>
                  <w:r>
                    <w:rPr>
                      <w:rFonts w:hint="eastAsia"/>
                      <w:color w:val="auto"/>
                      <w:sz w:val="21"/>
                      <w:szCs w:val="21"/>
                      <w:highlight w:val="none"/>
                    </w:rPr>
                    <w:t>化学需氧量 (COD)/(mg/L)</w:t>
                  </w:r>
                </w:p>
              </w:tc>
              <w:tc>
                <w:tcPr>
                  <w:tcW w:w="2618" w:type="pct"/>
                  <w:shd w:val="clear" w:color="auto" w:fill="auto"/>
                  <w:vAlign w:val="center"/>
                </w:tcPr>
                <w:p w14:paraId="423C6FCB">
                  <w:pPr>
                    <w:spacing w:line="276" w:lineRule="auto"/>
                    <w:jc w:val="center"/>
                    <w:rPr>
                      <w:color w:val="auto"/>
                      <w:sz w:val="21"/>
                      <w:szCs w:val="21"/>
                      <w:highlight w:val="none"/>
                    </w:rPr>
                  </w:pPr>
                  <w:r>
                    <w:rPr>
                      <w:rFonts w:hint="eastAsia"/>
                      <w:color w:val="auto"/>
                      <w:sz w:val="21"/>
                      <w:szCs w:val="21"/>
                      <w:highlight w:val="none"/>
                    </w:rPr>
                    <w:t>50</w:t>
                  </w:r>
                </w:p>
              </w:tc>
            </w:tr>
            <w:tr w14:paraId="38D4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66" w:type="pct"/>
                  <w:shd w:val="clear" w:color="auto" w:fill="auto"/>
                  <w:vAlign w:val="center"/>
                </w:tcPr>
                <w:p w14:paraId="40EAB622">
                  <w:pPr>
                    <w:spacing w:line="276" w:lineRule="auto"/>
                    <w:jc w:val="center"/>
                    <w:rPr>
                      <w:color w:val="auto"/>
                      <w:sz w:val="21"/>
                      <w:szCs w:val="21"/>
                      <w:highlight w:val="none"/>
                    </w:rPr>
                  </w:pPr>
                  <w:r>
                    <w:rPr>
                      <w:rFonts w:hint="eastAsia"/>
                      <w:color w:val="auto"/>
                      <w:sz w:val="21"/>
                      <w:szCs w:val="21"/>
                      <w:highlight w:val="none"/>
                    </w:rPr>
                    <w:t>4</w:t>
                  </w:r>
                </w:p>
              </w:tc>
              <w:tc>
                <w:tcPr>
                  <w:tcW w:w="1914" w:type="pct"/>
                  <w:shd w:val="clear" w:color="auto" w:fill="auto"/>
                  <w:vAlign w:val="center"/>
                </w:tcPr>
                <w:p w14:paraId="22A0253A">
                  <w:pPr>
                    <w:spacing w:line="276" w:lineRule="auto"/>
                    <w:jc w:val="center"/>
                    <w:rPr>
                      <w:color w:val="auto"/>
                      <w:sz w:val="21"/>
                      <w:szCs w:val="21"/>
                      <w:highlight w:val="none"/>
                    </w:rPr>
                  </w:pPr>
                  <w:r>
                    <w:rPr>
                      <w:rFonts w:hint="eastAsia"/>
                      <w:color w:val="auto"/>
                      <w:sz w:val="21"/>
                      <w:szCs w:val="21"/>
                      <w:highlight w:val="none"/>
                    </w:rPr>
                    <w:t>氨氮 (以 N 计)/(mg/L)</w:t>
                  </w:r>
                </w:p>
              </w:tc>
              <w:tc>
                <w:tcPr>
                  <w:tcW w:w="2618" w:type="pct"/>
                  <w:shd w:val="clear" w:color="auto" w:fill="auto"/>
                  <w:vAlign w:val="center"/>
                </w:tcPr>
                <w:p w14:paraId="6290BD6C">
                  <w:pPr>
                    <w:spacing w:line="276" w:lineRule="auto"/>
                    <w:jc w:val="center"/>
                    <w:rPr>
                      <w:color w:val="auto"/>
                      <w:sz w:val="21"/>
                      <w:szCs w:val="21"/>
                      <w:highlight w:val="none"/>
                    </w:rPr>
                  </w:pPr>
                  <w:r>
                    <w:rPr>
                      <w:rFonts w:hint="eastAsia"/>
                      <w:color w:val="auto"/>
                      <w:sz w:val="21"/>
                      <w:szCs w:val="21"/>
                      <w:highlight w:val="none"/>
                    </w:rPr>
                    <w:t>5</w:t>
                  </w:r>
                </w:p>
              </w:tc>
            </w:tr>
            <w:tr w14:paraId="21D0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66" w:type="pct"/>
                  <w:shd w:val="clear" w:color="auto" w:fill="auto"/>
                  <w:vAlign w:val="center"/>
                </w:tcPr>
                <w:p w14:paraId="5313D68C">
                  <w:pPr>
                    <w:spacing w:line="276" w:lineRule="auto"/>
                    <w:jc w:val="center"/>
                    <w:rPr>
                      <w:color w:val="auto"/>
                      <w:sz w:val="21"/>
                      <w:szCs w:val="21"/>
                      <w:highlight w:val="none"/>
                    </w:rPr>
                  </w:pPr>
                  <w:r>
                    <w:rPr>
                      <w:rFonts w:hint="eastAsia"/>
                      <w:color w:val="auto"/>
                      <w:sz w:val="21"/>
                      <w:szCs w:val="21"/>
                      <w:highlight w:val="none"/>
                    </w:rPr>
                    <w:t>5</w:t>
                  </w:r>
                </w:p>
              </w:tc>
              <w:tc>
                <w:tcPr>
                  <w:tcW w:w="1914" w:type="pct"/>
                  <w:shd w:val="clear" w:color="auto" w:fill="auto"/>
                  <w:vAlign w:val="center"/>
                </w:tcPr>
                <w:p w14:paraId="546CA5A8">
                  <w:pPr>
                    <w:spacing w:line="276" w:lineRule="auto"/>
                    <w:jc w:val="center"/>
                    <w:rPr>
                      <w:color w:val="auto"/>
                      <w:sz w:val="21"/>
                      <w:szCs w:val="21"/>
                      <w:highlight w:val="none"/>
                    </w:rPr>
                  </w:pPr>
                  <w:r>
                    <w:rPr>
                      <w:rFonts w:hint="eastAsia"/>
                      <w:color w:val="auto"/>
                      <w:sz w:val="21"/>
                      <w:szCs w:val="21"/>
                      <w:highlight w:val="none"/>
                    </w:rPr>
                    <w:t>总氮 (以 N 计)/(mg/L)</w:t>
                  </w:r>
                </w:p>
              </w:tc>
              <w:tc>
                <w:tcPr>
                  <w:tcW w:w="2618" w:type="pct"/>
                  <w:shd w:val="clear" w:color="auto" w:fill="auto"/>
                  <w:vAlign w:val="center"/>
                </w:tcPr>
                <w:p w14:paraId="427C1789">
                  <w:pPr>
                    <w:spacing w:line="276" w:lineRule="auto"/>
                    <w:jc w:val="center"/>
                    <w:rPr>
                      <w:color w:val="auto"/>
                      <w:sz w:val="21"/>
                      <w:szCs w:val="21"/>
                      <w:highlight w:val="none"/>
                    </w:rPr>
                  </w:pPr>
                  <w:r>
                    <w:rPr>
                      <w:rFonts w:hint="eastAsia"/>
                      <w:color w:val="auto"/>
                      <w:sz w:val="21"/>
                      <w:szCs w:val="21"/>
                      <w:highlight w:val="none"/>
                    </w:rPr>
                    <w:t>15</w:t>
                  </w:r>
                </w:p>
              </w:tc>
            </w:tr>
            <w:tr w14:paraId="7E80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66" w:type="pct"/>
                  <w:shd w:val="clear" w:color="auto" w:fill="auto"/>
                  <w:vAlign w:val="center"/>
                </w:tcPr>
                <w:p w14:paraId="5870E9D4">
                  <w:pPr>
                    <w:spacing w:line="276" w:lineRule="auto"/>
                    <w:jc w:val="center"/>
                    <w:rPr>
                      <w:color w:val="auto"/>
                      <w:sz w:val="21"/>
                      <w:szCs w:val="21"/>
                      <w:highlight w:val="none"/>
                    </w:rPr>
                  </w:pPr>
                  <w:r>
                    <w:rPr>
                      <w:rFonts w:hint="eastAsia"/>
                      <w:color w:val="auto"/>
                      <w:sz w:val="21"/>
                      <w:szCs w:val="21"/>
                      <w:highlight w:val="none"/>
                    </w:rPr>
                    <w:t>6</w:t>
                  </w:r>
                </w:p>
              </w:tc>
              <w:tc>
                <w:tcPr>
                  <w:tcW w:w="1914" w:type="pct"/>
                  <w:shd w:val="clear" w:color="auto" w:fill="auto"/>
                  <w:vAlign w:val="center"/>
                </w:tcPr>
                <w:p w14:paraId="3627AB56">
                  <w:pPr>
                    <w:spacing w:line="276" w:lineRule="auto"/>
                    <w:jc w:val="center"/>
                    <w:rPr>
                      <w:color w:val="auto"/>
                      <w:sz w:val="21"/>
                      <w:szCs w:val="21"/>
                      <w:highlight w:val="none"/>
                    </w:rPr>
                  </w:pPr>
                  <w:r>
                    <w:rPr>
                      <w:rFonts w:hint="eastAsia"/>
                      <w:color w:val="auto"/>
                      <w:sz w:val="21"/>
                      <w:szCs w:val="21"/>
                      <w:highlight w:val="none"/>
                    </w:rPr>
                    <w:t>总磷 (以 P 计)/(mg/L)</w:t>
                  </w:r>
                </w:p>
              </w:tc>
              <w:tc>
                <w:tcPr>
                  <w:tcW w:w="2618" w:type="pct"/>
                  <w:shd w:val="clear" w:color="auto" w:fill="auto"/>
                  <w:vAlign w:val="center"/>
                </w:tcPr>
                <w:p w14:paraId="64556B37">
                  <w:pPr>
                    <w:spacing w:line="276" w:lineRule="auto"/>
                    <w:jc w:val="center"/>
                    <w:rPr>
                      <w:color w:val="auto"/>
                      <w:sz w:val="21"/>
                      <w:szCs w:val="21"/>
                      <w:highlight w:val="none"/>
                    </w:rPr>
                  </w:pPr>
                  <w:r>
                    <w:rPr>
                      <w:rFonts w:hint="eastAsia"/>
                      <w:color w:val="auto"/>
                      <w:sz w:val="21"/>
                      <w:szCs w:val="21"/>
                      <w:highlight w:val="none"/>
                    </w:rPr>
                    <w:t>0.5</w:t>
                  </w:r>
                </w:p>
              </w:tc>
            </w:tr>
            <w:tr w14:paraId="6A0A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66" w:type="pct"/>
                  <w:shd w:val="clear" w:color="auto" w:fill="auto"/>
                  <w:vAlign w:val="center"/>
                </w:tcPr>
                <w:p w14:paraId="7EBC6E05">
                  <w:pPr>
                    <w:spacing w:line="276" w:lineRule="auto"/>
                    <w:jc w:val="center"/>
                    <w:rPr>
                      <w:color w:val="auto"/>
                      <w:sz w:val="21"/>
                      <w:szCs w:val="21"/>
                      <w:highlight w:val="none"/>
                    </w:rPr>
                  </w:pPr>
                  <w:r>
                    <w:rPr>
                      <w:rFonts w:hint="eastAsia"/>
                      <w:color w:val="auto"/>
                      <w:sz w:val="21"/>
                      <w:szCs w:val="21"/>
                      <w:highlight w:val="none"/>
                    </w:rPr>
                    <w:t>7</w:t>
                  </w:r>
                </w:p>
              </w:tc>
              <w:tc>
                <w:tcPr>
                  <w:tcW w:w="1914" w:type="pct"/>
                  <w:shd w:val="clear" w:color="auto" w:fill="auto"/>
                  <w:vAlign w:val="center"/>
                </w:tcPr>
                <w:p w14:paraId="51B68E5C">
                  <w:pPr>
                    <w:spacing w:line="276" w:lineRule="auto"/>
                    <w:jc w:val="center"/>
                    <w:rPr>
                      <w:color w:val="auto"/>
                      <w:sz w:val="21"/>
                      <w:szCs w:val="21"/>
                      <w:highlight w:val="none"/>
                    </w:rPr>
                  </w:pPr>
                  <w:r>
                    <w:rPr>
                      <w:rFonts w:hint="eastAsia"/>
                      <w:color w:val="auto"/>
                      <w:sz w:val="21"/>
                      <w:szCs w:val="21"/>
                      <w:highlight w:val="none"/>
                    </w:rPr>
                    <w:t>石油类 /(mg/L)</w:t>
                  </w:r>
                </w:p>
              </w:tc>
              <w:tc>
                <w:tcPr>
                  <w:tcW w:w="2618" w:type="pct"/>
                  <w:shd w:val="clear" w:color="auto" w:fill="auto"/>
                  <w:vAlign w:val="center"/>
                </w:tcPr>
                <w:p w14:paraId="5EA49839">
                  <w:pPr>
                    <w:spacing w:line="276" w:lineRule="auto"/>
                    <w:jc w:val="center"/>
                    <w:rPr>
                      <w:color w:val="auto"/>
                      <w:sz w:val="21"/>
                      <w:szCs w:val="21"/>
                      <w:highlight w:val="none"/>
                    </w:rPr>
                  </w:pPr>
                  <w:r>
                    <w:rPr>
                      <w:rFonts w:hint="eastAsia"/>
                      <w:color w:val="auto"/>
                      <w:sz w:val="21"/>
                      <w:szCs w:val="21"/>
                      <w:highlight w:val="none"/>
                    </w:rPr>
                    <w:t>1</w:t>
                  </w:r>
                </w:p>
              </w:tc>
            </w:tr>
            <w:tr w14:paraId="21A7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66" w:type="pct"/>
                  <w:shd w:val="clear" w:color="auto" w:fill="auto"/>
                  <w:vAlign w:val="center"/>
                </w:tcPr>
                <w:p w14:paraId="373A9706">
                  <w:pPr>
                    <w:spacing w:line="276" w:lineRule="auto"/>
                    <w:jc w:val="center"/>
                    <w:rPr>
                      <w:color w:val="auto"/>
                      <w:sz w:val="21"/>
                      <w:szCs w:val="21"/>
                      <w:highlight w:val="none"/>
                    </w:rPr>
                  </w:pPr>
                  <w:r>
                    <w:rPr>
                      <w:rFonts w:hint="eastAsia"/>
                      <w:color w:val="auto"/>
                      <w:sz w:val="21"/>
                      <w:szCs w:val="21"/>
                      <w:highlight w:val="none"/>
                    </w:rPr>
                    <w:t>8</w:t>
                  </w:r>
                </w:p>
              </w:tc>
              <w:tc>
                <w:tcPr>
                  <w:tcW w:w="1914" w:type="pct"/>
                  <w:shd w:val="clear" w:color="auto" w:fill="auto"/>
                  <w:vAlign w:val="center"/>
                </w:tcPr>
                <w:p w14:paraId="76021DF8">
                  <w:pPr>
                    <w:spacing w:line="276" w:lineRule="auto"/>
                    <w:jc w:val="center"/>
                    <w:rPr>
                      <w:color w:val="auto"/>
                      <w:sz w:val="21"/>
                      <w:szCs w:val="21"/>
                      <w:highlight w:val="none"/>
                    </w:rPr>
                  </w:pPr>
                  <w:r>
                    <w:rPr>
                      <w:rFonts w:hint="eastAsia"/>
                      <w:color w:val="auto"/>
                      <w:sz w:val="21"/>
                      <w:szCs w:val="21"/>
                      <w:highlight w:val="none"/>
                    </w:rPr>
                    <w:t>LAS/(mg/L)</w:t>
                  </w:r>
                </w:p>
              </w:tc>
              <w:tc>
                <w:tcPr>
                  <w:tcW w:w="2618" w:type="pct"/>
                  <w:shd w:val="clear" w:color="auto" w:fill="auto"/>
                  <w:vAlign w:val="center"/>
                </w:tcPr>
                <w:p w14:paraId="54E8BD32">
                  <w:pPr>
                    <w:spacing w:line="276" w:lineRule="auto"/>
                    <w:jc w:val="center"/>
                    <w:rPr>
                      <w:color w:val="auto"/>
                      <w:sz w:val="21"/>
                      <w:szCs w:val="21"/>
                      <w:highlight w:val="none"/>
                    </w:rPr>
                  </w:pPr>
                  <w:r>
                    <w:rPr>
                      <w:rFonts w:hint="eastAsia"/>
                      <w:color w:val="auto"/>
                      <w:sz w:val="21"/>
                      <w:szCs w:val="21"/>
                      <w:highlight w:val="none"/>
                    </w:rPr>
                    <w:t>0.5</w:t>
                  </w:r>
                </w:p>
              </w:tc>
            </w:tr>
            <w:tr w14:paraId="7E3F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66" w:type="pct"/>
                  <w:shd w:val="clear" w:color="auto" w:fill="auto"/>
                  <w:vAlign w:val="center"/>
                </w:tcPr>
                <w:p w14:paraId="06940F9F">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9</w:t>
                  </w:r>
                </w:p>
              </w:tc>
              <w:tc>
                <w:tcPr>
                  <w:tcW w:w="1914" w:type="pct"/>
                  <w:shd w:val="clear" w:color="auto" w:fill="auto"/>
                  <w:vAlign w:val="center"/>
                </w:tcPr>
                <w:p w14:paraId="63FC3D62">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硫酸盐</w:t>
                  </w:r>
                  <w:r>
                    <w:rPr>
                      <w:rFonts w:hint="eastAsia"/>
                      <w:color w:val="auto"/>
                      <w:sz w:val="21"/>
                      <w:szCs w:val="21"/>
                      <w:highlight w:val="none"/>
                    </w:rPr>
                    <w:t>/(mg/L)</w:t>
                  </w:r>
                </w:p>
              </w:tc>
              <w:tc>
                <w:tcPr>
                  <w:tcW w:w="2618" w:type="pct"/>
                  <w:shd w:val="clear" w:color="auto" w:fill="auto"/>
                  <w:vAlign w:val="center"/>
                </w:tcPr>
                <w:p w14:paraId="3784B4AF">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600</w:t>
                  </w:r>
                </w:p>
              </w:tc>
            </w:tr>
            <w:tr w14:paraId="568D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66" w:type="pct"/>
                  <w:shd w:val="clear" w:color="auto" w:fill="auto"/>
                  <w:vAlign w:val="center"/>
                </w:tcPr>
                <w:p w14:paraId="2FD1848B">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1914" w:type="pct"/>
                  <w:shd w:val="clear" w:color="auto" w:fill="auto"/>
                  <w:vAlign w:val="center"/>
                </w:tcPr>
                <w:p w14:paraId="085EB51F">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氯化物</w:t>
                  </w:r>
                  <w:r>
                    <w:rPr>
                      <w:rFonts w:hint="eastAsia"/>
                      <w:color w:val="auto"/>
                      <w:sz w:val="21"/>
                      <w:szCs w:val="21"/>
                      <w:highlight w:val="none"/>
                    </w:rPr>
                    <w:t>/(mg/L)</w:t>
                  </w:r>
                </w:p>
              </w:tc>
              <w:tc>
                <w:tcPr>
                  <w:tcW w:w="2618" w:type="pct"/>
                  <w:shd w:val="clear" w:color="auto" w:fill="auto"/>
                  <w:vAlign w:val="center"/>
                </w:tcPr>
                <w:p w14:paraId="645B4999">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400</w:t>
                  </w:r>
                </w:p>
              </w:tc>
            </w:tr>
          </w:tbl>
          <w:p w14:paraId="61A55EE3">
            <w:pPr>
              <w:tabs>
                <w:tab w:val="left" w:pos="0"/>
              </w:tabs>
              <w:jc w:val="center"/>
              <w:rPr>
                <w:b/>
                <w:bCs/>
                <w:color w:val="auto"/>
                <w:sz w:val="21"/>
                <w:szCs w:val="21"/>
                <w:highlight w:val="none"/>
              </w:rPr>
            </w:pPr>
            <w:r>
              <w:rPr>
                <w:b/>
                <w:bCs/>
                <w:color w:val="auto"/>
                <w:sz w:val="21"/>
                <w:szCs w:val="21"/>
                <w:highlight w:val="none"/>
              </w:rPr>
              <w:t>表3-</w:t>
            </w:r>
            <w:r>
              <w:rPr>
                <w:rFonts w:hint="eastAsia"/>
                <w:b/>
                <w:bCs/>
                <w:color w:val="auto"/>
                <w:sz w:val="21"/>
                <w:szCs w:val="21"/>
                <w:highlight w:val="none"/>
                <w:lang w:val="en-US" w:eastAsia="zh-CN"/>
              </w:rPr>
              <w:t>9</w:t>
            </w:r>
            <w:r>
              <w:rPr>
                <w:rFonts w:hint="eastAsia"/>
                <w:b/>
                <w:bCs/>
                <w:color w:val="auto"/>
                <w:sz w:val="21"/>
                <w:szCs w:val="21"/>
                <w:highlight w:val="none"/>
              </w:rPr>
              <w:t xml:space="preserve"> </w:t>
            </w:r>
            <w:r>
              <w:rPr>
                <w:b/>
                <w:bCs/>
                <w:color w:val="auto"/>
                <w:sz w:val="21"/>
                <w:szCs w:val="21"/>
                <w:highlight w:val="none"/>
              </w:rPr>
              <w:t>园区污水处理厂水污染物排放限值（摘录）</w:t>
            </w:r>
            <w:r>
              <w:rPr>
                <w:rFonts w:hint="eastAsia"/>
                <w:b/>
                <w:bCs/>
                <w:color w:val="auto"/>
                <w:sz w:val="21"/>
                <w:szCs w:val="21"/>
                <w:highlight w:val="none"/>
              </w:rPr>
              <w:t xml:space="preserve"> 单位：</w:t>
            </w:r>
            <w:r>
              <w:rPr>
                <w:b/>
                <w:bCs/>
                <w:color w:val="auto"/>
                <w:sz w:val="21"/>
                <w:szCs w:val="21"/>
                <w:highlight w:val="none"/>
              </w:rPr>
              <w:t>mg/L，pH为无量纲</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3"/>
              <w:gridCol w:w="842"/>
              <w:gridCol w:w="785"/>
              <w:gridCol w:w="586"/>
              <w:gridCol w:w="931"/>
              <w:gridCol w:w="1757"/>
              <w:gridCol w:w="1180"/>
            </w:tblGrid>
            <w:tr w14:paraId="51F1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700" w:type="pct"/>
                  <w:tcBorders>
                    <w:bottom w:val="single" w:color="auto" w:sz="4" w:space="0"/>
                    <w:tl2br w:val="nil"/>
                    <w:tr2bl w:val="nil"/>
                  </w:tcBorders>
                  <w:noWrap/>
                  <w:tcMar>
                    <w:left w:w="0" w:type="dxa"/>
                    <w:right w:w="0" w:type="dxa"/>
                  </w:tcMar>
                  <w:vAlign w:val="center"/>
                </w:tcPr>
                <w:p w14:paraId="07A92E0B">
                  <w:pPr>
                    <w:spacing w:line="276" w:lineRule="auto"/>
                    <w:jc w:val="center"/>
                    <w:rPr>
                      <w:b/>
                      <w:bCs/>
                      <w:color w:val="auto"/>
                      <w:sz w:val="21"/>
                      <w:szCs w:val="21"/>
                      <w:highlight w:val="none"/>
                    </w:rPr>
                  </w:pPr>
                  <w:r>
                    <w:rPr>
                      <w:b/>
                      <w:bCs/>
                      <w:color w:val="auto"/>
                      <w:sz w:val="21"/>
                      <w:szCs w:val="21"/>
                      <w:highlight w:val="none"/>
                    </w:rPr>
                    <w:t>污染物</w:t>
                  </w:r>
                </w:p>
              </w:tc>
              <w:tc>
                <w:tcPr>
                  <w:tcW w:w="457" w:type="pct"/>
                  <w:tcBorders>
                    <w:bottom w:val="single" w:color="auto" w:sz="4" w:space="0"/>
                    <w:tl2br w:val="nil"/>
                    <w:tr2bl w:val="nil"/>
                  </w:tcBorders>
                  <w:noWrap/>
                  <w:tcMar>
                    <w:left w:w="0" w:type="dxa"/>
                    <w:right w:w="0" w:type="dxa"/>
                  </w:tcMar>
                  <w:vAlign w:val="center"/>
                </w:tcPr>
                <w:p w14:paraId="7CFB854C">
                  <w:pPr>
                    <w:spacing w:line="276" w:lineRule="auto"/>
                    <w:jc w:val="center"/>
                    <w:rPr>
                      <w:b/>
                      <w:bCs/>
                      <w:color w:val="auto"/>
                      <w:sz w:val="21"/>
                      <w:szCs w:val="21"/>
                      <w:highlight w:val="none"/>
                      <w:vertAlign w:val="subscript"/>
                    </w:rPr>
                  </w:pPr>
                  <w:r>
                    <w:rPr>
                      <w:b/>
                      <w:bCs/>
                      <w:color w:val="auto"/>
                      <w:sz w:val="21"/>
                      <w:szCs w:val="21"/>
                      <w:highlight w:val="none"/>
                    </w:rPr>
                    <w:t>COD</w:t>
                  </w:r>
                  <w:r>
                    <w:rPr>
                      <w:b/>
                      <w:bCs/>
                      <w:color w:val="auto"/>
                      <w:sz w:val="21"/>
                      <w:szCs w:val="21"/>
                      <w:highlight w:val="none"/>
                      <w:vertAlign w:val="subscript"/>
                    </w:rPr>
                    <w:t>Cr</w:t>
                  </w:r>
                </w:p>
              </w:tc>
              <w:tc>
                <w:tcPr>
                  <w:tcW w:w="426" w:type="pct"/>
                  <w:tcBorders>
                    <w:bottom w:val="single" w:color="auto" w:sz="4" w:space="0"/>
                    <w:tl2br w:val="nil"/>
                    <w:tr2bl w:val="nil"/>
                  </w:tcBorders>
                  <w:noWrap/>
                  <w:vAlign w:val="center"/>
                </w:tcPr>
                <w:p w14:paraId="413F1CC8">
                  <w:pPr>
                    <w:spacing w:line="276" w:lineRule="auto"/>
                    <w:jc w:val="center"/>
                    <w:rPr>
                      <w:b/>
                      <w:bCs/>
                      <w:color w:val="auto"/>
                      <w:sz w:val="21"/>
                      <w:szCs w:val="21"/>
                      <w:highlight w:val="none"/>
                      <w:vertAlign w:val="subscript"/>
                    </w:rPr>
                  </w:pPr>
                  <w:r>
                    <w:rPr>
                      <w:b/>
                      <w:bCs/>
                      <w:color w:val="auto"/>
                      <w:sz w:val="21"/>
                      <w:szCs w:val="21"/>
                      <w:highlight w:val="none"/>
                    </w:rPr>
                    <w:t>BOD</w:t>
                  </w:r>
                  <w:r>
                    <w:rPr>
                      <w:b/>
                      <w:bCs/>
                      <w:color w:val="auto"/>
                      <w:sz w:val="21"/>
                      <w:szCs w:val="21"/>
                      <w:highlight w:val="none"/>
                      <w:vertAlign w:val="subscript"/>
                    </w:rPr>
                    <w:t>5</w:t>
                  </w:r>
                </w:p>
              </w:tc>
              <w:tc>
                <w:tcPr>
                  <w:tcW w:w="318" w:type="pct"/>
                  <w:tcBorders>
                    <w:bottom w:val="single" w:color="auto" w:sz="4" w:space="0"/>
                    <w:tl2br w:val="nil"/>
                    <w:tr2bl w:val="nil"/>
                  </w:tcBorders>
                  <w:noWrap/>
                  <w:vAlign w:val="center"/>
                </w:tcPr>
                <w:p w14:paraId="6C82C255">
                  <w:pPr>
                    <w:spacing w:line="276" w:lineRule="auto"/>
                    <w:jc w:val="center"/>
                    <w:rPr>
                      <w:b/>
                      <w:bCs/>
                      <w:color w:val="auto"/>
                      <w:sz w:val="21"/>
                      <w:szCs w:val="21"/>
                      <w:highlight w:val="none"/>
                    </w:rPr>
                  </w:pPr>
                  <w:r>
                    <w:rPr>
                      <w:b/>
                      <w:bCs/>
                      <w:color w:val="auto"/>
                      <w:sz w:val="21"/>
                      <w:szCs w:val="21"/>
                      <w:highlight w:val="none"/>
                    </w:rPr>
                    <w:t>SS</w:t>
                  </w:r>
                </w:p>
              </w:tc>
              <w:tc>
                <w:tcPr>
                  <w:tcW w:w="505" w:type="pct"/>
                  <w:tcBorders>
                    <w:bottom w:val="single" w:color="auto" w:sz="4" w:space="0"/>
                    <w:tl2br w:val="nil"/>
                    <w:tr2bl w:val="nil"/>
                  </w:tcBorders>
                  <w:noWrap/>
                  <w:vAlign w:val="center"/>
                </w:tcPr>
                <w:p w14:paraId="6A8954DD">
                  <w:pPr>
                    <w:spacing w:line="276" w:lineRule="auto"/>
                    <w:jc w:val="center"/>
                    <w:rPr>
                      <w:b/>
                      <w:bCs/>
                      <w:color w:val="auto"/>
                      <w:sz w:val="21"/>
                      <w:szCs w:val="21"/>
                      <w:highlight w:val="none"/>
                    </w:rPr>
                  </w:pPr>
                  <w:r>
                    <w:rPr>
                      <w:b/>
                      <w:bCs/>
                      <w:color w:val="auto"/>
                      <w:sz w:val="21"/>
                      <w:szCs w:val="21"/>
                      <w:highlight w:val="none"/>
                    </w:rPr>
                    <w:t>氨氮</w:t>
                  </w:r>
                </w:p>
              </w:tc>
              <w:tc>
                <w:tcPr>
                  <w:tcW w:w="953" w:type="pct"/>
                  <w:tcBorders>
                    <w:bottom w:val="single" w:color="auto" w:sz="4" w:space="0"/>
                    <w:tl2br w:val="nil"/>
                    <w:tr2bl w:val="nil"/>
                  </w:tcBorders>
                  <w:noWrap/>
                  <w:vAlign w:val="center"/>
                </w:tcPr>
                <w:p w14:paraId="4AD60E59">
                  <w:pPr>
                    <w:spacing w:line="276" w:lineRule="auto"/>
                    <w:jc w:val="center"/>
                    <w:rPr>
                      <w:b/>
                      <w:bCs/>
                      <w:color w:val="auto"/>
                      <w:sz w:val="21"/>
                      <w:szCs w:val="21"/>
                      <w:highlight w:val="none"/>
                    </w:rPr>
                  </w:pPr>
                  <w:r>
                    <w:rPr>
                      <w:b/>
                      <w:bCs/>
                      <w:color w:val="auto"/>
                      <w:sz w:val="21"/>
                      <w:szCs w:val="21"/>
                      <w:highlight w:val="none"/>
                    </w:rPr>
                    <w:t>阴离子表面活性剂</w:t>
                  </w:r>
                </w:p>
              </w:tc>
              <w:tc>
                <w:tcPr>
                  <w:tcW w:w="639" w:type="pct"/>
                  <w:tcBorders>
                    <w:bottom w:val="single" w:color="auto" w:sz="4" w:space="0"/>
                    <w:tl2br w:val="nil"/>
                    <w:tr2bl w:val="nil"/>
                  </w:tcBorders>
                  <w:noWrap/>
                  <w:vAlign w:val="center"/>
                </w:tcPr>
                <w:p w14:paraId="479CE6CD">
                  <w:pPr>
                    <w:spacing w:line="276" w:lineRule="auto"/>
                    <w:jc w:val="center"/>
                    <w:rPr>
                      <w:b/>
                      <w:bCs/>
                      <w:color w:val="auto"/>
                      <w:sz w:val="21"/>
                      <w:szCs w:val="21"/>
                      <w:highlight w:val="none"/>
                    </w:rPr>
                  </w:pPr>
                  <w:r>
                    <w:rPr>
                      <w:b/>
                      <w:bCs/>
                      <w:color w:val="auto"/>
                      <w:sz w:val="21"/>
                      <w:szCs w:val="21"/>
                      <w:highlight w:val="none"/>
                    </w:rPr>
                    <w:t>动植物油</w:t>
                  </w:r>
                </w:p>
              </w:tc>
            </w:tr>
            <w:tr w14:paraId="4DE0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EF16046">
                  <w:pPr>
                    <w:spacing w:line="276" w:lineRule="auto"/>
                    <w:jc w:val="center"/>
                    <w:rPr>
                      <w:color w:val="auto"/>
                      <w:sz w:val="21"/>
                      <w:szCs w:val="21"/>
                      <w:highlight w:val="none"/>
                    </w:rPr>
                  </w:pPr>
                  <w:r>
                    <w:rPr>
                      <w:color w:val="auto"/>
                      <w:sz w:val="21"/>
                      <w:szCs w:val="21"/>
                      <w:highlight w:val="none"/>
                    </w:rPr>
                    <w:t>DB44/26-2001第二时段一级排放标准</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03DA358">
                  <w:pPr>
                    <w:spacing w:line="276" w:lineRule="auto"/>
                    <w:jc w:val="center"/>
                    <w:rPr>
                      <w:color w:val="auto"/>
                      <w:sz w:val="21"/>
                      <w:szCs w:val="21"/>
                      <w:highlight w:val="none"/>
                    </w:rPr>
                  </w:pPr>
                  <w:r>
                    <w:rPr>
                      <w:color w:val="auto"/>
                      <w:sz w:val="21"/>
                      <w:szCs w:val="21"/>
                      <w:highlight w:val="none"/>
                    </w:rPr>
                    <w:t>40</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42BE5CD3">
                  <w:pPr>
                    <w:spacing w:line="276" w:lineRule="auto"/>
                    <w:jc w:val="center"/>
                    <w:rPr>
                      <w:color w:val="auto"/>
                      <w:sz w:val="21"/>
                      <w:szCs w:val="21"/>
                      <w:highlight w:val="none"/>
                    </w:rPr>
                  </w:pPr>
                  <w:r>
                    <w:rPr>
                      <w:color w:val="auto"/>
                      <w:sz w:val="21"/>
                      <w:szCs w:val="21"/>
                      <w:highlight w:val="none"/>
                    </w:rPr>
                    <w:t>20</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44EEA12F">
                  <w:pPr>
                    <w:spacing w:line="276" w:lineRule="auto"/>
                    <w:jc w:val="center"/>
                    <w:rPr>
                      <w:color w:val="auto"/>
                      <w:sz w:val="21"/>
                      <w:szCs w:val="21"/>
                      <w:highlight w:val="none"/>
                    </w:rPr>
                  </w:pPr>
                  <w:r>
                    <w:rPr>
                      <w:color w:val="auto"/>
                      <w:sz w:val="21"/>
                      <w:szCs w:val="21"/>
                      <w:highlight w:val="none"/>
                    </w:rPr>
                    <w:t>20</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711CFA74">
                  <w:pPr>
                    <w:spacing w:line="276" w:lineRule="auto"/>
                    <w:jc w:val="center"/>
                    <w:rPr>
                      <w:color w:val="auto"/>
                      <w:sz w:val="21"/>
                      <w:szCs w:val="21"/>
                      <w:highlight w:val="none"/>
                    </w:rPr>
                  </w:pPr>
                  <w:r>
                    <w:rPr>
                      <w:color w:val="auto"/>
                      <w:sz w:val="21"/>
                      <w:szCs w:val="21"/>
                      <w:highlight w:val="none"/>
                    </w:rPr>
                    <w:t>10</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542D69D2">
                  <w:pPr>
                    <w:spacing w:line="276" w:lineRule="auto"/>
                    <w:jc w:val="center"/>
                    <w:rPr>
                      <w:color w:val="auto"/>
                      <w:sz w:val="21"/>
                      <w:szCs w:val="21"/>
                      <w:highlight w:val="none"/>
                    </w:rPr>
                  </w:pPr>
                  <w:r>
                    <w:rPr>
                      <w:color w:val="auto"/>
                      <w:sz w:val="21"/>
                      <w:szCs w:val="21"/>
                      <w:highlight w:val="none"/>
                    </w:rPr>
                    <w:t>5.0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0C0E9D31">
                  <w:pPr>
                    <w:spacing w:line="276" w:lineRule="auto"/>
                    <w:jc w:val="center"/>
                    <w:rPr>
                      <w:color w:val="auto"/>
                      <w:sz w:val="21"/>
                      <w:szCs w:val="21"/>
                      <w:highlight w:val="none"/>
                    </w:rPr>
                  </w:pPr>
                  <w:r>
                    <w:rPr>
                      <w:color w:val="auto"/>
                      <w:sz w:val="21"/>
                      <w:szCs w:val="21"/>
                      <w:highlight w:val="none"/>
                    </w:rPr>
                    <w:t>10</w:t>
                  </w:r>
                </w:p>
              </w:tc>
            </w:tr>
            <w:tr w14:paraId="52B4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3E086DA">
                  <w:pPr>
                    <w:spacing w:line="276" w:lineRule="auto"/>
                    <w:jc w:val="center"/>
                    <w:rPr>
                      <w:color w:val="auto"/>
                      <w:sz w:val="21"/>
                      <w:szCs w:val="21"/>
                      <w:highlight w:val="none"/>
                    </w:rPr>
                  </w:pPr>
                  <w:r>
                    <w:rPr>
                      <w:color w:val="auto"/>
                      <w:sz w:val="21"/>
                      <w:szCs w:val="21"/>
                      <w:highlight w:val="none"/>
                    </w:rPr>
                    <w:t>GB18918-2002一级B标准</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73BD057">
                  <w:pPr>
                    <w:spacing w:line="276" w:lineRule="auto"/>
                    <w:jc w:val="center"/>
                    <w:rPr>
                      <w:color w:val="auto"/>
                      <w:sz w:val="21"/>
                      <w:szCs w:val="21"/>
                      <w:highlight w:val="none"/>
                    </w:rPr>
                  </w:pPr>
                  <w:r>
                    <w:rPr>
                      <w:color w:val="auto"/>
                      <w:sz w:val="21"/>
                      <w:szCs w:val="21"/>
                      <w:highlight w:val="none"/>
                    </w:rPr>
                    <w:t>60</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1273A24E">
                  <w:pPr>
                    <w:spacing w:line="276" w:lineRule="auto"/>
                    <w:jc w:val="center"/>
                    <w:rPr>
                      <w:color w:val="auto"/>
                      <w:sz w:val="21"/>
                      <w:szCs w:val="21"/>
                      <w:highlight w:val="none"/>
                    </w:rPr>
                  </w:pPr>
                  <w:r>
                    <w:rPr>
                      <w:color w:val="auto"/>
                      <w:sz w:val="21"/>
                      <w:szCs w:val="21"/>
                      <w:highlight w:val="none"/>
                    </w:rPr>
                    <w:t>20</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6E30A888">
                  <w:pPr>
                    <w:spacing w:line="276" w:lineRule="auto"/>
                    <w:jc w:val="center"/>
                    <w:rPr>
                      <w:color w:val="auto"/>
                      <w:sz w:val="21"/>
                      <w:szCs w:val="21"/>
                      <w:highlight w:val="none"/>
                    </w:rPr>
                  </w:pPr>
                  <w:r>
                    <w:rPr>
                      <w:color w:val="auto"/>
                      <w:sz w:val="21"/>
                      <w:szCs w:val="21"/>
                      <w:highlight w:val="none"/>
                    </w:rPr>
                    <w:t>20</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23F18CCD">
                  <w:pPr>
                    <w:spacing w:line="276" w:lineRule="auto"/>
                    <w:jc w:val="center"/>
                    <w:rPr>
                      <w:color w:val="auto"/>
                      <w:sz w:val="21"/>
                      <w:szCs w:val="21"/>
                      <w:highlight w:val="none"/>
                    </w:rPr>
                  </w:pPr>
                  <w:r>
                    <w:rPr>
                      <w:color w:val="auto"/>
                      <w:sz w:val="21"/>
                      <w:szCs w:val="21"/>
                      <w:highlight w:val="none"/>
                    </w:rPr>
                    <w:t>8(15①)</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4BF92D13">
                  <w:pPr>
                    <w:spacing w:line="276" w:lineRule="auto"/>
                    <w:jc w:val="center"/>
                    <w:rPr>
                      <w:color w:val="auto"/>
                      <w:sz w:val="21"/>
                      <w:szCs w:val="21"/>
                      <w:highlight w:val="none"/>
                    </w:rPr>
                  </w:pPr>
                  <w:r>
                    <w:rPr>
                      <w:color w:val="auto"/>
                      <w:sz w:val="21"/>
                      <w:szCs w:val="21"/>
                      <w:highlight w:val="none"/>
                    </w:rPr>
                    <w:t>1.0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6E745B66">
                  <w:pPr>
                    <w:spacing w:line="276" w:lineRule="auto"/>
                    <w:jc w:val="center"/>
                    <w:rPr>
                      <w:color w:val="auto"/>
                      <w:sz w:val="21"/>
                      <w:szCs w:val="21"/>
                      <w:highlight w:val="none"/>
                    </w:rPr>
                  </w:pPr>
                  <w:r>
                    <w:rPr>
                      <w:color w:val="auto"/>
                      <w:sz w:val="21"/>
                      <w:szCs w:val="21"/>
                      <w:highlight w:val="none"/>
                    </w:rPr>
                    <w:t>3.0</w:t>
                  </w:r>
                </w:p>
              </w:tc>
            </w:tr>
            <w:tr w14:paraId="0F90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801A64E">
                  <w:pPr>
                    <w:spacing w:line="276" w:lineRule="auto"/>
                    <w:jc w:val="center"/>
                    <w:rPr>
                      <w:color w:val="auto"/>
                      <w:sz w:val="21"/>
                      <w:szCs w:val="21"/>
                      <w:highlight w:val="none"/>
                    </w:rPr>
                  </w:pPr>
                  <w:r>
                    <w:rPr>
                      <w:color w:val="auto"/>
                      <w:sz w:val="21"/>
                      <w:szCs w:val="21"/>
                      <w:highlight w:val="none"/>
                    </w:rPr>
                    <w:t>执行限值</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7ABD6E1">
                  <w:pPr>
                    <w:spacing w:line="276" w:lineRule="auto"/>
                    <w:jc w:val="center"/>
                    <w:rPr>
                      <w:color w:val="auto"/>
                      <w:sz w:val="21"/>
                      <w:szCs w:val="21"/>
                      <w:highlight w:val="none"/>
                    </w:rPr>
                  </w:pPr>
                  <w:r>
                    <w:rPr>
                      <w:color w:val="auto"/>
                      <w:sz w:val="21"/>
                      <w:szCs w:val="21"/>
                      <w:highlight w:val="none"/>
                    </w:rPr>
                    <w:t>40</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0AA12AA7">
                  <w:pPr>
                    <w:spacing w:line="276" w:lineRule="auto"/>
                    <w:jc w:val="center"/>
                    <w:rPr>
                      <w:color w:val="auto"/>
                      <w:sz w:val="21"/>
                      <w:szCs w:val="21"/>
                      <w:highlight w:val="none"/>
                    </w:rPr>
                  </w:pPr>
                  <w:r>
                    <w:rPr>
                      <w:color w:val="auto"/>
                      <w:sz w:val="21"/>
                      <w:szCs w:val="21"/>
                      <w:highlight w:val="none"/>
                    </w:rPr>
                    <w:t>20</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6C91877E">
                  <w:pPr>
                    <w:spacing w:line="276" w:lineRule="auto"/>
                    <w:jc w:val="center"/>
                    <w:rPr>
                      <w:color w:val="auto"/>
                      <w:sz w:val="21"/>
                      <w:szCs w:val="21"/>
                      <w:highlight w:val="none"/>
                    </w:rPr>
                  </w:pPr>
                  <w:r>
                    <w:rPr>
                      <w:color w:val="auto"/>
                      <w:sz w:val="21"/>
                      <w:szCs w:val="21"/>
                      <w:highlight w:val="none"/>
                    </w:rPr>
                    <w:t>20</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646E198A">
                  <w:pPr>
                    <w:spacing w:line="276" w:lineRule="auto"/>
                    <w:jc w:val="center"/>
                    <w:rPr>
                      <w:color w:val="auto"/>
                      <w:sz w:val="21"/>
                      <w:szCs w:val="21"/>
                      <w:highlight w:val="none"/>
                    </w:rPr>
                  </w:pPr>
                  <w:r>
                    <w:rPr>
                      <w:color w:val="auto"/>
                      <w:sz w:val="21"/>
                      <w:szCs w:val="21"/>
                      <w:highlight w:val="none"/>
                    </w:rPr>
                    <w:t>8</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7E18FB48">
                  <w:pPr>
                    <w:spacing w:line="276" w:lineRule="auto"/>
                    <w:jc w:val="center"/>
                    <w:rPr>
                      <w:color w:val="auto"/>
                      <w:sz w:val="21"/>
                      <w:szCs w:val="21"/>
                      <w:highlight w:val="none"/>
                    </w:rPr>
                  </w:pPr>
                  <w:r>
                    <w:rPr>
                      <w:color w:val="auto"/>
                      <w:sz w:val="21"/>
                      <w:szCs w:val="21"/>
                      <w:highlight w:val="none"/>
                    </w:rPr>
                    <w:t>1.0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73070135">
                  <w:pPr>
                    <w:spacing w:line="276" w:lineRule="auto"/>
                    <w:jc w:val="center"/>
                    <w:rPr>
                      <w:color w:val="auto"/>
                      <w:sz w:val="21"/>
                      <w:szCs w:val="21"/>
                      <w:highlight w:val="none"/>
                    </w:rPr>
                  </w:pPr>
                  <w:r>
                    <w:rPr>
                      <w:color w:val="auto"/>
                      <w:sz w:val="21"/>
                      <w:szCs w:val="21"/>
                      <w:highlight w:val="none"/>
                    </w:rPr>
                    <w:t>3.0</w:t>
                  </w:r>
                </w:p>
              </w:tc>
            </w:tr>
            <w:tr w14:paraId="7703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D65516E">
                  <w:pPr>
                    <w:spacing w:line="276" w:lineRule="auto"/>
                    <w:jc w:val="center"/>
                    <w:rPr>
                      <w:b/>
                      <w:bCs/>
                      <w:color w:val="auto"/>
                      <w:sz w:val="21"/>
                      <w:szCs w:val="21"/>
                      <w:highlight w:val="none"/>
                    </w:rPr>
                  </w:pPr>
                  <w:r>
                    <w:rPr>
                      <w:b/>
                      <w:bCs/>
                      <w:color w:val="auto"/>
                      <w:sz w:val="21"/>
                      <w:szCs w:val="21"/>
                      <w:highlight w:val="none"/>
                    </w:rPr>
                    <w:t>污染物</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662B9BF">
                  <w:pPr>
                    <w:spacing w:line="276" w:lineRule="auto"/>
                    <w:jc w:val="center"/>
                    <w:rPr>
                      <w:b/>
                      <w:bCs/>
                      <w:color w:val="auto"/>
                      <w:sz w:val="21"/>
                      <w:szCs w:val="21"/>
                      <w:highlight w:val="none"/>
                    </w:rPr>
                  </w:pPr>
                  <w:r>
                    <w:rPr>
                      <w:b/>
                      <w:bCs/>
                      <w:color w:val="auto"/>
                      <w:sz w:val="21"/>
                      <w:szCs w:val="21"/>
                      <w:highlight w:val="none"/>
                    </w:rPr>
                    <w:t>总氮</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668BAB71">
                  <w:pPr>
                    <w:spacing w:line="276" w:lineRule="auto"/>
                    <w:jc w:val="center"/>
                    <w:rPr>
                      <w:b/>
                      <w:bCs/>
                      <w:color w:val="auto"/>
                      <w:sz w:val="21"/>
                      <w:szCs w:val="21"/>
                      <w:highlight w:val="none"/>
                    </w:rPr>
                  </w:pPr>
                  <w:r>
                    <w:rPr>
                      <w:b/>
                      <w:bCs/>
                      <w:color w:val="auto"/>
                      <w:sz w:val="21"/>
                      <w:szCs w:val="21"/>
                      <w:highlight w:val="none"/>
                    </w:rPr>
                    <w:t>总磷</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24B7AC17">
                  <w:pPr>
                    <w:spacing w:line="276" w:lineRule="auto"/>
                    <w:jc w:val="center"/>
                    <w:rPr>
                      <w:b/>
                      <w:bCs/>
                      <w:color w:val="auto"/>
                      <w:sz w:val="21"/>
                      <w:szCs w:val="21"/>
                      <w:highlight w:val="none"/>
                    </w:rPr>
                  </w:pPr>
                  <w:r>
                    <w:rPr>
                      <w:b/>
                      <w:bCs/>
                      <w:color w:val="auto"/>
                      <w:sz w:val="21"/>
                      <w:szCs w:val="21"/>
                      <w:highlight w:val="none"/>
                    </w:rPr>
                    <w:t>pH</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437489FD">
                  <w:pPr>
                    <w:spacing w:line="276" w:lineRule="auto"/>
                    <w:jc w:val="center"/>
                    <w:rPr>
                      <w:b/>
                      <w:bCs/>
                      <w:color w:val="auto"/>
                      <w:sz w:val="21"/>
                      <w:szCs w:val="21"/>
                      <w:highlight w:val="none"/>
                    </w:rPr>
                  </w:pPr>
                  <w:r>
                    <w:rPr>
                      <w:b/>
                      <w:bCs/>
                      <w:color w:val="auto"/>
                      <w:sz w:val="21"/>
                      <w:szCs w:val="21"/>
                      <w:highlight w:val="none"/>
                    </w:rPr>
                    <w:t>石油类</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6C26380B">
                  <w:pPr>
                    <w:spacing w:line="276" w:lineRule="auto"/>
                    <w:jc w:val="center"/>
                    <w:rPr>
                      <w:b/>
                      <w:bCs/>
                      <w:color w:val="auto"/>
                      <w:sz w:val="21"/>
                      <w:szCs w:val="21"/>
                      <w:highlight w:val="none"/>
                    </w:rPr>
                  </w:pPr>
                  <w:r>
                    <w:rPr>
                      <w:b/>
                      <w:bCs/>
                      <w:color w:val="auto"/>
                      <w:sz w:val="21"/>
                      <w:szCs w:val="21"/>
                      <w:highlight w:val="none"/>
                    </w:rPr>
                    <w:t>色度（稀释倍数）</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6BD87673">
                  <w:pPr>
                    <w:spacing w:line="276" w:lineRule="auto"/>
                    <w:jc w:val="center"/>
                    <w:rPr>
                      <w:b/>
                      <w:bCs/>
                      <w:color w:val="auto"/>
                      <w:sz w:val="21"/>
                      <w:szCs w:val="21"/>
                      <w:highlight w:val="none"/>
                    </w:rPr>
                  </w:pPr>
                  <w:r>
                    <w:rPr>
                      <w:b/>
                      <w:bCs/>
                      <w:color w:val="auto"/>
                      <w:sz w:val="21"/>
                      <w:szCs w:val="21"/>
                      <w:highlight w:val="none"/>
                    </w:rPr>
                    <w:t>粪大肠菌群</w:t>
                  </w:r>
                </w:p>
              </w:tc>
            </w:tr>
            <w:tr w14:paraId="2D77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D4FD048">
                  <w:pPr>
                    <w:spacing w:line="276" w:lineRule="auto"/>
                    <w:jc w:val="center"/>
                    <w:rPr>
                      <w:color w:val="auto"/>
                      <w:sz w:val="21"/>
                      <w:szCs w:val="21"/>
                      <w:highlight w:val="none"/>
                    </w:rPr>
                  </w:pPr>
                  <w:r>
                    <w:rPr>
                      <w:color w:val="auto"/>
                      <w:sz w:val="21"/>
                      <w:szCs w:val="21"/>
                      <w:highlight w:val="none"/>
                    </w:rPr>
                    <w:t>DB44/26-2001第二时段一级排放标准</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541568C">
                  <w:pPr>
                    <w:spacing w:line="276" w:lineRule="auto"/>
                    <w:jc w:val="center"/>
                    <w:rPr>
                      <w:color w:val="auto"/>
                      <w:sz w:val="21"/>
                      <w:szCs w:val="21"/>
                      <w:highlight w:val="none"/>
                    </w:rPr>
                  </w:pPr>
                  <w:r>
                    <w:rPr>
                      <w:color w:val="auto"/>
                      <w:sz w:val="21"/>
                      <w:szCs w:val="21"/>
                      <w:highlight w:val="none"/>
                    </w:rPr>
                    <w:t>/</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75CBDB04">
                  <w:pPr>
                    <w:spacing w:line="276" w:lineRule="auto"/>
                    <w:jc w:val="center"/>
                    <w:rPr>
                      <w:color w:val="auto"/>
                      <w:sz w:val="21"/>
                      <w:szCs w:val="21"/>
                      <w:highlight w:val="none"/>
                    </w:rPr>
                  </w:pPr>
                  <w:r>
                    <w:rPr>
                      <w:color w:val="auto"/>
                      <w:sz w:val="21"/>
                      <w:szCs w:val="21"/>
                      <w:highlight w:val="none"/>
                    </w:rPr>
                    <w:t>0.5</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734D56DD">
                  <w:pPr>
                    <w:spacing w:line="276" w:lineRule="auto"/>
                    <w:jc w:val="center"/>
                    <w:rPr>
                      <w:color w:val="auto"/>
                      <w:sz w:val="21"/>
                      <w:szCs w:val="21"/>
                      <w:highlight w:val="none"/>
                    </w:rPr>
                  </w:pPr>
                  <w:r>
                    <w:rPr>
                      <w:color w:val="auto"/>
                      <w:sz w:val="21"/>
                      <w:szCs w:val="21"/>
                      <w:highlight w:val="none"/>
                    </w:rPr>
                    <w:t>6~9</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646EA7E8">
                  <w:pPr>
                    <w:spacing w:line="276" w:lineRule="auto"/>
                    <w:jc w:val="center"/>
                    <w:rPr>
                      <w:color w:val="auto"/>
                      <w:sz w:val="21"/>
                      <w:szCs w:val="21"/>
                      <w:highlight w:val="none"/>
                    </w:rPr>
                  </w:pPr>
                  <w:r>
                    <w:rPr>
                      <w:color w:val="auto"/>
                      <w:sz w:val="21"/>
                      <w:szCs w:val="21"/>
                      <w:highlight w:val="none"/>
                    </w:rPr>
                    <w:t>5.0</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5FE9F6AD">
                  <w:pPr>
                    <w:spacing w:line="276" w:lineRule="auto"/>
                    <w:jc w:val="center"/>
                    <w:rPr>
                      <w:color w:val="auto"/>
                      <w:sz w:val="21"/>
                      <w:szCs w:val="21"/>
                      <w:highlight w:val="none"/>
                    </w:rPr>
                  </w:pPr>
                  <w:r>
                    <w:rPr>
                      <w:color w:val="auto"/>
                      <w:sz w:val="21"/>
                      <w:szCs w:val="21"/>
                      <w:highlight w:val="none"/>
                    </w:rPr>
                    <w:t>40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58DDFA8C">
                  <w:pPr>
                    <w:spacing w:line="276" w:lineRule="auto"/>
                    <w:jc w:val="center"/>
                    <w:rPr>
                      <w:color w:val="auto"/>
                      <w:sz w:val="21"/>
                      <w:szCs w:val="21"/>
                      <w:highlight w:val="none"/>
                    </w:rPr>
                  </w:pPr>
                  <w:r>
                    <w:rPr>
                      <w:color w:val="auto"/>
                      <w:sz w:val="21"/>
                      <w:szCs w:val="21"/>
                      <w:highlight w:val="none"/>
                    </w:rPr>
                    <w:t>/</w:t>
                  </w:r>
                </w:p>
              </w:tc>
            </w:tr>
            <w:tr w14:paraId="6334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26F0CC1">
                  <w:pPr>
                    <w:spacing w:line="276" w:lineRule="auto"/>
                    <w:jc w:val="center"/>
                    <w:rPr>
                      <w:color w:val="auto"/>
                      <w:sz w:val="21"/>
                      <w:szCs w:val="21"/>
                      <w:highlight w:val="none"/>
                    </w:rPr>
                  </w:pPr>
                  <w:r>
                    <w:rPr>
                      <w:color w:val="auto"/>
                      <w:sz w:val="21"/>
                      <w:szCs w:val="21"/>
                      <w:highlight w:val="none"/>
                    </w:rPr>
                    <w:t>GB18918-2002一级B标准</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2537F5C">
                  <w:pPr>
                    <w:spacing w:line="276" w:lineRule="auto"/>
                    <w:jc w:val="center"/>
                    <w:rPr>
                      <w:color w:val="auto"/>
                      <w:sz w:val="21"/>
                      <w:szCs w:val="21"/>
                      <w:highlight w:val="none"/>
                    </w:rPr>
                  </w:pPr>
                  <w:r>
                    <w:rPr>
                      <w:color w:val="auto"/>
                      <w:sz w:val="21"/>
                      <w:szCs w:val="21"/>
                      <w:highlight w:val="none"/>
                    </w:rPr>
                    <w:t>20</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44916BCA">
                  <w:pPr>
                    <w:spacing w:line="276" w:lineRule="auto"/>
                    <w:jc w:val="center"/>
                    <w:rPr>
                      <w:color w:val="auto"/>
                      <w:sz w:val="21"/>
                      <w:szCs w:val="21"/>
                      <w:highlight w:val="none"/>
                    </w:rPr>
                  </w:pPr>
                  <w:r>
                    <w:rPr>
                      <w:color w:val="auto"/>
                      <w:sz w:val="21"/>
                      <w:szCs w:val="21"/>
                      <w:highlight w:val="none"/>
                    </w:rPr>
                    <w:t>1.0</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67A5595D">
                  <w:pPr>
                    <w:spacing w:line="276" w:lineRule="auto"/>
                    <w:jc w:val="center"/>
                    <w:rPr>
                      <w:color w:val="auto"/>
                      <w:sz w:val="21"/>
                      <w:szCs w:val="21"/>
                      <w:highlight w:val="none"/>
                    </w:rPr>
                  </w:pPr>
                  <w:r>
                    <w:rPr>
                      <w:color w:val="auto"/>
                      <w:sz w:val="21"/>
                      <w:szCs w:val="21"/>
                      <w:highlight w:val="none"/>
                    </w:rPr>
                    <w:t>6~9</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4402CDDF">
                  <w:pPr>
                    <w:spacing w:line="276" w:lineRule="auto"/>
                    <w:jc w:val="center"/>
                    <w:rPr>
                      <w:color w:val="auto"/>
                      <w:sz w:val="21"/>
                      <w:szCs w:val="21"/>
                      <w:highlight w:val="none"/>
                    </w:rPr>
                  </w:pPr>
                  <w:r>
                    <w:rPr>
                      <w:color w:val="auto"/>
                      <w:sz w:val="21"/>
                      <w:szCs w:val="21"/>
                      <w:highlight w:val="none"/>
                    </w:rPr>
                    <w:t>3.0</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5659F318">
                  <w:pPr>
                    <w:spacing w:line="276" w:lineRule="auto"/>
                    <w:jc w:val="center"/>
                    <w:rPr>
                      <w:color w:val="auto"/>
                      <w:sz w:val="21"/>
                      <w:szCs w:val="21"/>
                      <w:highlight w:val="none"/>
                    </w:rPr>
                  </w:pPr>
                  <w:r>
                    <w:rPr>
                      <w:color w:val="auto"/>
                      <w:sz w:val="21"/>
                      <w:szCs w:val="21"/>
                      <w:highlight w:val="none"/>
                    </w:rPr>
                    <w:t>30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0E76B97B">
                  <w:pPr>
                    <w:spacing w:line="276" w:lineRule="auto"/>
                    <w:jc w:val="center"/>
                    <w:rPr>
                      <w:color w:val="auto"/>
                      <w:sz w:val="21"/>
                      <w:szCs w:val="21"/>
                      <w:highlight w:val="none"/>
                    </w:rPr>
                  </w:pPr>
                  <w:r>
                    <w:rPr>
                      <w:color w:val="auto"/>
                      <w:sz w:val="21"/>
                      <w:szCs w:val="21"/>
                      <w:highlight w:val="none"/>
                    </w:rPr>
                    <w:t>10000个/L</w:t>
                  </w:r>
                </w:p>
              </w:tc>
            </w:tr>
            <w:tr w14:paraId="5085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2A93287">
                  <w:pPr>
                    <w:spacing w:line="276" w:lineRule="auto"/>
                    <w:jc w:val="center"/>
                    <w:rPr>
                      <w:color w:val="auto"/>
                      <w:sz w:val="21"/>
                      <w:szCs w:val="21"/>
                      <w:highlight w:val="none"/>
                    </w:rPr>
                  </w:pPr>
                  <w:r>
                    <w:rPr>
                      <w:color w:val="auto"/>
                      <w:sz w:val="21"/>
                      <w:szCs w:val="21"/>
                      <w:highlight w:val="none"/>
                    </w:rPr>
                    <w:t>执行限值</w:t>
                  </w:r>
                </w:p>
              </w:tc>
              <w:tc>
                <w:tcPr>
                  <w:tcW w:w="457"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C800A04">
                  <w:pPr>
                    <w:spacing w:line="276" w:lineRule="auto"/>
                    <w:jc w:val="center"/>
                    <w:rPr>
                      <w:color w:val="auto"/>
                      <w:sz w:val="21"/>
                      <w:szCs w:val="21"/>
                      <w:highlight w:val="none"/>
                    </w:rPr>
                  </w:pPr>
                  <w:r>
                    <w:rPr>
                      <w:color w:val="auto"/>
                      <w:sz w:val="21"/>
                      <w:szCs w:val="21"/>
                      <w:highlight w:val="none"/>
                    </w:rPr>
                    <w:t>20</w:t>
                  </w:r>
                </w:p>
              </w:tc>
              <w:tc>
                <w:tcPr>
                  <w:tcW w:w="426" w:type="pct"/>
                  <w:tcBorders>
                    <w:top w:val="single" w:color="auto" w:sz="4" w:space="0"/>
                    <w:left w:val="single" w:color="auto" w:sz="4" w:space="0"/>
                    <w:bottom w:val="single" w:color="auto" w:sz="4" w:space="0"/>
                    <w:right w:val="single" w:color="auto" w:sz="4" w:space="0"/>
                    <w:tl2br w:val="nil"/>
                    <w:tr2bl w:val="nil"/>
                  </w:tcBorders>
                  <w:noWrap/>
                  <w:vAlign w:val="center"/>
                </w:tcPr>
                <w:p w14:paraId="3BEACCC6">
                  <w:pPr>
                    <w:spacing w:line="276" w:lineRule="auto"/>
                    <w:jc w:val="center"/>
                    <w:rPr>
                      <w:color w:val="auto"/>
                      <w:sz w:val="21"/>
                      <w:szCs w:val="21"/>
                      <w:highlight w:val="none"/>
                    </w:rPr>
                  </w:pPr>
                  <w:r>
                    <w:rPr>
                      <w:color w:val="auto"/>
                      <w:sz w:val="21"/>
                      <w:szCs w:val="21"/>
                      <w:highlight w:val="none"/>
                    </w:rPr>
                    <w:t>0.5</w:t>
                  </w:r>
                </w:p>
              </w:tc>
              <w:tc>
                <w:tcPr>
                  <w:tcW w:w="318" w:type="pct"/>
                  <w:tcBorders>
                    <w:top w:val="single" w:color="auto" w:sz="4" w:space="0"/>
                    <w:left w:val="single" w:color="auto" w:sz="4" w:space="0"/>
                    <w:bottom w:val="single" w:color="auto" w:sz="4" w:space="0"/>
                    <w:right w:val="single" w:color="auto" w:sz="4" w:space="0"/>
                    <w:tl2br w:val="nil"/>
                    <w:tr2bl w:val="nil"/>
                  </w:tcBorders>
                  <w:noWrap/>
                  <w:vAlign w:val="center"/>
                </w:tcPr>
                <w:p w14:paraId="037B20FA">
                  <w:pPr>
                    <w:spacing w:line="276" w:lineRule="auto"/>
                    <w:jc w:val="center"/>
                    <w:rPr>
                      <w:color w:val="auto"/>
                      <w:sz w:val="21"/>
                      <w:szCs w:val="21"/>
                      <w:highlight w:val="none"/>
                    </w:rPr>
                  </w:pPr>
                  <w:r>
                    <w:rPr>
                      <w:color w:val="auto"/>
                      <w:sz w:val="21"/>
                      <w:szCs w:val="21"/>
                      <w:highlight w:val="none"/>
                    </w:rPr>
                    <w:t>6~9</w:t>
                  </w:r>
                </w:p>
              </w:tc>
              <w:tc>
                <w:tcPr>
                  <w:tcW w:w="505" w:type="pct"/>
                  <w:tcBorders>
                    <w:top w:val="single" w:color="auto" w:sz="4" w:space="0"/>
                    <w:left w:val="single" w:color="auto" w:sz="4" w:space="0"/>
                    <w:bottom w:val="single" w:color="auto" w:sz="4" w:space="0"/>
                    <w:right w:val="single" w:color="auto" w:sz="4" w:space="0"/>
                    <w:tl2br w:val="nil"/>
                    <w:tr2bl w:val="nil"/>
                  </w:tcBorders>
                  <w:noWrap/>
                  <w:vAlign w:val="center"/>
                </w:tcPr>
                <w:p w14:paraId="7039FC03">
                  <w:pPr>
                    <w:spacing w:line="276" w:lineRule="auto"/>
                    <w:jc w:val="center"/>
                    <w:rPr>
                      <w:color w:val="auto"/>
                      <w:sz w:val="21"/>
                      <w:szCs w:val="21"/>
                      <w:highlight w:val="none"/>
                    </w:rPr>
                  </w:pPr>
                  <w:r>
                    <w:rPr>
                      <w:color w:val="auto"/>
                      <w:sz w:val="21"/>
                      <w:szCs w:val="21"/>
                      <w:highlight w:val="none"/>
                    </w:rPr>
                    <w:t>3.0</w:t>
                  </w:r>
                </w:p>
              </w:tc>
              <w:tc>
                <w:tcPr>
                  <w:tcW w:w="953" w:type="pct"/>
                  <w:tcBorders>
                    <w:top w:val="single" w:color="auto" w:sz="4" w:space="0"/>
                    <w:left w:val="single" w:color="auto" w:sz="4" w:space="0"/>
                    <w:bottom w:val="single" w:color="auto" w:sz="4" w:space="0"/>
                    <w:right w:val="single" w:color="auto" w:sz="4" w:space="0"/>
                    <w:tl2br w:val="nil"/>
                    <w:tr2bl w:val="nil"/>
                  </w:tcBorders>
                  <w:noWrap/>
                  <w:vAlign w:val="center"/>
                </w:tcPr>
                <w:p w14:paraId="40869B65">
                  <w:pPr>
                    <w:spacing w:line="276" w:lineRule="auto"/>
                    <w:jc w:val="center"/>
                    <w:rPr>
                      <w:color w:val="auto"/>
                      <w:sz w:val="21"/>
                      <w:szCs w:val="21"/>
                      <w:highlight w:val="none"/>
                    </w:rPr>
                  </w:pPr>
                  <w:r>
                    <w:rPr>
                      <w:color w:val="auto"/>
                      <w:sz w:val="21"/>
                      <w:szCs w:val="21"/>
                      <w:highlight w:val="none"/>
                    </w:rPr>
                    <w:t>30</w:t>
                  </w:r>
                </w:p>
              </w:tc>
              <w:tc>
                <w:tcPr>
                  <w:tcW w:w="639" w:type="pct"/>
                  <w:tcBorders>
                    <w:top w:val="single" w:color="auto" w:sz="4" w:space="0"/>
                    <w:left w:val="single" w:color="auto" w:sz="4" w:space="0"/>
                    <w:bottom w:val="single" w:color="auto" w:sz="4" w:space="0"/>
                    <w:right w:val="single" w:color="auto" w:sz="4" w:space="0"/>
                    <w:tl2br w:val="nil"/>
                    <w:tr2bl w:val="nil"/>
                  </w:tcBorders>
                  <w:noWrap/>
                  <w:vAlign w:val="center"/>
                </w:tcPr>
                <w:p w14:paraId="4A5660C3">
                  <w:pPr>
                    <w:spacing w:line="276" w:lineRule="auto"/>
                    <w:jc w:val="center"/>
                    <w:rPr>
                      <w:color w:val="auto"/>
                      <w:sz w:val="21"/>
                      <w:szCs w:val="21"/>
                      <w:highlight w:val="none"/>
                    </w:rPr>
                  </w:pPr>
                  <w:r>
                    <w:rPr>
                      <w:color w:val="auto"/>
                      <w:sz w:val="21"/>
                      <w:szCs w:val="21"/>
                      <w:highlight w:val="none"/>
                    </w:rPr>
                    <w:t>10000个/L</w:t>
                  </w:r>
                </w:p>
              </w:tc>
            </w:tr>
            <w:tr w14:paraId="519E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170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5E207B5">
                  <w:pPr>
                    <w:spacing w:line="276" w:lineRule="auto"/>
                    <w:jc w:val="center"/>
                    <w:rPr>
                      <w:color w:val="auto"/>
                      <w:sz w:val="21"/>
                      <w:szCs w:val="21"/>
                      <w:highlight w:val="none"/>
                    </w:rPr>
                  </w:pPr>
                  <w:r>
                    <w:rPr>
                      <w:color w:val="auto"/>
                      <w:sz w:val="21"/>
                      <w:szCs w:val="21"/>
                      <w:highlight w:val="none"/>
                    </w:rPr>
                    <w:t>备注</w:t>
                  </w:r>
                </w:p>
              </w:tc>
              <w:tc>
                <w:tcPr>
                  <w:tcW w:w="3299" w:type="pct"/>
                  <w:gridSpan w:val="6"/>
                  <w:tcBorders>
                    <w:top w:val="single" w:color="auto" w:sz="4" w:space="0"/>
                    <w:left w:val="single" w:color="auto" w:sz="4" w:space="0"/>
                    <w:bottom w:val="single" w:color="auto" w:sz="4" w:space="0"/>
                    <w:right w:val="single" w:color="auto" w:sz="4" w:space="0"/>
                    <w:tl2br w:val="nil"/>
                    <w:tr2bl w:val="nil"/>
                  </w:tcBorders>
                  <w:noWrap/>
                  <w:vAlign w:val="center"/>
                </w:tcPr>
                <w:p w14:paraId="6258A091">
                  <w:pPr>
                    <w:spacing w:line="276" w:lineRule="auto"/>
                    <w:jc w:val="center"/>
                    <w:rPr>
                      <w:color w:val="auto"/>
                      <w:sz w:val="21"/>
                      <w:szCs w:val="21"/>
                      <w:highlight w:val="none"/>
                    </w:rPr>
                  </w:pPr>
                  <w:r>
                    <w:rPr>
                      <w:color w:val="auto"/>
                      <w:sz w:val="21"/>
                      <w:szCs w:val="21"/>
                      <w:highlight w:val="none"/>
                      <w:lang w:eastAsia="ja-JP"/>
                    </w:rPr>
                    <w:t>①</w:t>
                  </w:r>
                  <w:r>
                    <w:rPr>
                      <w:color w:val="auto"/>
                      <w:sz w:val="21"/>
                      <w:szCs w:val="21"/>
                      <w:highlight w:val="none"/>
                    </w:rPr>
                    <w:t>括号内为水温&lt;12℃时的限值，括号外为水温在12℃以上的限值</w:t>
                  </w:r>
                </w:p>
              </w:tc>
            </w:tr>
          </w:tbl>
          <w:p w14:paraId="4FDC9FE4">
            <w:pPr>
              <w:pStyle w:val="10"/>
              <w:numPr>
                <w:ilvl w:val="2"/>
                <w:numId w:val="0"/>
              </w:numPr>
              <w:ind w:left="480"/>
              <w:rPr>
                <w:color w:val="auto"/>
                <w:highlight w:val="none"/>
              </w:rPr>
            </w:pPr>
            <w:r>
              <w:rPr>
                <w:color w:val="auto"/>
                <w:highlight w:val="none"/>
              </w:rPr>
              <w:t>三、噪声排放标准</w:t>
            </w:r>
          </w:p>
          <w:p w14:paraId="095F1545">
            <w:pPr>
              <w:wordWrap w:val="0"/>
              <w:ind w:firstLine="480" w:firstLineChars="200"/>
              <w:jc w:val="left"/>
              <w:rPr>
                <w:b/>
                <w:bCs/>
                <w:color w:val="auto"/>
                <w:highlight w:val="none"/>
              </w:rPr>
            </w:pPr>
            <w:r>
              <w:rPr>
                <w:b/>
                <w:bCs/>
                <w:color w:val="auto"/>
                <w:highlight w:val="none"/>
              </w:rPr>
              <w:t>运营期</w:t>
            </w:r>
          </w:p>
          <w:p w14:paraId="25E912BC">
            <w:pPr>
              <w:wordWrap w:val="0"/>
              <w:ind w:firstLine="480" w:firstLineChars="200"/>
              <w:jc w:val="left"/>
              <w:rPr>
                <w:color w:val="auto"/>
                <w:highlight w:val="none"/>
              </w:rPr>
            </w:pPr>
            <w:r>
              <w:rPr>
                <w:rFonts w:hint="eastAsia"/>
                <w:color w:val="auto"/>
                <w:highlight w:val="none"/>
                <w:lang w:val="en-US" w:eastAsia="zh-CN"/>
              </w:rPr>
              <w:t>根据《乐昌市中心城区声功能区划（2025年修订版）》，</w:t>
            </w:r>
            <w:r>
              <w:rPr>
                <w:color w:val="auto"/>
                <w:highlight w:val="none"/>
              </w:rPr>
              <w:t>本项目</w:t>
            </w:r>
            <w:r>
              <w:rPr>
                <w:rFonts w:hint="eastAsia"/>
                <w:color w:val="auto"/>
                <w:highlight w:val="none"/>
                <w:lang w:val="en-US" w:eastAsia="zh-CN"/>
              </w:rPr>
              <w:t>南、西厂界外为3类声功能区，</w:t>
            </w:r>
            <w:r>
              <w:rPr>
                <w:color w:val="auto"/>
                <w:highlight w:val="none"/>
              </w:rPr>
              <w:t>本项目</w:t>
            </w:r>
            <w:r>
              <w:rPr>
                <w:rFonts w:hint="eastAsia"/>
                <w:color w:val="auto"/>
                <w:highlight w:val="none"/>
                <w:lang w:val="en-US" w:eastAsia="zh-CN"/>
              </w:rPr>
              <w:t>东、北厂界外为4a类声功能区，</w:t>
            </w:r>
            <w:r>
              <w:rPr>
                <w:color w:val="auto"/>
                <w:highlight w:val="none"/>
              </w:rPr>
              <w:t>厂界噪声排放</w:t>
            </w:r>
            <w:r>
              <w:rPr>
                <w:rFonts w:hint="eastAsia"/>
                <w:color w:val="auto"/>
                <w:highlight w:val="none"/>
                <w:lang w:val="en-US" w:eastAsia="zh-CN"/>
              </w:rPr>
              <w:t>分别</w:t>
            </w:r>
            <w:r>
              <w:rPr>
                <w:color w:val="auto"/>
                <w:highlight w:val="none"/>
              </w:rPr>
              <w:t>执行《工业企业厂界环境噪声排放标准》（GB12348-2008）</w:t>
            </w:r>
            <w:r>
              <w:rPr>
                <w:rFonts w:hint="eastAsia"/>
                <w:color w:val="auto"/>
                <w:highlight w:val="none"/>
                <w:lang w:val="en-US" w:eastAsia="zh-CN"/>
              </w:rPr>
              <w:t>3类和4a</w:t>
            </w:r>
            <w:r>
              <w:rPr>
                <w:color w:val="auto"/>
                <w:highlight w:val="none"/>
              </w:rPr>
              <w:t>类标准。</w:t>
            </w:r>
          </w:p>
          <w:p w14:paraId="270A7E90">
            <w:pPr>
              <w:pStyle w:val="16"/>
              <w:tabs>
                <w:tab w:val="left" w:pos="0"/>
              </w:tabs>
              <w:wordWrap/>
              <w:spacing w:after="0"/>
              <w:ind w:firstLine="0" w:firstLineChars="0"/>
              <w:jc w:val="center"/>
              <w:rPr>
                <w:b/>
                <w:bCs/>
                <w:color w:val="auto"/>
                <w:highlight w:val="none"/>
              </w:rPr>
            </w:pPr>
            <w:r>
              <w:rPr>
                <w:b/>
                <w:bCs/>
                <w:color w:val="auto"/>
                <w:highlight w:val="none"/>
              </w:rPr>
              <w:t>表3-1</w:t>
            </w:r>
            <w:r>
              <w:rPr>
                <w:rFonts w:hint="eastAsia"/>
                <w:b/>
                <w:bCs/>
                <w:color w:val="auto"/>
                <w:highlight w:val="none"/>
                <w:lang w:val="en-US" w:eastAsia="zh-CN"/>
              </w:rPr>
              <w:t>0</w:t>
            </w:r>
            <w:r>
              <w:rPr>
                <w:rFonts w:hint="eastAsia"/>
                <w:b/>
                <w:bCs/>
                <w:color w:val="auto"/>
                <w:highlight w:val="none"/>
              </w:rPr>
              <w:t xml:space="preserve"> </w:t>
            </w:r>
            <w:r>
              <w:rPr>
                <w:b/>
                <w:bCs/>
                <w:color w:val="auto"/>
                <w:highlight w:val="none"/>
              </w:rPr>
              <w:t>环境噪声排放标准</w:t>
            </w:r>
          </w:p>
          <w:tbl>
            <w:tblPr>
              <w:tblStyle w:val="4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1"/>
              <w:gridCol w:w="1841"/>
              <w:gridCol w:w="1841"/>
              <w:gridCol w:w="1843"/>
              <w:gridCol w:w="1844"/>
            </w:tblGrid>
            <w:tr w14:paraId="5D4D2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99" w:type="pct"/>
                  <w:noWrap/>
                  <w:vAlign w:val="center"/>
                </w:tcPr>
                <w:p w14:paraId="085F99C4">
                  <w:pPr>
                    <w:pStyle w:val="64"/>
                    <w:spacing w:line="276" w:lineRule="auto"/>
                    <w:rPr>
                      <w:b/>
                      <w:bCs/>
                      <w:color w:val="auto"/>
                      <w:kern w:val="2"/>
                      <w:highlight w:val="none"/>
                    </w:rPr>
                  </w:pPr>
                  <w:r>
                    <w:rPr>
                      <w:b/>
                      <w:bCs/>
                      <w:color w:val="auto"/>
                      <w:kern w:val="2"/>
                      <w:highlight w:val="none"/>
                    </w:rPr>
                    <w:t>污染物</w:t>
                  </w:r>
                </w:p>
              </w:tc>
              <w:tc>
                <w:tcPr>
                  <w:tcW w:w="999" w:type="pct"/>
                  <w:tcBorders>
                    <w:right w:val="single" w:color="auto" w:sz="4" w:space="0"/>
                  </w:tcBorders>
                  <w:noWrap/>
                  <w:vAlign w:val="center"/>
                </w:tcPr>
                <w:p w14:paraId="563D60ED">
                  <w:pPr>
                    <w:pStyle w:val="64"/>
                    <w:spacing w:line="276" w:lineRule="auto"/>
                    <w:rPr>
                      <w:b/>
                      <w:bCs/>
                      <w:color w:val="auto"/>
                      <w:kern w:val="2"/>
                      <w:highlight w:val="none"/>
                    </w:rPr>
                  </w:pPr>
                  <w:r>
                    <w:rPr>
                      <w:b/>
                      <w:bCs/>
                      <w:color w:val="auto"/>
                      <w:kern w:val="2"/>
                      <w:highlight w:val="none"/>
                    </w:rPr>
                    <w:t>昼间</w:t>
                  </w:r>
                </w:p>
              </w:tc>
              <w:tc>
                <w:tcPr>
                  <w:tcW w:w="999" w:type="pct"/>
                  <w:tcBorders>
                    <w:left w:val="single" w:color="auto" w:sz="4" w:space="0"/>
                  </w:tcBorders>
                  <w:noWrap/>
                  <w:vAlign w:val="center"/>
                </w:tcPr>
                <w:p w14:paraId="3DED50A2">
                  <w:pPr>
                    <w:pStyle w:val="64"/>
                    <w:spacing w:line="276" w:lineRule="auto"/>
                    <w:rPr>
                      <w:b/>
                      <w:bCs/>
                      <w:color w:val="auto"/>
                      <w:kern w:val="2"/>
                      <w:highlight w:val="none"/>
                    </w:rPr>
                  </w:pPr>
                  <w:r>
                    <w:rPr>
                      <w:b/>
                      <w:bCs/>
                      <w:color w:val="auto"/>
                      <w:kern w:val="2"/>
                      <w:highlight w:val="none"/>
                    </w:rPr>
                    <w:t>夜间</w:t>
                  </w:r>
                </w:p>
              </w:tc>
              <w:tc>
                <w:tcPr>
                  <w:tcW w:w="1000" w:type="pct"/>
                  <w:tcBorders>
                    <w:left w:val="single" w:color="auto" w:sz="4" w:space="0"/>
                  </w:tcBorders>
                  <w:noWrap/>
                  <w:vAlign w:val="center"/>
                </w:tcPr>
                <w:p w14:paraId="68FFF368">
                  <w:pPr>
                    <w:pStyle w:val="64"/>
                    <w:spacing w:line="276" w:lineRule="auto"/>
                    <w:rPr>
                      <w:b/>
                      <w:bCs/>
                      <w:color w:val="auto"/>
                      <w:kern w:val="2"/>
                      <w:highlight w:val="none"/>
                    </w:rPr>
                  </w:pPr>
                  <w:r>
                    <w:rPr>
                      <w:b/>
                      <w:bCs/>
                      <w:color w:val="auto"/>
                      <w:kern w:val="2"/>
                      <w:highlight w:val="none"/>
                    </w:rPr>
                    <w:t>单位</w:t>
                  </w:r>
                </w:p>
              </w:tc>
              <w:tc>
                <w:tcPr>
                  <w:tcW w:w="1000" w:type="pct"/>
                  <w:tcBorders>
                    <w:left w:val="single" w:color="auto" w:sz="4" w:space="0"/>
                  </w:tcBorders>
                  <w:noWrap/>
                  <w:vAlign w:val="center"/>
                </w:tcPr>
                <w:p w14:paraId="678AAA0B">
                  <w:pPr>
                    <w:pStyle w:val="64"/>
                    <w:spacing w:line="276" w:lineRule="auto"/>
                    <w:rPr>
                      <w:rFonts w:hint="default" w:eastAsia="宋体"/>
                      <w:b/>
                      <w:bCs/>
                      <w:color w:val="auto"/>
                      <w:kern w:val="2"/>
                      <w:highlight w:val="none"/>
                      <w:lang w:val="en-US" w:eastAsia="zh-CN"/>
                    </w:rPr>
                  </w:pPr>
                  <w:r>
                    <w:rPr>
                      <w:rFonts w:hint="eastAsia"/>
                      <w:b/>
                      <w:bCs/>
                      <w:color w:val="auto"/>
                      <w:kern w:val="2"/>
                      <w:highlight w:val="none"/>
                      <w:lang w:val="en-US" w:eastAsia="zh-CN"/>
                    </w:rPr>
                    <w:t>标准类别</w:t>
                  </w:r>
                </w:p>
              </w:tc>
            </w:tr>
            <w:tr w14:paraId="0E02F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999" w:type="pct"/>
                  <w:noWrap/>
                  <w:vAlign w:val="center"/>
                </w:tcPr>
                <w:p w14:paraId="227423AF">
                  <w:pPr>
                    <w:pStyle w:val="64"/>
                    <w:spacing w:line="276" w:lineRule="auto"/>
                    <w:rPr>
                      <w:color w:val="auto"/>
                      <w:kern w:val="2"/>
                      <w:highlight w:val="none"/>
                    </w:rPr>
                  </w:pPr>
                  <w:r>
                    <w:rPr>
                      <w:rFonts w:hint="eastAsia"/>
                      <w:color w:val="auto"/>
                      <w:kern w:val="2"/>
                      <w:highlight w:val="none"/>
                      <w:lang w:val="en-US" w:eastAsia="zh-CN"/>
                    </w:rPr>
                    <w:t>南、西</w:t>
                  </w:r>
                  <w:r>
                    <w:rPr>
                      <w:color w:val="auto"/>
                      <w:kern w:val="2"/>
                      <w:highlight w:val="none"/>
                    </w:rPr>
                    <w:t>厂界噪声</w:t>
                  </w:r>
                </w:p>
              </w:tc>
              <w:tc>
                <w:tcPr>
                  <w:tcW w:w="999" w:type="pct"/>
                  <w:noWrap/>
                  <w:vAlign w:val="center"/>
                </w:tcPr>
                <w:p w14:paraId="17E5A7E1">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65</w:t>
                  </w:r>
                </w:p>
              </w:tc>
              <w:tc>
                <w:tcPr>
                  <w:tcW w:w="999" w:type="pct"/>
                  <w:noWrap/>
                  <w:vAlign w:val="center"/>
                </w:tcPr>
                <w:p w14:paraId="53E609AF">
                  <w:pPr>
                    <w:pStyle w:val="64"/>
                    <w:spacing w:line="276" w:lineRule="auto"/>
                    <w:rPr>
                      <w:color w:val="auto"/>
                      <w:kern w:val="2"/>
                      <w:highlight w:val="none"/>
                    </w:rPr>
                  </w:pPr>
                  <w:r>
                    <w:rPr>
                      <w:color w:val="auto"/>
                      <w:kern w:val="2"/>
                      <w:highlight w:val="none"/>
                    </w:rPr>
                    <w:t>55</w:t>
                  </w:r>
                </w:p>
              </w:tc>
              <w:tc>
                <w:tcPr>
                  <w:tcW w:w="1000" w:type="pct"/>
                  <w:noWrap/>
                  <w:vAlign w:val="center"/>
                </w:tcPr>
                <w:p w14:paraId="36010040">
                  <w:pPr>
                    <w:pStyle w:val="64"/>
                    <w:spacing w:line="276" w:lineRule="auto"/>
                    <w:rPr>
                      <w:color w:val="auto"/>
                      <w:kern w:val="2"/>
                      <w:highlight w:val="none"/>
                    </w:rPr>
                  </w:pPr>
                  <w:r>
                    <w:rPr>
                      <w:color w:val="auto"/>
                      <w:kern w:val="2"/>
                      <w:highlight w:val="none"/>
                    </w:rPr>
                    <w:t>dB（A）</w:t>
                  </w:r>
                </w:p>
              </w:tc>
              <w:tc>
                <w:tcPr>
                  <w:tcW w:w="1000" w:type="pct"/>
                  <w:noWrap/>
                  <w:vAlign w:val="center"/>
                </w:tcPr>
                <w:p w14:paraId="5D7C0DCB">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3类</w:t>
                  </w:r>
                </w:p>
              </w:tc>
            </w:tr>
            <w:tr w14:paraId="6C02E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999" w:type="pct"/>
                  <w:shd w:val="clear" w:color="auto" w:fill="auto"/>
                  <w:noWrap/>
                  <w:vAlign w:val="center"/>
                </w:tcPr>
                <w:p w14:paraId="6176B8FE">
                  <w:pPr>
                    <w:pStyle w:val="64"/>
                    <w:spacing w:line="276" w:lineRule="auto"/>
                    <w:rPr>
                      <w:rFonts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东、北</w:t>
                  </w:r>
                  <w:r>
                    <w:rPr>
                      <w:color w:val="auto"/>
                      <w:kern w:val="2"/>
                      <w:highlight w:val="none"/>
                    </w:rPr>
                    <w:t>厂界噪声</w:t>
                  </w:r>
                </w:p>
              </w:tc>
              <w:tc>
                <w:tcPr>
                  <w:tcW w:w="999" w:type="pct"/>
                  <w:shd w:val="clear" w:color="auto" w:fill="auto"/>
                  <w:noWrap/>
                  <w:vAlign w:val="center"/>
                </w:tcPr>
                <w:p w14:paraId="69946C5F">
                  <w:pPr>
                    <w:pStyle w:val="64"/>
                    <w:spacing w:line="276" w:lineRule="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70</w:t>
                  </w:r>
                </w:p>
              </w:tc>
              <w:tc>
                <w:tcPr>
                  <w:tcW w:w="999" w:type="pct"/>
                  <w:shd w:val="clear" w:color="auto" w:fill="auto"/>
                  <w:noWrap/>
                  <w:vAlign w:val="center"/>
                </w:tcPr>
                <w:p w14:paraId="4060BC0F">
                  <w:pPr>
                    <w:pStyle w:val="64"/>
                    <w:spacing w:line="276" w:lineRule="auto"/>
                    <w:rPr>
                      <w:rFonts w:ascii="Times New Roman" w:hAnsi="Times New Roman" w:eastAsia="宋体" w:cs="Times New Roman"/>
                      <w:color w:val="auto"/>
                      <w:kern w:val="2"/>
                      <w:position w:val="-10"/>
                      <w:sz w:val="21"/>
                      <w:szCs w:val="21"/>
                      <w:highlight w:val="none"/>
                      <w:lang w:val="en-US" w:eastAsia="zh-CN" w:bidi="ar-SA"/>
                    </w:rPr>
                  </w:pPr>
                  <w:r>
                    <w:rPr>
                      <w:color w:val="auto"/>
                      <w:kern w:val="2"/>
                      <w:highlight w:val="none"/>
                    </w:rPr>
                    <w:t>55</w:t>
                  </w:r>
                </w:p>
              </w:tc>
              <w:tc>
                <w:tcPr>
                  <w:tcW w:w="1000" w:type="pct"/>
                  <w:shd w:val="clear" w:color="auto" w:fill="auto"/>
                  <w:noWrap/>
                  <w:vAlign w:val="center"/>
                </w:tcPr>
                <w:p w14:paraId="400834A3">
                  <w:pPr>
                    <w:pStyle w:val="64"/>
                    <w:spacing w:line="276" w:lineRule="auto"/>
                    <w:rPr>
                      <w:rFonts w:ascii="Times New Roman" w:hAnsi="Times New Roman" w:eastAsia="宋体" w:cs="Times New Roman"/>
                      <w:color w:val="auto"/>
                      <w:kern w:val="2"/>
                      <w:position w:val="-10"/>
                      <w:sz w:val="21"/>
                      <w:szCs w:val="21"/>
                      <w:highlight w:val="none"/>
                      <w:lang w:val="en-US" w:eastAsia="zh-CN" w:bidi="ar-SA"/>
                    </w:rPr>
                  </w:pPr>
                  <w:r>
                    <w:rPr>
                      <w:color w:val="auto"/>
                      <w:kern w:val="2"/>
                      <w:highlight w:val="none"/>
                    </w:rPr>
                    <w:t>dB（A）</w:t>
                  </w:r>
                </w:p>
              </w:tc>
              <w:tc>
                <w:tcPr>
                  <w:tcW w:w="1000" w:type="pct"/>
                  <w:shd w:val="clear" w:color="auto" w:fill="auto"/>
                  <w:noWrap/>
                  <w:vAlign w:val="center"/>
                </w:tcPr>
                <w:p w14:paraId="0660E7AF">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4a类</w:t>
                  </w:r>
                </w:p>
              </w:tc>
            </w:tr>
          </w:tbl>
          <w:p w14:paraId="07AA97FB">
            <w:pPr>
              <w:pStyle w:val="10"/>
              <w:numPr>
                <w:ilvl w:val="2"/>
                <w:numId w:val="0"/>
              </w:numPr>
              <w:ind w:left="480"/>
              <w:rPr>
                <w:color w:val="auto"/>
                <w:highlight w:val="none"/>
              </w:rPr>
            </w:pPr>
            <w:r>
              <w:rPr>
                <w:color w:val="auto"/>
                <w:highlight w:val="none"/>
              </w:rPr>
              <w:t>四、固体废物污染控制标准</w:t>
            </w:r>
          </w:p>
          <w:p w14:paraId="44987F72">
            <w:pPr>
              <w:widowControl/>
              <w:ind w:firstLine="456" w:firstLineChars="200"/>
              <w:rPr>
                <w:color w:val="auto"/>
                <w:highlight w:val="none"/>
              </w:rPr>
            </w:pPr>
            <w:r>
              <w:rPr>
                <w:color w:val="auto"/>
                <w:spacing w:val="-6"/>
                <w:highlight w:val="none"/>
              </w:rPr>
              <w:t>一般工业固体废物在厂内采用库房或包装工具贮存，贮存过程应满足相应防渗漏、防雨淋、防扬尘等环境保护要求；危险废物贮存过程执行《危险废物贮存污染控制标准》（GB18597-2023）和《危险废物收集贮存运输技术规范》（HJ2025-2012）。</w:t>
            </w:r>
          </w:p>
        </w:tc>
      </w:tr>
      <w:tr w14:paraId="4738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262" w:type="pct"/>
            <w:vAlign w:val="center"/>
          </w:tcPr>
          <w:p w14:paraId="642410E4">
            <w:pPr>
              <w:keepNext/>
              <w:widowControl/>
              <w:numPr>
                <w:ilvl w:val="1"/>
                <w:numId w:val="0"/>
              </w:numPr>
              <w:tabs>
                <w:tab w:val="left" w:pos="420"/>
              </w:tabs>
              <w:rPr>
                <w:color w:val="auto"/>
                <w:highlight w:val="none"/>
              </w:rPr>
            </w:pPr>
            <w:bookmarkStart w:id="102" w:name="_Toc8863"/>
            <w:bookmarkStart w:id="103" w:name="_Toc21080"/>
            <w:bookmarkStart w:id="104" w:name="_Toc10891"/>
            <w:bookmarkStart w:id="105" w:name="_Toc9431"/>
            <w:bookmarkStart w:id="106" w:name="_Toc8540"/>
            <w:bookmarkStart w:id="107" w:name="_Toc7590"/>
            <w:bookmarkStart w:id="108" w:name="_Toc23863"/>
            <w:bookmarkStart w:id="109" w:name="_Toc12454"/>
            <w:bookmarkStart w:id="110" w:name="_Toc31892"/>
            <w:bookmarkStart w:id="111" w:name="_Toc4557"/>
            <w:bookmarkStart w:id="112" w:name="_Toc23450"/>
            <w:bookmarkStart w:id="113" w:name="_Toc6465"/>
            <w:bookmarkStart w:id="114" w:name="_Toc14770"/>
            <w:bookmarkStart w:id="115" w:name="_Toc18024"/>
            <w:r>
              <w:rPr>
                <w:b/>
                <w:bCs/>
                <w:color w:val="auto"/>
                <w:highlight w:val="none"/>
              </w:rPr>
              <w:t>总量控制指标</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tc>
        <w:tc>
          <w:tcPr>
            <w:tcW w:w="4737" w:type="pct"/>
          </w:tcPr>
          <w:p w14:paraId="581FEA85">
            <w:pPr>
              <w:pStyle w:val="10"/>
              <w:numPr>
                <w:ilvl w:val="2"/>
                <w:numId w:val="0"/>
              </w:numPr>
              <w:ind w:firstLine="480" w:firstLineChars="200"/>
              <w:rPr>
                <w:color w:val="auto"/>
                <w:highlight w:val="none"/>
              </w:rPr>
            </w:pPr>
            <w:r>
              <w:rPr>
                <w:color w:val="auto"/>
                <w:highlight w:val="none"/>
              </w:rPr>
              <w:t>一、水污染物排放总量控制指标</w:t>
            </w:r>
          </w:p>
          <w:p w14:paraId="19C4493E">
            <w:pPr>
              <w:ind w:firstLine="480" w:firstLineChars="200"/>
              <w:rPr>
                <w:color w:val="auto"/>
                <w:highlight w:val="none"/>
              </w:rPr>
            </w:pPr>
            <w:r>
              <w:rPr>
                <w:color w:val="auto"/>
                <w:highlight w:val="none"/>
              </w:rPr>
              <w:t>建设单位应根据本项目的废水和废气等污染物的排放量，向上级主管部门和环保部门申请各项目污染物排放总量控制指标。</w:t>
            </w:r>
          </w:p>
          <w:p w14:paraId="589D627E">
            <w:pPr>
              <w:pStyle w:val="60"/>
              <w:widowControl/>
              <w:ind w:firstLine="482"/>
              <w:rPr>
                <w:b/>
                <w:bCs/>
                <w:color w:val="auto"/>
                <w:kern w:val="0"/>
                <w:highlight w:val="none"/>
              </w:rPr>
            </w:pPr>
            <w:r>
              <w:rPr>
                <w:b/>
                <w:bCs/>
                <w:color w:val="auto"/>
                <w:kern w:val="0"/>
                <w:highlight w:val="none"/>
              </w:rPr>
              <w:t>（1）废水总量控制指标</w:t>
            </w:r>
          </w:p>
          <w:p w14:paraId="5A66F2F7">
            <w:pPr>
              <w:widowControl/>
              <w:ind w:firstLine="480" w:firstLineChars="200"/>
              <w:rPr>
                <w:color w:val="auto"/>
                <w:highlight w:val="none"/>
              </w:rPr>
            </w:pPr>
            <w:r>
              <w:rPr>
                <w:rFonts w:hint="eastAsia"/>
                <w:color w:val="auto"/>
                <w:kern w:val="0"/>
                <w:highlight w:val="none"/>
                <w:lang w:val="en-US" w:eastAsia="zh-CN"/>
              </w:rPr>
              <w:t>本项目废水污染物总量</w:t>
            </w:r>
            <w:r>
              <w:rPr>
                <w:color w:val="auto"/>
                <w:kern w:val="0"/>
                <w:highlight w:val="none"/>
              </w:rPr>
              <w:t>CODcr（</w:t>
            </w:r>
            <w:r>
              <w:rPr>
                <w:rFonts w:hint="eastAsia"/>
                <w:color w:val="auto"/>
                <w:kern w:val="0"/>
                <w:highlight w:val="none"/>
              </w:rPr>
              <w:t>0.</w:t>
            </w:r>
            <w:r>
              <w:rPr>
                <w:rFonts w:hint="eastAsia"/>
                <w:color w:val="auto"/>
                <w:kern w:val="0"/>
                <w:highlight w:val="none"/>
                <w:lang w:val="en-US" w:eastAsia="zh-CN"/>
              </w:rPr>
              <w:t>778</w:t>
            </w:r>
            <w:r>
              <w:rPr>
                <w:color w:val="auto"/>
                <w:kern w:val="0"/>
                <w:highlight w:val="none"/>
              </w:rPr>
              <w:t>t/a）、NH</w:t>
            </w:r>
            <w:r>
              <w:rPr>
                <w:color w:val="auto"/>
                <w:kern w:val="0"/>
                <w:highlight w:val="none"/>
                <w:vertAlign w:val="subscript"/>
              </w:rPr>
              <w:t>3</w:t>
            </w:r>
            <w:r>
              <w:rPr>
                <w:color w:val="auto"/>
                <w:kern w:val="0"/>
                <w:highlight w:val="none"/>
              </w:rPr>
              <w:t>-N（</w:t>
            </w:r>
            <w:r>
              <w:rPr>
                <w:rFonts w:hint="eastAsia"/>
                <w:color w:val="auto"/>
                <w:kern w:val="0"/>
                <w:highlight w:val="none"/>
              </w:rPr>
              <w:t>0.</w:t>
            </w:r>
            <w:r>
              <w:rPr>
                <w:rFonts w:hint="eastAsia"/>
                <w:color w:val="auto"/>
                <w:kern w:val="0"/>
                <w:highlight w:val="none"/>
                <w:lang w:val="en-US" w:eastAsia="zh-CN"/>
              </w:rPr>
              <w:t>113</w:t>
            </w:r>
            <w:r>
              <w:rPr>
                <w:color w:val="auto"/>
                <w:kern w:val="0"/>
                <w:highlight w:val="none"/>
              </w:rPr>
              <w:t>t/a）纳入园区污水处理厂的总量控制指标，不需再增加新的总量分配指标</w:t>
            </w:r>
            <w:r>
              <w:rPr>
                <w:color w:val="auto"/>
                <w:highlight w:val="none"/>
              </w:rPr>
              <w:t>。</w:t>
            </w:r>
          </w:p>
          <w:p w14:paraId="705EC278">
            <w:pPr>
              <w:pStyle w:val="60"/>
              <w:widowControl/>
              <w:ind w:firstLine="482"/>
              <w:rPr>
                <w:b/>
                <w:bCs/>
                <w:color w:val="auto"/>
                <w:highlight w:val="none"/>
              </w:rPr>
            </w:pPr>
            <w:r>
              <w:rPr>
                <w:b/>
                <w:bCs/>
                <w:color w:val="auto"/>
                <w:highlight w:val="none"/>
              </w:rPr>
              <w:t>（2）废气总量控制指标</w:t>
            </w:r>
          </w:p>
          <w:p w14:paraId="25DD5080">
            <w:pPr>
              <w:widowControl/>
              <w:ind w:firstLine="480" w:firstLineChars="200"/>
              <w:rPr>
                <w:rFonts w:hint="default" w:eastAsia="宋体"/>
                <w:color w:val="auto"/>
                <w:highlight w:val="none"/>
                <w:lang w:val="en-US" w:eastAsia="zh-CN"/>
              </w:rPr>
            </w:pPr>
            <w:r>
              <w:rPr>
                <w:rFonts w:hint="eastAsia"/>
                <w:color w:val="auto"/>
                <w:kern w:val="0"/>
                <w:highlight w:val="none"/>
                <w:lang w:val="en-US" w:eastAsia="zh-CN"/>
              </w:rPr>
              <w:t>本项目</w:t>
            </w:r>
            <w:r>
              <w:rPr>
                <w:color w:val="auto"/>
                <w:kern w:val="0"/>
                <w:highlight w:val="none"/>
              </w:rPr>
              <w:t>大气污染物</w:t>
            </w:r>
            <w:r>
              <w:rPr>
                <w:rFonts w:hint="eastAsia"/>
                <w:color w:val="auto"/>
                <w:kern w:val="0"/>
                <w:highlight w:val="none"/>
              </w:rPr>
              <w:t>颗粒物</w:t>
            </w:r>
            <w:r>
              <w:rPr>
                <w:rFonts w:hint="eastAsia"/>
                <w:color w:val="auto"/>
                <w:kern w:val="0"/>
                <w:highlight w:val="none"/>
                <w:lang w:val="en-US" w:eastAsia="zh-CN"/>
              </w:rPr>
              <w:t>排放</w:t>
            </w:r>
            <w:r>
              <w:rPr>
                <w:color w:val="auto"/>
                <w:kern w:val="0"/>
                <w:highlight w:val="none"/>
              </w:rPr>
              <w:t>总量为</w:t>
            </w:r>
            <w:r>
              <w:rPr>
                <w:rFonts w:hint="eastAsia"/>
                <w:color w:val="auto"/>
                <w:kern w:val="0"/>
                <w:highlight w:val="none"/>
                <w:lang w:val="en-US" w:eastAsia="zh-CN"/>
              </w:rPr>
              <w:t>2.289</w:t>
            </w:r>
            <w:r>
              <w:rPr>
                <w:color w:val="auto"/>
                <w:kern w:val="0"/>
                <w:highlight w:val="none"/>
              </w:rPr>
              <w:t>t/a</w:t>
            </w:r>
            <w:r>
              <w:rPr>
                <w:rFonts w:hint="eastAsia"/>
                <w:color w:val="auto"/>
                <w:kern w:val="0"/>
                <w:highlight w:val="none"/>
                <w:lang w:val="en-US" w:eastAsia="zh-CN"/>
              </w:rPr>
              <w:t>（有组织0.711t/a，无组织1.578t/a</w:t>
            </w:r>
            <w:r>
              <w:rPr>
                <w:rFonts w:hint="eastAsia"/>
                <w:color w:val="auto"/>
                <w:highlight w:val="none"/>
                <w:lang w:eastAsia="zh-CN"/>
              </w:rPr>
              <w:t>）</w:t>
            </w:r>
            <w:r>
              <w:rPr>
                <w:rFonts w:hint="eastAsia"/>
                <w:color w:val="auto"/>
                <w:kern w:val="0"/>
                <w:highlight w:val="none"/>
                <w:lang w:eastAsia="zh-CN"/>
              </w:rPr>
              <w:t>，</w:t>
            </w:r>
            <w:r>
              <w:rPr>
                <w:rFonts w:hint="eastAsia"/>
                <w:color w:val="auto"/>
                <w:kern w:val="0"/>
                <w:highlight w:val="none"/>
                <w:lang w:val="en-US" w:eastAsia="zh-CN"/>
              </w:rPr>
              <w:t>非甲烷总烃排放总量3.518t/a（有组织2.262t/a，无组织1.256t/a</w:t>
            </w:r>
            <w:r>
              <w:rPr>
                <w:rFonts w:hint="eastAsia"/>
                <w:color w:val="auto"/>
                <w:highlight w:val="none"/>
                <w:lang w:eastAsia="zh-CN"/>
              </w:rPr>
              <w:t>）</w:t>
            </w:r>
            <w:r>
              <w:rPr>
                <w:rFonts w:hint="eastAsia"/>
                <w:color w:val="auto"/>
                <w:kern w:val="0"/>
                <w:highlight w:val="none"/>
                <w:lang w:val="en-US" w:eastAsia="zh-CN"/>
              </w:rPr>
              <w:t>，需申请VOCs废气排放总量控制指标。</w:t>
            </w:r>
          </w:p>
          <w:p w14:paraId="354B79A2">
            <w:pPr>
              <w:pStyle w:val="10"/>
              <w:numPr>
                <w:ilvl w:val="2"/>
                <w:numId w:val="0"/>
              </w:numPr>
              <w:ind w:firstLine="480" w:firstLineChars="200"/>
              <w:rPr>
                <w:color w:val="auto"/>
                <w:highlight w:val="none"/>
              </w:rPr>
            </w:pPr>
            <w:r>
              <w:rPr>
                <w:color w:val="auto"/>
                <w:highlight w:val="none"/>
              </w:rPr>
              <w:t>三、固体废物排放总量控制指标</w:t>
            </w:r>
          </w:p>
          <w:p w14:paraId="2C2081CA">
            <w:pPr>
              <w:pStyle w:val="10"/>
              <w:numPr>
                <w:ilvl w:val="2"/>
                <w:numId w:val="0"/>
              </w:numPr>
              <w:ind w:firstLine="480" w:firstLineChars="200"/>
              <w:rPr>
                <w:b w:val="0"/>
                <w:bCs w:val="0"/>
                <w:color w:val="auto"/>
                <w:highlight w:val="none"/>
              </w:rPr>
            </w:pPr>
            <w:r>
              <w:rPr>
                <w:b w:val="0"/>
                <w:bCs w:val="0"/>
                <w:color w:val="auto"/>
                <w:highlight w:val="none"/>
              </w:rPr>
              <w:t>本项目固体废物不自行处理排放，不设置固体废物总量控制指标</w:t>
            </w:r>
            <w:r>
              <w:rPr>
                <w:rFonts w:hint="eastAsia"/>
                <w:b w:val="0"/>
                <w:bCs w:val="0"/>
                <w:color w:val="auto"/>
                <w:highlight w:val="none"/>
              </w:rPr>
              <w:t>。</w:t>
            </w:r>
          </w:p>
          <w:p w14:paraId="17F3427B">
            <w:pPr>
              <w:pStyle w:val="2"/>
              <w:rPr>
                <w:color w:val="auto"/>
                <w:highlight w:val="none"/>
              </w:rPr>
            </w:pPr>
          </w:p>
        </w:tc>
      </w:tr>
    </w:tbl>
    <w:p w14:paraId="5802B572">
      <w:pPr>
        <w:pStyle w:val="18"/>
        <w:rPr>
          <w:rFonts w:cs="Times New Roman"/>
          <w:color w:val="auto"/>
          <w:highlight w:val="none"/>
        </w:rPr>
        <w:sectPr>
          <w:pgSz w:w="11906" w:h="16838"/>
          <w:pgMar w:top="1440" w:right="1080" w:bottom="1440" w:left="1080" w:header="851" w:footer="680" w:gutter="0"/>
          <w:pgNumType w:fmt="numberInDash"/>
          <w:cols w:space="720" w:num="1"/>
          <w:docGrid w:type="linesAndChars" w:linePitch="312" w:charSpace="0"/>
        </w:sectPr>
      </w:pPr>
    </w:p>
    <w:p w14:paraId="63A48525">
      <w:pPr>
        <w:pStyle w:val="18"/>
        <w:numPr>
          <w:ilvl w:val="0"/>
          <w:numId w:val="0"/>
        </w:numPr>
        <w:rPr>
          <w:rFonts w:cs="Times New Roman"/>
          <w:b/>
          <w:bCs/>
          <w:color w:val="auto"/>
          <w:highlight w:val="none"/>
        </w:rPr>
      </w:pPr>
      <w:bookmarkStart w:id="116" w:name="_Toc2526"/>
      <w:bookmarkStart w:id="117" w:name="_Toc3944"/>
      <w:bookmarkStart w:id="118" w:name="_Toc32008"/>
      <w:r>
        <w:rPr>
          <w:rFonts w:hint="eastAsia" w:cs="Times New Roman"/>
          <w:b/>
          <w:bCs/>
          <w:color w:val="auto"/>
          <w:highlight w:val="none"/>
        </w:rPr>
        <w:t>四、</w:t>
      </w:r>
      <w:r>
        <w:rPr>
          <w:rFonts w:cs="Times New Roman"/>
          <w:b/>
          <w:bCs/>
          <w:color w:val="auto"/>
          <w:highlight w:val="none"/>
        </w:rPr>
        <w:t>主要环境影响和保护措施</w:t>
      </w:r>
      <w:bookmarkEnd w:id="116"/>
      <w:bookmarkEnd w:id="117"/>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505"/>
      </w:tblGrid>
      <w:tr w14:paraId="3CA3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4" w:hRule="atLeast"/>
        </w:trPr>
        <w:tc>
          <w:tcPr>
            <w:tcW w:w="224" w:type="pct"/>
            <w:vAlign w:val="center"/>
          </w:tcPr>
          <w:p w14:paraId="4076911A">
            <w:pPr>
              <w:keepNext/>
              <w:widowControl/>
              <w:numPr>
                <w:ilvl w:val="1"/>
                <w:numId w:val="0"/>
              </w:numPr>
              <w:tabs>
                <w:tab w:val="left" w:pos="420"/>
              </w:tabs>
              <w:rPr>
                <w:color w:val="auto"/>
                <w:highlight w:val="none"/>
              </w:rPr>
            </w:pPr>
            <w:bookmarkStart w:id="119" w:name="_Toc25142"/>
            <w:bookmarkStart w:id="120" w:name="_Toc3227"/>
            <w:bookmarkStart w:id="121" w:name="_Toc8812"/>
            <w:bookmarkStart w:id="122" w:name="_Toc32016"/>
            <w:bookmarkStart w:id="123" w:name="_Toc4550"/>
            <w:bookmarkStart w:id="124" w:name="_Toc25331"/>
            <w:bookmarkStart w:id="125" w:name="_Toc18588"/>
            <w:bookmarkStart w:id="126" w:name="_Toc30266"/>
            <w:bookmarkStart w:id="127" w:name="_Toc25551"/>
            <w:bookmarkStart w:id="128" w:name="_Toc7895"/>
            <w:bookmarkStart w:id="129" w:name="_Toc16612"/>
            <w:r>
              <w:rPr>
                <w:color w:val="auto"/>
                <w:highlight w:val="none"/>
              </w:rPr>
              <w:t>施工期环境保护措施</w:t>
            </w:r>
            <w:bookmarkEnd w:id="119"/>
            <w:bookmarkEnd w:id="120"/>
            <w:bookmarkEnd w:id="121"/>
            <w:bookmarkEnd w:id="122"/>
            <w:bookmarkEnd w:id="123"/>
            <w:bookmarkEnd w:id="124"/>
            <w:bookmarkEnd w:id="125"/>
            <w:bookmarkEnd w:id="126"/>
            <w:bookmarkEnd w:id="127"/>
            <w:bookmarkEnd w:id="128"/>
            <w:bookmarkEnd w:id="129"/>
          </w:p>
        </w:tc>
        <w:tc>
          <w:tcPr>
            <w:tcW w:w="4775" w:type="pct"/>
            <w:vAlign w:val="center"/>
          </w:tcPr>
          <w:p w14:paraId="66FB8544">
            <w:pPr>
              <w:pStyle w:val="26"/>
              <w:ind w:firstLine="480"/>
              <w:rPr>
                <w:color w:val="auto"/>
                <w:highlight w:val="none"/>
              </w:rPr>
            </w:pPr>
            <w:r>
              <w:rPr>
                <w:color w:val="auto"/>
                <w:highlight w:val="none"/>
              </w:rPr>
              <w:t>本项目</w:t>
            </w:r>
            <w:r>
              <w:rPr>
                <w:rFonts w:hint="eastAsia" w:cs="Times New Roman"/>
                <w:color w:val="auto"/>
                <w:highlight w:val="none"/>
                <w:lang w:val="en-US" w:eastAsia="zh-CN"/>
              </w:rPr>
              <w:t>已完成主体建筑施工，</w:t>
            </w:r>
            <w:r>
              <w:rPr>
                <w:rFonts w:hint="default" w:ascii="Times New Roman" w:hAnsi="Times New Roman" w:cs="Times New Roman"/>
                <w:color w:val="auto"/>
                <w:highlight w:val="none"/>
              </w:rPr>
              <w:t>项目</w:t>
            </w:r>
            <w:r>
              <w:rPr>
                <w:rFonts w:hint="eastAsia" w:cs="Times New Roman"/>
                <w:color w:val="auto"/>
                <w:highlight w:val="none"/>
                <w:lang w:val="en-US" w:eastAsia="zh-CN"/>
              </w:rPr>
              <w:t>已完成厂房的建筑施工，施工期主要为设备的安装，环境影响很小</w:t>
            </w:r>
            <w:r>
              <w:rPr>
                <w:rFonts w:hint="default" w:ascii="Times New Roman" w:hAnsi="Times New Roman" w:cs="Times New Roman"/>
                <w:color w:val="auto"/>
                <w:highlight w:val="none"/>
                <w:lang w:eastAsia="zh-CN"/>
              </w:rPr>
              <w:t>。</w:t>
            </w:r>
          </w:p>
        </w:tc>
      </w:tr>
      <w:tr w14:paraId="45D1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2" w:hRule="atLeast"/>
        </w:trPr>
        <w:tc>
          <w:tcPr>
            <w:tcW w:w="224" w:type="pct"/>
            <w:vAlign w:val="center"/>
          </w:tcPr>
          <w:p w14:paraId="55C5F3B0">
            <w:pPr>
              <w:keepNext/>
              <w:widowControl/>
              <w:numPr>
                <w:ilvl w:val="1"/>
                <w:numId w:val="0"/>
              </w:numPr>
              <w:tabs>
                <w:tab w:val="left" w:pos="420"/>
              </w:tabs>
              <w:rPr>
                <w:color w:val="auto"/>
                <w:highlight w:val="none"/>
              </w:rPr>
            </w:pPr>
            <w:bookmarkStart w:id="130" w:name="_Toc665"/>
            <w:bookmarkStart w:id="131" w:name="_Toc31655"/>
            <w:bookmarkStart w:id="132" w:name="_Toc12228"/>
            <w:bookmarkStart w:id="133" w:name="_Toc14651"/>
            <w:bookmarkStart w:id="134" w:name="_Toc29600"/>
            <w:bookmarkStart w:id="135" w:name="_Toc27971"/>
            <w:bookmarkStart w:id="136" w:name="_Toc297"/>
            <w:bookmarkStart w:id="137" w:name="_Toc15885"/>
            <w:bookmarkStart w:id="138" w:name="_Toc25969"/>
            <w:bookmarkStart w:id="139" w:name="_Toc8375"/>
            <w:bookmarkStart w:id="140" w:name="_Toc15252"/>
            <w:r>
              <w:rPr>
                <w:b/>
                <w:bCs/>
                <w:color w:val="auto"/>
                <w:highlight w:val="none"/>
              </w:rPr>
              <w:t>运营期环境影响和保护措施</w:t>
            </w:r>
            <w:bookmarkEnd w:id="130"/>
            <w:bookmarkEnd w:id="131"/>
            <w:bookmarkEnd w:id="132"/>
            <w:bookmarkEnd w:id="133"/>
            <w:bookmarkEnd w:id="134"/>
            <w:bookmarkEnd w:id="135"/>
            <w:bookmarkEnd w:id="136"/>
            <w:bookmarkEnd w:id="137"/>
            <w:bookmarkEnd w:id="138"/>
            <w:bookmarkEnd w:id="139"/>
            <w:bookmarkEnd w:id="140"/>
          </w:p>
        </w:tc>
        <w:tc>
          <w:tcPr>
            <w:tcW w:w="4775" w:type="pct"/>
            <w:vAlign w:val="center"/>
          </w:tcPr>
          <w:p w14:paraId="6D2C7952">
            <w:pPr>
              <w:pStyle w:val="20"/>
              <w:numPr>
                <w:ilvl w:val="3"/>
                <w:numId w:val="0"/>
              </w:numPr>
              <w:ind w:firstLine="480" w:firstLineChars="200"/>
              <w:rPr>
                <w:color w:val="auto"/>
                <w:highlight w:val="none"/>
              </w:rPr>
            </w:pPr>
            <w:r>
              <w:rPr>
                <w:color w:val="auto"/>
                <w:highlight w:val="none"/>
              </w:rPr>
              <w:t>一、废气污染源</w:t>
            </w:r>
          </w:p>
          <w:p w14:paraId="725FCF75">
            <w:pPr>
              <w:pStyle w:val="20"/>
              <w:numPr>
                <w:ilvl w:val="3"/>
                <w:numId w:val="0"/>
              </w:numPr>
              <w:ind w:firstLine="480" w:firstLineChars="200"/>
              <w:rPr>
                <w:color w:val="auto"/>
                <w:highlight w:val="none"/>
              </w:rPr>
            </w:pPr>
            <w:r>
              <w:rPr>
                <w:b w:val="0"/>
                <w:bCs w:val="0"/>
                <w:color w:val="auto"/>
                <w:szCs w:val="24"/>
                <w:highlight w:val="none"/>
              </w:rPr>
              <w:t>本项目营运期产生的废气主要为</w:t>
            </w:r>
            <w:r>
              <w:rPr>
                <w:rFonts w:hint="eastAsia"/>
                <w:b w:val="0"/>
                <w:bCs w:val="0"/>
                <w:color w:val="auto"/>
                <w:szCs w:val="24"/>
                <w:highlight w:val="none"/>
              </w:rPr>
              <w:t>废塑料破碎</w:t>
            </w:r>
            <w:r>
              <w:rPr>
                <w:b w:val="0"/>
                <w:bCs w:val="0"/>
                <w:color w:val="auto"/>
                <w:szCs w:val="24"/>
                <w:highlight w:val="none"/>
              </w:rPr>
              <w:t>粉尘</w:t>
            </w:r>
            <w:r>
              <w:rPr>
                <w:rFonts w:hint="eastAsia"/>
                <w:b w:val="0"/>
                <w:bCs w:val="0"/>
                <w:color w:val="auto"/>
                <w:szCs w:val="24"/>
                <w:highlight w:val="none"/>
              </w:rPr>
              <w:t>、</w:t>
            </w:r>
            <w:r>
              <w:rPr>
                <w:rFonts w:hint="eastAsia"/>
                <w:b w:val="0"/>
                <w:bCs w:val="0"/>
                <w:color w:val="auto"/>
                <w:szCs w:val="24"/>
                <w:highlight w:val="none"/>
                <w:lang w:val="en-US" w:eastAsia="zh-CN"/>
              </w:rPr>
              <w:t>造粒废气、</w:t>
            </w:r>
            <w:r>
              <w:rPr>
                <w:b w:val="0"/>
                <w:bCs w:val="0"/>
                <w:color w:val="auto"/>
                <w:szCs w:val="24"/>
                <w:highlight w:val="none"/>
              </w:rPr>
              <w:t>废水处理设施恶臭</w:t>
            </w:r>
            <w:r>
              <w:rPr>
                <w:rFonts w:hint="eastAsia"/>
                <w:b w:val="0"/>
                <w:bCs w:val="0"/>
                <w:color w:val="auto"/>
                <w:szCs w:val="24"/>
                <w:highlight w:val="none"/>
                <w:lang w:val="en-US" w:eastAsia="zh-CN"/>
              </w:rPr>
              <w:t>和食堂油烟</w:t>
            </w:r>
            <w:r>
              <w:rPr>
                <w:b w:val="0"/>
                <w:bCs w:val="0"/>
                <w:color w:val="auto"/>
                <w:szCs w:val="32"/>
                <w:highlight w:val="none"/>
              </w:rPr>
              <w:t>。</w:t>
            </w:r>
          </w:p>
          <w:p w14:paraId="2981C60C">
            <w:pPr>
              <w:ind w:left="480" w:leftChars="200"/>
              <w:rPr>
                <w:b/>
                <w:bCs/>
                <w:color w:val="auto"/>
                <w:highlight w:val="none"/>
              </w:rPr>
            </w:pPr>
            <w:r>
              <w:rPr>
                <w:b/>
                <w:bCs/>
                <w:color w:val="auto"/>
                <w:highlight w:val="none"/>
              </w:rPr>
              <w:t>1、废气产排源强计算</w:t>
            </w:r>
          </w:p>
          <w:p w14:paraId="12AC6DEF">
            <w:pPr>
              <w:tabs>
                <w:tab w:val="left" w:pos="0"/>
              </w:tabs>
              <w:ind w:left="40" w:firstLine="480" w:firstLineChars="200"/>
              <w:rPr>
                <w:rFonts w:hint="default" w:eastAsia="宋体"/>
                <w:b/>
                <w:bCs/>
                <w:color w:val="auto"/>
                <w:highlight w:val="none"/>
                <w:lang w:val="en-US" w:eastAsia="zh-CN"/>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lang w:eastAsia="zh-CN"/>
              </w:rPr>
              <w:t>）</w:t>
            </w:r>
            <w:r>
              <w:rPr>
                <w:rFonts w:hint="eastAsia"/>
                <w:b/>
                <w:bCs/>
                <w:color w:val="auto"/>
                <w:highlight w:val="none"/>
                <w:lang w:val="en-US" w:eastAsia="zh-CN"/>
              </w:rPr>
              <w:t>破碎粉尘</w:t>
            </w:r>
          </w:p>
          <w:p w14:paraId="7A8BDCBA">
            <w:pPr>
              <w:keepNext w:val="0"/>
              <w:keepLines w:val="0"/>
              <w:suppressLineNumbers w:val="0"/>
              <w:adjustRightInd w:val="0"/>
              <w:spacing w:before="0" w:beforeAutospacing="0" w:after="0" w:afterAutospacing="0" w:line="360" w:lineRule="auto"/>
              <w:ind w:left="0" w:right="0" w:firstLine="480" w:firstLineChars="200"/>
              <w:contextualSpacing/>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本项目回收的废塑料</w:t>
            </w:r>
            <w:r>
              <w:rPr>
                <w:rFonts w:hint="default" w:ascii="Times New Roman" w:hAnsi="Times New Roman" w:eastAsia="宋体" w:cs="Times New Roman"/>
                <w:color w:val="auto"/>
                <w:sz w:val="24"/>
                <w:szCs w:val="24"/>
                <w:highlight w:val="none"/>
                <w:lang w:val="en-US" w:eastAsia="zh-CN"/>
              </w:rPr>
              <w:t>需要</w:t>
            </w:r>
            <w:r>
              <w:rPr>
                <w:rFonts w:hint="default" w:ascii="Times New Roman" w:hAnsi="Times New Roman" w:eastAsia="宋体" w:cs="Times New Roman"/>
                <w:color w:val="auto"/>
                <w:sz w:val="24"/>
                <w:szCs w:val="24"/>
                <w:highlight w:val="none"/>
                <w:lang w:eastAsia="zh-CN"/>
              </w:rPr>
              <w:t>进行</w:t>
            </w:r>
            <w:r>
              <w:rPr>
                <w:rFonts w:hint="default" w:ascii="Times New Roman" w:hAnsi="Times New Roman" w:eastAsia="宋体" w:cs="Times New Roman"/>
                <w:color w:val="auto"/>
                <w:sz w:val="24"/>
                <w:szCs w:val="24"/>
                <w:highlight w:val="none"/>
                <w:lang w:val="en-US" w:eastAsia="zh-CN"/>
              </w:rPr>
              <w:t>干法</w:t>
            </w:r>
            <w:r>
              <w:rPr>
                <w:rFonts w:hint="default" w:ascii="Times New Roman" w:hAnsi="Times New Roman" w:eastAsia="宋体" w:cs="Times New Roman"/>
                <w:color w:val="auto"/>
                <w:sz w:val="24"/>
                <w:szCs w:val="24"/>
                <w:highlight w:val="none"/>
                <w:lang w:eastAsia="zh-CN"/>
              </w:rPr>
              <w:t>破碎，此段工序会产生破碎粉尘废气，破碎过程产生的粉尘量参照《第二次全国污染源普查产排污核算系数手册》中的"4220 非金属废料和碎屑加工处理行业系数表-4220 非金属废料和碎屑加工处理行业系数表"进行计算。根据</w:t>
            </w:r>
            <w:r>
              <w:rPr>
                <w:rFonts w:hint="default" w:ascii="Times New Roman" w:hAnsi="Times New Roman" w:eastAsia="宋体" w:cs="Times New Roman"/>
                <w:color w:val="auto"/>
                <w:sz w:val="24"/>
                <w:szCs w:val="24"/>
                <w:highlight w:val="none"/>
                <w:lang w:val="en-US" w:eastAsia="zh-CN"/>
              </w:rPr>
              <w:t>建设单位提供资料，塑料中各材质比例为PP35%、ABS20%、HIPS20%、PE20%、PA5%。废塑料需</w:t>
            </w:r>
            <w:r>
              <w:rPr>
                <w:rFonts w:hint="eastAsia" w:cs="Times New Roman"/>
                <w:color w:val="auto"/>
                <w:sz w:val="24"/>
                <w:szCs w:val="24"/>
                <w:highlight w:val="none"/>
                <w:lang w:val="en-US" w:eastAsia="zh-CN"/>
              </w:rPr>
              <w:t>干法</w:t>
            </w:r>
            <w:r>
              <w:rPr>
                <w:rFonts w:hint="default" w:ascii="Times New Roman" w:hAnsi="Times New Roman" w:eastAsia="宋体" w:cs="Times New Roman"/>
                <w:color w:val="auto"/>
                <w:sz w:val="24"/>
                <w:szCs w:val="24"/>
                <w:highlight w:val="none"/>
                <w:lang w:val="en-US" w:eastAsia="zh-CN"/>
              </w:rPr>
              <w:t>破碎的料约为</w:t>
            </w:r>
            <w:r>
              <w:rPr>
                <w:rFonts w:hint="eastAsia" w:cs="Times New Roman"/>
                <w:color w:val="auto"/>
                <w:sz w:val="24"/>
                <w:szCs w:val="24"/>
                <w:highlight w:val="none"/>
                <w:lang w:val="en-US" w:eastAsia="zh-CN"/>
              </w:rPr>
              <w:t>35875吨/a</w:t>
            </w:r>
            <w:r>
              <w:rPr>
                <w:rFonts w:hint="default" w:ascii="Times New Roman" w:hAnsi="Times New Roman" w:eastAsia="宋体" w:cs="Times New Roman"/>
                <w:color w:val="auto"/>
                <w:sz w:val="24"/>
                <w:szCs w:val="24"/>
                <w:highlight w:val="none"/>
                <w:lang w:val="en-US" w:eastAsia="zh-CN"/>
              </w:rPr>
              <w:t>。故</w:t>
            </w:r>
            <w:r>
              <w:rPr>
                <w:rFonts w:hint="default" w:ascii="Times New Roman" w:hAnsi="Times New Roman" w:eastAsia="宋体" w:cs="Times New Roman"/>
                <w:color w:val="auto"/>
                <w:sz w:val="24"/>
                <w:szCs w:val="24"/>
                <w:highlight w:val="none"/>
                <w:lang w:eastAsia="zh-CN"/>
              </w:rPr>
              <w:t>破碎生产线的破碎粉尘产污系数详见表4-</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p>
          <w:p w14:paraId="05583E84">
            <w:pPr>
              <w:keepNext w:val="0"/>
              <w:keepLines w:val="0"/>
              <w:suppressLineNumbers w:val="0"/>
              <w:adjustRightInd w:val="0"/>
              <w:spacing w:before="0" w:beforeAutospacing="0" w:after="0" w:afterAutospacing="0" w:line="360" w:lineRule="auto"/>
              <w:ind w:left="0" w:right="0" w:firstLine="480" w:firstLineChars="200"/>
              <w:contextualSpacing/>
              <w:jc w:val="left"/>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项目配备1</w:t>
            </w:r>
            <w:r>
              <w:rPr>
                <w:rFonts w:hint="default" w:ascii="Times New Roman" w:hAnsi="Times New Roman" w:eastAsia="宋体" w:cs="Times New Roman"/>
                <w:color w:val="auto"/>
                <w:sz w:val="24"/>
                <w:szCs w:val="24"/>
                <w:highlight w:val="none"/>
                <w:lang w:val="en-US" w:eastAsia="zh-CN"/>
              </w:rPr>
              <w:t>台</w:t>
            </w:r>
            <w:r>
              <w:rPr>
                <w:rFonts w:hint="eastAsia" w:cs="Times New Roman"/>
                <w:color w:val="auto"/>
                <w:sz w:val="24"/>
                <w:szCs w:val="24"/>
                <w:highlight w:val="none"/>
                <w:lang w:val="en-US" w:eastAsia="zh-CN"/>
              </w:rPr>
              <w:t>干式</w:t>
            </w:r>
            <w:r>
              <w:rPr>
                <w:rFonts w:hint="default" w:ascii="Times New Roman" w:hAnsi="Times New Roman" w:eastAsia="宋体" w:cs="Times New Roman"/>
                <w:color w:val="auto"/>
                <w:sz w:val="24"/>
                <w:szCs w:val="24"/>
                <w:highlight w:val="none"/>
                <w:lang w:val="en-US" w:eastAsia="zh-CN"/>
              </w:rPr>
              <w:t>破碎机，</w:t>
            </w:r>
            <w:r>
              <w:rPr>
                <w:rFonts w:hint="eastAsia" w:ascii="Times New Roman" w:hAnsi="Times New Roman" w:eastAsia="宋体" w:cs="Times New Roman"/>
                <w:color w:val="auto"/>
                <w:sz w:val="24"/>
                <w:szCs w:val="24"/>
                <w:highlight w:val="none"/>
                <w:lang w:val="en-US" w:eastAsia="zh-CN"/>
              </w:rPr>
              <w:t>干法破碎工序在破碎机上方设置负压集气罩，</w:t>
            </w:r>
            <w:r>
              <w:rPr>
                <w:rFonts w:hint="default" w:ascii="Times New Roman" w:hAnsi="Times New Roman" w:eastAsia="宋体" w:cs="Times New Roman"/>
                <w:color w:val="auto"/>
                <w:sz w:val="24"/>
                <w:szCs w:val="24"/>
                <w:highlight w:val="none"/>
                <w:lang w:val="en-US" w:eastAsia="zh-CN"/>
              </w:rPr>
              <w:t>集气罩依据《排风罩的分类及技术条件》（GB/T16758）相关要求进行设计，采用</w:t>
            </w:r>
            <w:r>
              <w:rPr>
                <w:rFonts w:hint="eastAsia" w:ascii="Times New Roman" w:hAnsi="Times New Roman" w:eastAsia="宋体" w:cs="Times New Roman"/>
                <w:color w:val="auto"/>
                <w:sz w:val="24"/>
                <w:szCs w:val="24"/>
                <w:highlight w:val="none"/>
                <w:lang w:val="en-US" w:eastAsia="zh-CN"/>
              </w:rPr>
              <w:t>负压集气罩</w:t>
            </w:r>
            <w:r>
              <w:rPr>
                <w:rFonts w:hint="default" w:ascii="Times New Roman" w:hAnsi="Times New Roman" w:eastAsia="宋体" w:cs="Times New Roman"/>
                <w:color w:val="auto"/>
                <w:sz w:val="24"/>
                <w:szCs w:val="24"/>
                <w:highlight w:val="none"/>
                <w:lang w:val="en-US" w:eastAsia="zh-CN"/>
              </w:rPr>
              <w:t>配备合理吸风量风机，保证集气设施吸风口的负压大小与预期的捕集范围相匹配，不留吸风盲点，保证集气设施内各处负压均匀（集气罩最小风速控制≥1.0m/s）</w:t>
            </w:r>
            <w:r>
              <w:rPr>
                <w:rFonts w:hint="eastAsia" w:ascii="Times New Roman" w:hAnsi="Times New Roman" w:eastAsia="宋体" w:cs="Times New Roman"/>
                <w:color w:val="auto"/>
                <w:sz w:val="24"/>
                <w:szCs w:val="24"/>
                <w:highlight w:val="none"/>
                <w:lang w:val="en-US" w:eastAsia="zh-CN"/>
              </w:rPr>
              <w:t>。</w:t>
            </w:r>
          </w:p>
          <w:p w14:paraId="253872BD">
            <w:pPr>
              <w:keepNext w:val="0"/>
              <w:keepLines w:val="0"/>
              <w:suppressLineNumbers w:val="0"/>
              <w:adjustRightInd w:val="0"/>
              <w:spacing w:before="0" w:beforeAutospacing="0" w:after="0" w:afterAutospacing="0" w:line="360" w:lineRule="auto"/>
              <w:ind w:left="0" w:right="0" w:firstLine="480" w:firstLineChars="200"/>
              <w:contextualSpacing/>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风量设计采用控制速度法，依据《简明通风设计手册》（第二版）及《工业通风》（孙一坚主编）中关于外部吸气罩的设计方法。根据该方法，集气罩排风量按公式：</w:t>
            </w:r>
          </w:p>
          <w:p w14:paraId="65FC8A5A">
            <w:pPr>
              <w:keepNext w:val="0"/>
              <w:keepLines w:val="0"/>
              <w:suppressLineNumbers w:val="0"/>
              <w:adjustRightInd w:val="0"/>
              <w:spacing w:before="0" w:beforeAutospacing="0" w:after="0" w:afterAutospacing="0" w:line="360" w:lineRule="auto"/>
              <w:ind w:left="0" w:right="0" w:firstLine="480" w:firstLineChars="200"/>
              <w:contextualSpacing/>
              <w:jc w:val="lef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Q</w:t>
            </w:r>
            <w:r>
              <w:rPr>
                <w:rFonts w:hint="default" w:ascii="Times New Roman" w:hAnsi="Times New Roman" w:eastAsia="宋体" w:cs="Times New Roman"/>
                <w:color w:val="auto"/>
                <w:sz w:val="24"/>
                <w:szCs w:val="24"/>
                <w:highlight w:val="none"/>
                <w:lang w:val="en-US" w:eastAsia="zh-CN"/>
              </w:rPr>
              <w:t>=Vx⋅F⋅3600(m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14:paraId="4B377C09">
            <w:pPr>
              <w:keepNext w:val="0"/>
              <w:keepLines w:val="0"/>
              <w:suppressLineNumbers w:val="0"/>
              <w:adjustRightInd w:val="0"/>
              <w:spacing w:before="0" w:beforeAutospacing="0" w:after="0" w:afterAutospacing="0" w:line="360" w:lineRule="auto"/>
              <w:ind w:left="0" w:right="0" w:firstLine="480" w:firstLineChars="200"/>
              <w:contextualSpacing/>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计算，其中有效吸气面积</w:t>
            </w:r>
            <w:r>
              <w:rPr>
                <w:rFonts w:hint="default" w:ascii="Times New Roman" w:hAnsi="Times New Roman" w:eastAsia="宋体" w:cs="Times New Roman"/>
                <w:color w:val="auto"/>
                <w:sz w:val="24"/>
                <w:szCs w:val="24"/>
                <w:highlight w:val="none"/>
                <w:lang w:val="en-US" w:eastAsia="zh-CN"/>
              </w:rPr>
              <w:t>F=A+10X</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superscript"/>
                <w:lang w:val="en-US" w:eastAsia="zh-CN"/>
              </w:rPr>
              <w:t xml:space="preserve"> </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为扬尘源开口面积，</w:t>
            </w:r>
            <w:r>
              <w:rPr>
                <w:rFonts w:hint="default" w:ascii="Times New Roman" w:hAnsi="Times New Roman" w:eastAsia="宋体" w:cs="Times New Roman"/>
                <w:color w:val="auto"/>
                <w:sz w:val="24"/>
                <w:szCs w:val="24"/>
                <w:highlight w:val="none"/>
                <w:lang w:val="en-US" w:eastAsia="zh-CN"/>
              </w:rPr>
              <w:t>X</w:t>
            </w:r>
            <w:r>
              <w:rPr>
                <w:rFonts w:hint="eastAsia" w:ascii="Times New Roman" w:hAnsi="Times New Roman" w:eastAsia="宋体" w:cs="Times New Roman"/>
                <w:color w:val="auto"/>
                <w:sz w:val="24"/>
                <w:szCs w:val="24"/>
                <w:highlight w:val="none"/>
                <w:lang w:val="en-US" w:eastAsia="zh-CN"/>
              </w:rPr>
              <w:t>为罩口至扬尘点距离）。本项目破碎机进料口尺寸为1.0 m × 0.8 m（即</w:t>
            </w:r>
            <w:r>
              <w:rPr>
                <w:rFonts w:hint="default" w:ascii="Times New Roman" w:hAnsi="Times New Roman" w:eastAsia="宋体" w:cs="Times New Roman"/>
                <w:color w:val="auto"/>
                <w:sz w:val="24"/>
                <w:szCs w:val="24"/>
                <w:highlight w:val="none"/>
                <w:lang w:val="en-US" w:eastAsia="zh-CN"/>
              </w:rPr>
              <w:t>A=0.8 m</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），集气罩控制距离取</w:t>
            </w:r>
            <w:r>
              <w:rPr>
                <w:rFonts w:hint="default" w:ascii="Times New Roman" w:hAnsi="Times New Roman" w:eastAsia="宋体" w:cs="Times New Roman"/>
                <w:color w:val="auto"/>
                <w:sz w:val="24"/>
                <w:szCs w:val="24"/>
                <w:highlight w:val="none"/>
                <w:lang w:val="en-US" w:eastAsia="zh-CN"/>
              </w:rPr>
              <w:t>X=0.4 m</w:t>
            </w:r>
            <w:r>
              <w:rPr>
                <w:rFonts w:hint="eastAsia" w:ascii="Times New Roman" w:hAnsi="Times New Roman" w:eastAsia="宋体" w:cs="Times New Roman"/>
                <w:color w:val="auto"/>
                <w:sz w:val="24"/>
                <w:szCs w:val="24"/>
                <w:highlight w:val="none"/>
                <w:lang w:val="en-US" w:eastAsia="zh-CN"/>
              </w:rPr>
              <w:t>，控制风速参考手册中“中等扬尘强度”推荐值，取</w:t>
            </w:r>
            <w:r>
              <w:rPr>
                <w:rFonts w:hint="default" w:ascii="Times New Roman" w:hAnsi="Times New Roman" w:eastAsia="宋体" w:cs="Times New Roman"/>
                <w:color w:val="auto"/>
                <w:sz w:val="24"/>
                <w:szCs w:val="24"/>
                <w:highlight w:val="none"/>
                <w:lang w:val="en-US" w:eastAsia="zh-CN"/>
              </w:rPr>
              <w:t>Vx=0.8 m/s</w:t>
            </w:r>
            <w:r>
              <w:rPr>
                <w:rFonts w:hint="eastAsia" w:ascii="Times New Roman" w:hAnsi="Times New Roman" w:eastAsia="宋体" w:cs="Times New Roman"/>
                <w:color w:val="auto"/>
                <w:sz w:val="24"/>
                <w:szCs w:val="24"/>
                <w:highlight w:val="none"/>
                <w:lang w:val="en-US" w:eastAsia="zh-CN"/>
              </w:rPr>
              <w:t>（范围 0.6～1.0 m/s）。代入得：</w:t>
            </w:r>
          </w:p>
          <w:p w14:paraId="5226626B">
            <w:pPr>
              <w:keepNext w:val="0"/>
              <w:keepLines w:val="0"/>
              <w:suppressLineNumbers w:val="0"/>
              <w:adjustRightInd w:val="0"/>
              <w:spacing w:before="0" w:beforeAutospacing="0" w:after="0" w:afterAutospacing="0" w:line="360" w:lineRule="auto"/>
              <w:ind w:left="0" w:right="0" w:firstLine="480" w:firstLineChars="200"/>
              <w:contextualSpacing/>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F=0.8+10×(0.4)</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=2.4 m</w:t>
            </w:r>
            <w:r>
              <w:rPr>
                <w:rFonts w:hint="default" w:ascii="Times New Roman" w:hAnsi="Times New Roman" w:eastAsia="宋体" w:cs="Times New Roman"/>
                <w:color w:val="auto"/>
                <w:sz w:val="24"/>
                <w:szCs w:val="24"/>
                <w:highlight w:val="none"/>
                <w:vertAlign w:val="superscript"/>
                <w:lang w:val="en-US" w:eastAsia="zh-CN"/>
              </w:rPr>
              <w:t>2</w:t>
            </w:r>
          </w:p>
          <w:p w14:paraId="6566FBCC">
            <w:pPr>
              <w:keepNext w:val="0"/>
              <w:keepLines w:val="0"/>
              <w:suppressLineNumbers w:val="0"/>
              <w:adjustRightInd w:val="0"/>
              <w:spacing w:before="0" w:beforeAutospacing="0" w:after="0" w:afterAutospacing="0" w:line="360" w:lineRule="auto"/>
              <w:ind w:left="0" w:right="0" w:firstLine="480" w:firstLineChars="200"/>
              <w:contextualSpacing/>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Q=0.8×2.4×3600=6912 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14:paraId="3D957FA9">
            <w:pPr>
              <w:keepNext w:val="0"/>
              <w:keepLines w:val="0"/>
              <w:suppressLineNumbers w:val="0"/>
              <w:adjustRightInd w:val="0"/>
              <w:spacing w:before="0" w:beforeAutospacing="0" w:after="0" w:afterAutospacing="0" w:line="360" w:lineRule="auto"/>
              <w:ind w:left="0" w:right="0" w:firstLine="480" w:firstLineChars="200"/>
              <w:contextualSpacing/>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F=0.8+10×(0.4)</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=2.4m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,Q=0.8×2.4×3600=6912m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14:paraId="6175C126">
            <w:pPr>
              <w:keepNext w:val="0"/>
              <w:keepLines w:val="0"/>
              <w:suppressLineNumbers w:val="0"/>
              <w:spacing w:before="0" w:beforeAutospacing="0" w:after="0" w:afterAutospacing="0"/>
              <w:ind w:left="0" w:right="0" w:firstLine="480" w:firstLineChars="200"/>
              <w:rPr>
                <w:rFonts w:hint="eastAsia"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考虑系统漏风及运行波动，增加15% 安全裕度，最终设计风量取 8000 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/h。</w:t>
            </w:r>
          </w:p>
          <w:p w14:paraId="753C5917">
            <w:pPr>
              <w:tabs>
                <w:tab w:val="left" w:pos="0"/>
              </w:tabs>
              <w:ind w:left="40" w:firstLine="480" w:firstLineChars="200"/>
              <w:rPr>
                <w:rFonts w:hint="eastAsia"/>
                <w:color w:val="auto"/>
                <w:highlight w:val="none"/>
              </w:rPr>
            </w:pPr>
            <w:r>
              <w:rPr>
                <w:rFonts w:hint="default" w:ascii="Times New Roman" w:hAnsi="Times New Roman" w:eastAsia="宋体" w:cs="Times New Roman"/>
                <w:color w:val="auto"/>
                <w:sz w:val="24"/>
                <w:highlight w:val="none"/>
              </w:rPr>
              <w:t>考虑在实际生产过程中，收集管路、处理设备风量损耗，</w:t>
            </w:r>
            <w:r>
              <w:rPr>
                <w:rFonts w:hint="eastAsia" w:cs="Times New Roman"/>
                <w:color w:val="auto"/>
                <w:sz w:val="24"/>
                <w:highlight w:val="none"/>
                <w:lang w:val="en-US" w:eastAsia="zh-CN"/>
              </w:rPr>
              <w:t>顶式集气罩相应工位所有粉尘逸散点控制风速不小于0.5m/s，参照《广东省工业源挥发性有机物减排量核算方法（试行）》，</w:t>
            </w:r>
            <w:r>
              <w:rPr>
                <w:rFonts w:hint="default" w:ascii="Times New Roman" w:hAnsi="Times New Roman" w:eastAsia="宋体" w:cs="Times New Roman"/>
                <w:color w:val="auto"/>
                <w:sz w:val="24"/>
                <w:highlight w:val="none"/>
              </w:rPr>
              <w:t>本</w:t>
            </w:r>
            <w:r>
              <w:rPr>
                <w:rFonts w:hint="default" w:ascii="Times New Roman" w:hAnsi="Times New Roman" w:eastAsia="宋体" w:cs="Times New Roman"/>
                <w:color w:val="auto"/>
                <w:sz w:val="24"/>
                <w:szCs w:val="24"/>
                <w:highlight w:val="none"/>
                <w:lang w:val="en-US" w:eastAsia="zh-CN"/>
              </w:rPr>
              <w:t>项目干法破碎粉尘的集气罩收集效率取值为</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。参</w:t>
            </w:r>
            <w:r>
              <w:rPr>
                <w:rFonts w:hint="default" w:ascii="Times New Roman" w:hAnsi="Times New Roman" w:eastAsia="宋体" w:cs="Times New Roman"/>
                <w:color w:val="auto"/>
                <w:highlight w:val="none"/>
                <w:lang w:val="en-US" w:eastAsia="zh-CN"/>
              </w:rPr>
              <w:t>考《袋式除尘器技术要求》（</w:t>
            </w:r>
            <w:r>
              <w:rPr>
                <w:rFonts w:hint="eastAsia" w:cs="Times New Roman"/>
                <w:color w:val="auto"/>
                <w:highlight w:val="none"/>
                <w:lang w:val="en-US" w:eastAsia="zh-CN"/>
              </w:rPr>
              <w:t>GB</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T6719-2009</w:t>
            </w:r>
            <w:r>
              <w:rPr>
                <w:rFonts w:hint="default" w:ascii="Times New Roman" w:hAnsi="Times New Roman" w:eastAsia="宋体" w:cs="Times New Roman"/>
                <w:color w:val="auto"/>
                <w:highlight w:val="none"/>
                <w:lang w:val="en-US" w:eastAsia="zh-CN"/>
              </w:rPr>
              <w:t>），滤料的除尘效率应达到99.</w:t>
            </w:r>
            <w:r>
              <w:rPr>
                <w:rFonts w:hint="eastAsia" w:cs="Times New Roman"/>
                <w:color w:val="auto"/>
                <w:highlight w:val="none"/>
                <w:lang w:val="en-US" w:eastAsia="zh-CN"/>
              </w:rPr>
              <w:t>3</w:t>
            </w:r>
            <w:r>
              <w:rPr>
                <w:rFonts w:hint="default" w:ascii="Times New Roman" w:hAnsi="Times New Roman" w:eastAsia="宋体" w:cs="Times New Roman"/>
                <w:color w:val="auto"/>
                <w:highlight w:val="none"/>
                <w:lang w:val="en-US" w:eastAsia="zh-CN"/>
              </w:rPr>
              <w:t>%以上，</w:t>
            </w:r>
            <w:r>
              <w:rPr>
                <w:rFonts w:hint="default" w:ascii="Times New Roman" w:hAnsi="Times New Roman" w:cs="Times New Roman"/>
                <w:color w:val="auto"/>
                <w:sz w:val="24"/>
                <w:szCs w:val="24"/>
                <w:highlight w:val="none"/>
              </w:rPr>
              <w:t>环评在核算时则按照9</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%去除效率来核算粉尘排放量</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收集的粉尘经布袋除尘器处理后通过1</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m排气筒（DA001）排放。</w:t>
            </w:r>
          </w:p>
          <w:p w14:paraId="144C6608">
            <w:pPr>
              <w:tabs>
                <w:tab w:val="left" w:pos="0"/>
              </w:tabs>
              <w:ind w:left="40" w:firstLine="480" w:firstLineChars="200"/>
              <w:rPr>
                <w:rFonts w:hint="default" w:eastAsia="宋体"/>
                <w:b/>
                <w:bCs/>
                <w:color w:val="auto"/>
                <w:highlight w:val="none"/>
                <w:lang w:val="en-US" w:eastAsia="zh-CN"/>
              </w:rPr>
            </w:pPr>
            <w:r>
              <w:rPr>
                <w:rFonts w:hint="eastAsia"/>
                <w:b/>
                <w:bCs/>
                <w:color w:val="auto"/>
                <w:highlight w:val="none"/>
              </w:rPr>
              <w:t>（</w:t>
            </w:r>
            <w:r>
              <w:rPr>
                <w:rFonts w:hint="eastAsia"/>
                <w:b/>
                <w:bCs/>
                <w:color w:val="auto"/>
                <w:highlight w:val="none"/>
                <w:lang w:val="en-US" w:eastAsia="zh-CN"/>
              </w:rPr>
              <w:t>2</w:t>
            </w:r>
            <w:r>
              <w:rPr>
                <w:rFonts w:hint="eastAsia"/>
                <w:b/>
                <w:bCs/>
                <w:color w:val="auto"/>
                <w:highlight w:val="none"/>
              </w:rPr>
              <w:t>）</w:t>
            </w:r>
            <w:r>
              <w:rPr>
                <w:rFonts w:hint="eastAsia"/>
                <w:b/>
                <w:bCs/>
                <w:color w:val="auto"/>
                <w:highlight w:val="none"/>
                <w:lang w:val="en-US" w:eastAsia="zh-CN"/>
              </w:rPr>
              <w:t>造粒废气</w:t>
            </w:r>
          </w:p>
          <w:p w14:paraId="1A770B39">
            <w:pPr>
              <w:adjustRightInd w:val="0"/>
              <w:ind w:firstLine="480" w:firstLineChars="200"/>
              <w:contextualSpacing/>
              <w:jc w:val="left"/>
              <w:rPr>
                <w:rFonts w:hint="default"/>
                <w:color w:val="auto"/>
                <w:highlight w:val="none"/>
              </w:rPr>
            </w:pPr>
            <w:r>
              <w:rPr>
                <w:rFonts w:hint="default"/>
                <w:color w:val="auto"/>
                <w:highlight w:val="none"/>
              </w:rPr>
              <w:t>本项目造粒使用的原料为无毒、无臭、无味的高结晶的聚合物。</w:t>
            </w:r>
          </w:p>
          <w:p w14:paraId="101D7F0F">
            <w:pPr>
              <w:adjustRightInd w:val="0"/>
              <w:ind w:firstLine="480" w:firstLineChars="200"/>
              <w:contextualSpacing/>
              <w:jc w:val="left"/>
              <w:rPr>
                <w:rFonts w:hint="default"/>
                <w:color w:val="auto"/>
                <w:highlight w:val="none"/>
                <w:lang w:val="en-US" w:eastAsia="zh-CN"/>
              </w:rPr>
            </w:pPr>
            <w:r>
              <w:rPr>
                <w:rFonts w:hint="default"/>
                <w:color w:val="auto"/>
                <w:highlight w:val="none"/>
              </w:rPr>
              <w:t>为防止熔融时塑料裂解，造粒机</w:t>
            </w:r>
            <w:r>
              <w:rPr>
                <w:rFonts w:hint="default"/>
                <w:color w:val="auto"/>
                <w:highlight w:val="none"/>
                <w:lang w:eastAsia="zh-CN"/>
              </w:rPr>
              <w:t>根据进料的塑料种类不同</w:t>
            </w:r>
            <w:r>
              <w:rPr>
                <w:rFonts w:hint="default"/>
                <w:color w:val="auto"/>
                <w:highlight w:val="none"/>
              </w:rPr>
              <w:t>利用自动恒温控制系统将温度控制在</w:t>
            </w:r>
            <w:r>
              <w:rPr>
                <w:rFonts w:hint="default"/>
                <w:color w:val="auto"/>
                <w:highlight w:val="none"/>
                <w:lang w:eastAsia="zh-CN"/>
              </w:rPr>
              <w:t>每种塑料的熔解温度左右防止发生裂解，</w:t>
            </w:r>
            <w:r>
              <w:rPr>
                <w:rFonts w:hint="default" w:ascii="Times New Roman" w:hAnsi="Times New Roman" w:eastAsia="宋体" w:cs="Times New Roman"/>
                <w:color w:val="auto"/>
                <w:sz w:val="24"/>
                <w:szCs w:val="24"/>
                <w:highlight w:val="none"/>
              </w:rPr>
              <w:t>PP控制在180℃、P</w:t>
            </w:r>
            <w:r>
              <w:rPr>
                <w:rFonts w:hint="eastAsia" w:cs="Times New Roman"/>
                <w:color w:val="auto"/>
                <w:sz w:val="24"/>
                <w:szCs w:val="24"/>
                <w:highlight w:val="none"/>
                <w:lang w:val="en-US" w:eastAsia="zh-CN"/>
              </w:rPr>
              <w:t>E</w:t>
            </w:r>
            <w:r>
              <w:rPr>
                <w:rFonts w:hint="default" w:ascii="Times New Roman" w:hAnsi="Times New Roman" w:eastAsia="宋体" w:cs="Times New Roman"/>
                <w:color w:val="auto"/>
                <w:sz w:val="24"/>
                <w:szCs w:val="24"/>
                <w:highlight w:val="none"/>
              </w:rPr>
              <w:t>控制在</w:t>
            </w:r>
            <w:r>
              <w:rPr>
                <w:rFonts w:hint="eastAsia"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rPr>
              <w:t>0℃、</w:t>
            </w:r>
            <w:r>
              <w:rPr>
                <w:rFonts w:hint="eastAsia" w:cs="Times New Roman"/>
                <w:color w:val="auto"/>
                <w:sz w:val="24"/>
                <w:szCs w:val="24"/>
                <w:highlight w:val="none"/>
                <w:lang w:val="en-US" w:eastAsia="zh-CN"/>
              </w:rPr>
              <w:t>HIPS</w:t>
            </w:r>
            <w:r>
              <w:rPr>
                <w:rFonts w:hint="default" w:ascii="Times New Roman" w:hAnsi="Times New Roman" w:eastAsia="宋体" w:cs="Times New Roman"/>
                <w:color w:val="auto"/>
                <w:sz w:val="24"/>
                <w:szCs w:val="24"/>
                <w:highlight w:val="none"/>
              </w:rPr>
              <w:t>控制在220℃、ABS控制在220℃</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PA</w:t>
            </w:r>
            <w:r>
              <w:rPr>
                <w:rFonts w:hint="default" w:ascii="Times New Roman" w:hAnsi="Times New Roman" w:eastAsia="宋体" w:cs="Times New Roman"/>
                <w:color w:val="auto"/>
                <w:sz w:val="24"/>
                <w:szCs w:val="24"/>
                <w:highlight w:val="none"/>
              </w:rPr>
              <w:t>控制在2</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w:t>
            </w:r>
          </w:p>
          <w:p w14:paraId="0227633E">
            <w:pPr>
              <w:adjustRightInd w:val="0"/>
              <w:ind w:firstLine="480" w:firstLineChars="200"/>
              <w:contextualSpacing/>
              <w:jc w:val="left"/>
              <w:rPr>
                <w:rFonts w:hint="default" w:eastAsia="宋体"/>
                <w:color w:val="auto"/>
                <w:highlight w:val="none"/>
                <w:lang w:val="en-US" w:eastAsia="zh-CN"/>
              </w:rPr>
            </w:pPr>
            <w:r>
              <w:rPr>
                <w:rFonts w:hint="default"/>
                <w:color w:val="auto"/>
                <w:highlight w:val="none"/>
              </w:rPr>
              <w:t>因此，原料在造粒机加热温度远低于原材料的分解温度，故</w:t>
            </w:r>
            <w:r>
              <w:rPr>
                <w:rFonts w:hint="default"/>
                <w:color w:val="auto"/>
                <w:highlight w:val="none"/>
                <w:lang w:val="en-US" w:eastAsia="zh-CN"/>
              </w:rPr>
              <w:t>造粒</w:t>
            </w:r>
            <w:r>
              <w:rPr>
                <w:rFonts w:hint="default"/>
                <w:color w:val="auto"/>
                <w:highlight w:val="none"/>
              </w:rPr>
              <w:t>过程塑料粒不会被大量分解，ABS料、PS料、PP料、PE料、PA料加热注塑工作温度约200℃（ABS料熔点约170℃，热分解温度260℃以上；PS料熔点约为166℃，分解温度290℃以上；PP料熔点为150~176℃，分解温度为350~3.80℃；PE料熔点为110~135℃，分解温度320~350℃；PA料熔点为210~225℃，分解温度约300℃以上），生产控制温度均低于各原材料热解温度，仅为物理熔化过程，不发生热分解反应。ABS料加热过程中理论上不会产生苯乙烯、丙烯腈、1,3-丁二烯、甲苯、乙苯等废气；PS料加热过程中理论上不会产生苯乙烯、甲苯、乙苯等废气；PP料加热过程中理论上不会产生乙醛等废气；PE料加热过程中理论上无特征裂解污染物产生，仅微量逸散非甲烷总烃；PA料加热过程中理论上不会产生己内酰胺、胺类等废气</w:t>
            </w:r>
            <w:r>
              <w:rPr>
                <w:rFonts w:hint="eastAsia"/>
                <w:color w:val="auto"/>
                <w:highlight w:val="none"/>
                <w:lang w:eastAsia="zh-CN"/>
              </w:rPr>
              <w:t>，</w:t>
            </w:r>
            <w:r>
              <w:rPr>
                <w:rFonts w:hint="default"/>
                <w:color w:val="auto"/>
                <w:highlight w:val="none"/>
              </w:rPr>
              <w:t>不会有大量的</w:t>
            </w:r>
            <w:r>
              <w:rPr>
                <w:rFonts w:hint="eastAsia"/>
                <w:color w:val="auto"/>
                <w:highlight w:val="none"/>
                <w:lang w:val="en-US" w:eastAsia="zh-CN"/>
              </w:rPr>
              <w:t>甲苯、乙苯、</w:t>
            </w:r>
            <w:r>
              <w:rPr>
                <w:rFonts w:hint="default"/>
                <w:color w:val="auto"/>
                <w:highlight w:val="none"/>
              </w:rPr>
              <w:t>氨、苯乙烯、</w:t>
            </w:r>
            <w:r>
              <w:rPr>
                <w:rFonts w:hint="default"/>
                <w:color w:val="auto"/>
                <w:highlight w:val="none"/>
                <w:lang w:eastAsia="zh-CN"/>
              </w:rPr>
              <w:t>丙烯腈</w:t>
            </w:r>
            <w:r>
              <w:rPr>
                <w:rFonts w:hint="default"/>
                <w:color w:val="auto"/>
                <w:highlight w:val="none"/>
              </w:rPr>
              <w:t>、1</w:t>
            </w:r>
            <w:r>
              <w:rPr>
                <w:rFonts w:hint="default"/>
                <w:color w:val="auto"/>
                <w:highlight w:val="none"/>
                <w:lang w:eastAsia="zh-CN"/>
              </w:rPr>
              <w:t>，</w:t>
            </w:r>
            <w:r>
              <w:rPr>
                <w:rFonts w:hint="default"/>
                <w:color w:val="auto"/>
                <w:highlight w:val="none"/>
              </w:rPr>
              <w:t>3-丁二烯、</w:t>
            </w:r>
            <w:r>
              <w:rPr>
                <w:rFonts w:hint="eastAsia"/>
                <w:color w:val="auto"/>
                <w:highlight w:val="none"/>
                <w:lang w:val="en-US" w:eastAsia="zh-CN"/>
              </w:rPr>
              <w:t>己内酰胺、胺类</w:t>
            </w:r>
            <w:r>
              <w:rPr>
                <w:rFonts w:hint="default"/>
                <w:color w:val="auto"/>
                <w:highlight w:val="none"/>
                <w:lang w:val="en-US" w:eastAsia="zh-CN"/>
              </w:rPr>
              <w:t>等</w:t>
            </w:r>
            <w:r>
              <w:rPr>
                <w:rFonts w:hint="default"/>
                <w:color w:val="auto"/>
                <w:highlight w:val="none"/>
              </w:rPr>
              <w:t>产生，仅有少量低分子塑料粒子散发</w:t>
            </w:r>
            <w:r>
              <w:rPr>
                <w:rFonts w:hint="default"/>
                <w:color w:val="auto"/>
                <w:highlight w:val="none"/>
                <w:lang w:eastAsia="zh-CN"/>
              </w:rPr>
              <w:t>，</w:t>
            </w:r>
            <w:r>
              <w:rPr>
                <w:rFonts w:hint="default"/>
                <w:color w:val="auto"/>
                <w:highlight w:val="none"/>
              </w:rPr>
              <w:t>本次评价均以非甲烷总烃进行表征主要以非甲烷总烃表征。</w:t>
            </w:r>
            <w:r>
              <w:rPr>
                <w:rFonts w:hint="default"/>
                <w:color w:val="auto"/>
                <w:highlight w:val="none"/>
                <w:lang w:eastAsia="zh-CN"/>
              </w:rPr>
              <w:t>本项目源强核算</w:t>
            </w:r>
            <w:r>
              <w:rPr>
                <w:rFonts w:hint="default"/>
                <w:color w:val="auto"/>
                <w:highlight w:val="none"/>
              </w:rPr>
              <w:t>以非甲烷总烃计。</w:t>
            </w:r>
            <w:r>
              <w:rPr>
                <w:rFonts w:hint="default"/>
                <w:color w:val="auto"/>
                <w:highlight w:val="none"/>
                <w:lang w:eastAsia="zh-CN"/>
              </w:rPr>
              <w:t>本项目造粒</w:t>
            </w:r>
            <w:r>
              <w:rPr>
                <w:rFonts w:hint="default"/>
                <w:color w:val="auto"/>
                <w:highlight w:val="none"/>
              </w:rPr>
              <w:t>有机废气</w:t>
            </w:r>
            <w:r>
              <w:rPr>
                <w:rFonts w:hint="default"/>
                <w:color w:val="auto"/>
                <w:highlight w:val="none"/>
                <w:lang w:eastAsia="zh-CN"/>
              </w:rPr>
              <w:t>产生量核算</w:t>
            </w:r>
            <w:r>
              <w:rPr>
                <w:rFonts w:hint="default"/>
                <w:color w:val="auto"/>
                <w:highlight w:val="none"/>
              </w:rPr>
              <w:t>（以非甲烷总烃计）参照</w:t>
            </w:r>
            <w:r>
              <w:rPr>
                <w:rFonts w:hint="default"/>
                <w:color w:val="auto"/>
                <w:highlight w:val="none"/>
                <w:lang w:eastAsia="zh-CN"/>
              </w:rPr>
              <w:t>《第二次全国污染源普查产排污核算系数手册》中的"4220 非金属废料和碎屑加工处理行业系数表-4220 非金属废料和碎屑加工处理行业系数表"</w:t>
            </w:r>
            <w:r>
              <w:rPr>
                <w:rFonts w:hint="default"/>
                <w:color w:val="auto"/>
                <w:highlight w:val="none"/>
                <w:lang w:val="en-US" w:eastAsia="zh-CN"/>
              </w:rPr>
              <w:t>，</w:t>
            </w:r>
            <w:r>
              <w:rPr>
                <w:rFonts w:hint="default"/>
                <w:color w:val="auto"/>
                <w:highlight w:val="none"/>
              </w:rPr>
              <w:t>造粒废气的产污系数详见表4</w:t>
            </w:r>
            <w:r>
              <w:rPr>
                <w:color w:val="auto"/>
                <w:highlight w:val="none"/>
              </w:rPr>
              <w:t>-</w:t>
            </w:r>
            <w:r>
              <w:rPr>
                <w:rFonts w:hint="eastAsia"/>
                <w:color w:val="auto"/>
                <w:highlight w:val="none"/>
                <w:lang w:val="en-US" w:eastAsia="zh-CN"/>
              </w:rPr>
              <w:t>1</w:t>
            </w:r>
            <w:r>
              <w:rPr>
                <w:color w:val="auto"/>
                <w:highlight w:val="none"/>
              </w:rPr>
              <w:t>。</w:t>
            </w:r>
          </w:p>
          <w:p w14:paraId="168F1595">
            <w:pPr>
              <w:adjustRightInd w:val="0"/>
              <w:ind w:firstLine="480" w:firstLineChars="200"/>
              <w:contextualSpacing/>
              <w:jc w:val="left"/>
              <w:rPr>
                <w:rFonts w:hint="eastAsia"/>
                <w:color w:val="auto"/>
                <w:highlight w:val="none"/>
              </w:rPr>
            </w:pPr>
            <w:r>
              <w:rPr>
                <w:rFonts w:hint="eastAsia"/>
                <w:color w:val="auto"/>
                <w:highlight w:val="none"/>
                <w:lang w:val="en-US" w:eastAsia="zh-CN"/>
              </w:rPr>
              <w:t>本项目烟尘（颗粒物）产生量根据《空气污染物排放和控制手册》（美国环境保护局）推荐的排放系数，废塑料熔融产生的颗粒物排放系数取0.05kg/t原料。本项目挤出造粒工序年加工废塑料30466.1t，则废塑料挤出造粒工序产生的粉尘量约为1.523t/a。</w:t>
            </w:r>
            <w:r>
              <w:rPr>
                <w:rFonts w:hint="eastAsia"/>
                <w:color w:val="auto"/>
                <w:highlight w:val="none"/>
              </w:rPr>
              <w:t>造粒废气的产污系数详见表4-1。</w:t>
            </w:r>
          </w:p>
          <w:p w14:paraId="3D671F2B">
            <w:pPr>
              <w:adjustRightInd w:val="0"/>
              <w:ind w:firstLine="480" w:firstLineChars="200"/>
              <w:contextualSpacing/>
              <w:jc w:val="left"/>
              <w:rPr>
                <w:rFonts w:hint="eastAsia"/>
                <w:color w:val="auto"/>
                <w:highlight w:val="none"/>
                <w:lang w:val="en-US" w:eastAsia="zh-CN"/>
              </w:rPr>
            </w:pPr>
            <w:r>
              <w:rPr>
                <w:rFonts w:hint="eastAsia"/>
                <w:color w:val="auto"/>
                <w:highlight w:val="none"/>
                <w:lang w:eastAsia="zh-CN"/>
              </w:rPr>
              <w:t>每台造粒机设置</w:t>
            </w:r>
            <w:r>
              <w:rPr>
                <w:rFonts w:hint="eastAsia"/>
                <w:color w:val="auto"/>
                <w:highlight w:val="none"/>
                <w:lang w:val="en-US" w:eastAsia="zh-CN"/>
              </w:rPr>
              <w:t>整体</w:t>
            </w:r>
            <w:r>
              <w:rPr>
                <w:rFonts w:hint="eastAsia"/>
                <w:color w:val="auto"/>
                <w:highlight w:val="none"/>
                <w:lang w:eastAsia="zh-CN"/>
              </w:rPr>
              <w:t>密闭罩，见图</w:t>
            </w:r>
            <w:r>
              <w:rPr>
                <w:rFonts w:hint="eastAsia"/>
                <w:color w:val="auto"/>
                <w:highlight w:val="none"/>
                <w:lang w:val="en-US" w:eastAsia="zh-CN"/>
              </w:rPr>
              <w:t>4-1。密闭罩内采用负压抽吸废气，根据建设单位提供设计资料，密闭罩内容积为15m</w:t>
            </w:r>
            <w:r>
              <w:rPr>
                <w:rFonts w:hint="eastAsia"/>
                <w:color w:val="auto"/>
                <w:highlight w:val="none"/>
                <w:vertAlign w:val="superscript"/>
                <w:lang w:val="en-US" w:eastAsia="zh-CN"/>
              </w:rPr>
              <w:t>3</w:t>
            </w:r>
            <w:r>
              <w:rPr>
                <w:rFonts w:hint="eastAsia"/>
                <w:color w:val="auto"/>
                <w:highlight w:val="none"/>
                <w:lang w:val="en-US" w:eastAsia="zh-CN"/>
              </w:rPr>
              <w:t>，每个密闭罩抽吸风量为3000m</w:t>
            </w:r>
            <w:r>
              <w:rPr>
                <w:rFonts w:hint="eastAsia"/>
                <w:color w:val="auto"/>
                <w:highlight w:val="none"/>
                <w:vertAlign w:val="superscript"/>
                <w:lang w:val="en-US" w:eastAsia="zh-CN"/>
              </w:rPr>
              <w:t>3</w:t>
            </w:r>
            <w:r>
              <w:rPr>
                <w:rFonts w:hint="eastAsia"/>
                <w:color w:val="auto"/>
                <w:highlight w:val="none"/>
                <w:lang w:val="en-US" w:eastAsia="zh-CN"/>
              </w:rPr>
              <w:t>/h，每小时更换次数为200次，可做到负压抽吸，但考虑到设备出料等无法做到绝对的密闭，收集效率保守按90%计。</w:t>
            </w:r>
          </w:p>
          <w:p w14:paraId="73C41D84">
            <w:pPr>
              <w:adjustRightInd w:val="0"/>
              <w:ind w:firstLine="480" w:firstLineChars="200"/>
              <w:contextualSpacing/>
              <w:jc w:val="left"/>
              <w:rPr>
                <w:rFonts w:hint="eastAsia"/>
                <w:color w:val="auto"/>
                <w:highlight w:val="none"/>
                <w:lang w:val="en-US" w:eastAsia="zh-CN"/>
              </w:rPr>
            </w:pPr>
            <w:r>
              <w:rPr>
                <w:rFonts w:hint="eastAsia"/>
                <w:color w:val="auto"/>
                <w:highlight w:val="none"/>
                <w:lang w:val="en-US" w:eastAsia="zh-CN"/>
              </w:rPr>
              <w:t>每台造粒机设3000m</w:t>
            </w:r>
            <w:r>
              <w:rPr>
                <w:rFonts w:hint="eastAsia"/>
                <w:color w:val="auto"/>
                <w:highlight w:val="none"/>
                <w:vertAlign w:val="superscript"/>
                <w:lang w:val="en-US" w:eastAsia="zh-CN"/>
              </w:rPr>
              <w:t>3</w:t>
            </w:r>
            <w:r>
              <w:rPr>
                <w:rFonts w:hint="eastAsia"/>
                <w:color w:val="auto"/>
                <w:highlight w:val="none"/>
                <w:lang w:val="en-US" w:eastAsia="zh-CN"/>
              </w:rPr>
              <w:t>/h的风量抽吸废气，项目共20台造粒机，风机风量为60000m</w:t>
            </w:r>
            <w:r>
              <w:rPr>
                <w:rFonts w:hint="eastAsia"/>
                <w:color w:val="auto"/>
                <w:highlight w:val="none"/>
                <w:vertAlign w:val="superscript"/>
                <w:lang w:val="en-US" w:eastAsia="zh-CN"/>
              </w:rPr>
              <w:t>3</w:t>
            </w:r>
            <w:r>
              <w:rPr>
                <w:rFonts w:hint="eastAsia"/>
                <w:color w:val="auto"/>
                <w:highlight w:val="none"/>
                <w:lang w:val="en-US" w:eastAsia="zh-CN"/>
              </w:rPr>
              <w:t>/h，造粒废气在密闭罩内被收集后通过“</w:t>
            </w:r>
            <w:r>
              <w:rPr>
                <w:rFonts w:hint="eastAsia"/>
                <w:color w:val="auto"/>
                <w:kern w:val="2"/>
                <w:highlight w:val="none"/>
                <w:lang w:eastAsia="zh-CN"/>
              </w:rPr>
              <w:t>电捕焦油+气旋混动喷淋+干式过滤+活性炭吸附脱附+催化燃烧+活性炭吸附</w:t>
            </w:r>
            <w:r>
              <w:rPr>
                <w:rFonts w:hint="eastAsia"/>
                <w:color w:val="auto"/>
                <w:highlight w:val="none"/>
                <w:lang w:val="en-US" w:eastAsia="zh-CN"/>
              </w:rPr>
              <w:t>”处理后经15m高DA002排气筒排放。</w:t>
            </w:r>
          </w:p>
          <w:p w14:paraId="1D149179">
            <w:pPr>
              <w:pStyle w:val="119"/>
              <w:bidi w:val="0"/>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表4-1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本项目产排污核算系数（摘录）及计算结果一览表</w:t>
            </w:r>
          </w:p>
          <w:tbl>
            <w:tblPr>
              <w:tblStyle w:val="5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717"/>
              <w:gridCol w:w="1584"/>
              <w:gridCol w:w="1662"/>
              <w:gridCol w:w="1129"/>
              <w:gridCol w:w="1406"/>
            </w:tblGrid>
            <w:tr w14:paraId="45AE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tcBorders>
                    <w:tl2br w:val="nil"/>
                    <w:tr2bl w:val="nil"/>
                  </w:tcBorders>
                  <w:vAlign w:val="center"/>
                </w:tcPr>
                <w:p w14:paraId="3F9BB03A">
                  <w:pPr>
                    <w:pStyle w:val="9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工艺名称</w:t>
                  </w:r>
                </w:p>
              </w:tc>
              <w:tc>
                <w:tcPr>
                  <w:tcW w:w="1465" w:type="pct"/>
                  <w:tcBorders>
                    <w:tl2br w:val="nil"/>
                    <w:tr2bl w:val="nil"/>
                  </w:tcBorders>
                  <w:vAlign w:val="center"/>
                </w:tcPr>
                <w:p w14:paraId="5693DA06">
                  <w:pPr>
                    <w:pStyle w:val="9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spacing w:val="0"/>
                      <w:kern w:val="2"/>
                      <w:sz w:val="21"/>
                      <w:szCs w:val="22"/>
                      <w:highlight w:val="none"/>
                      <w:lang w:val="en-US" w:eastAsia="zh-CN" w:bidi="ar-SA"/>
                    </w:rPr>
                  </w:pPr>
                  <w:r>
                    <w:rPr>
                      <w:rFonts w:hint="default" w:ascii="Times New Roman" w:hAnsi="Times New Roman" w:eastAsia="宋体" w:cs="Times New Roman"/>
                      <w:b/>
                      <w:bCs/>
                      <w:color w:val="auto"/>
                      <w:highlight w:val="none"/>
                      <w:lang w:val="en-US" w:eastAsia="zh-CN"/>
                    </w:rPr>
                    <w:t>原料名称</w:t>
                  </w:r>
                </w:p>
              </w:tc>
              <w:tc>
                <w:tcPr>
                  <w:tcW w:w="854" w:type="pct"/>
                  <w:tcBorders>
                    <w:tl2br w:val="nil"/>
                    <w:tr2bl w:val="nil"/>
                  </w:tcBorders>
                  <w:vAlign w:val="center"/>
                </w:tcPr>
                <w:p w14:paraId="283DF752">
                  <w:pPr>
                    <w:pStyle w:val="9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污染物指标</w:t>
                  </w:r>
                </w:p>
              </w:tc>
              <w:tc>
                <w:tcPr>
                  <w:tcW w:w="896" w:type="pct"/>
                  <w:tcBorders>
                    <w:tl2br w:val="nil"/>
                    <w:tr2bl w:val="nil"/>
                  </w:tcBorders>
                  <w:vAlign w:val="center"/>
                </w:tcPr>
                <w:p w14:paraId="074DCFAE">
                  <w:pPr>
                    <w:pStyle w:val="9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单位</w:t>
                  </w:r>
                </w:p>
              </w:tc>
              <w:tc>
                <w:tcPr>
                  <w:tcW w:w="608" w:type="pct"/>
                  <w:tcBorders>
                    <w:tl2br w:val="nil"/>
                    <w:tr2bl w:val="nil"/>
                  </w:tcBorders>
                  <w:vAlign w:val="center"/>
                </w:tcPr>
                <w:p w14:paraId="1D675015">
                  <w:pPr>
                    <w:pStyle w:val="9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产污系数</w:t>
                  </w:r>
                </w:p>
              </w:tc>
              <w:tc>
                <w:tcPr>
                  <w:tcW w:w="757" w:type="pct"/>
                  <w:tcBorders>
                    <w:tl2br w:val="nil"/>
                    <w:tr2bl w:val="nil"/>
                  </w:tcBorders>
                  <w:vAlign w:val="center"/>
                </w:tcPr>
                <w:p w14:paraId="439EE16D">
                  <w:pPr>
                    <w:pStyle w:val="97"/>
                    <w:keepNext w:val="0"/>
                    <w:keepLines w:val="0"/>
                    <w:pageBreakBefore w:val="0"/>
                    <w:widowControl w:val="0"/>
                    <w:kinsoku/>
                    <w:wordWrap/>
                    <w:overflowPunct/>
                    <w:topLinePunct w:val="0"/>
                    <w:autoSpaceDE/>
                    <w:autoSpaceDN/>
                    <w:bidi w:val="0"/>
                    <w:spacing w:line="240" w:lineRule="auto"/>
                    <w:ind w:firstLine="0" w:firstLineChars="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eastAsia="zh-CN"/>
                    </w:rPr>
                    <w:t>产生量（t/a）</w:t>
                  </w:r>
                </w:p>
              </w:tc>
            </w:tr>
            <w:tr w14:paraId="672E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18" w:type="pct"/>
                  <w:vMerge w:val="restart"/>
                  <w:tcBorders>
                    <w:tl2br w:val="nil"/>
                    <w:tr2bl w:val="nil"/>
                  </w:tcBorders>
                  <w:vAlign w:val="center"/>
                </w:tcPr>
                <w:p w14:paraId="7AF97C0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干法破碎</w:t>
                  </w:r>
                </w:p>
              </w:tc>
              <w:tc>
                <w:tcPr>
                  <w:tcW w:w="1465" w:type="pct"/>
                  <w:tcBorders>
                    <w:tl2br w:val="nil"/>
                    <w:tr2bl w:val="nil"/>
                  </w:tcBorders>
                  <w:vAlign w:val="center"/>
                </w:tcPr>
                <w:p w14:paraId="1E71344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废塑料（</w:t>
                  </w:r>
                  <w:r>
                    <w:rPr>
                      <w:rFonts w:hint="default" w:ascii="Times New Roman" w:hAnsi="Times New Roman" w:eastAsia="宋体" w:cs="Times New Roman"/>
                      <w:i w:val="0"/>
                      <w:iCs w:val="0"/>
                      <w:color w:val="auto"/>
                      <w:kern w:val="0"/>
                      <w:sz w:val="21"/>
                      <w:szCs w:val="21"/>
                      <w:highlight w:val="none"/>
                      <w:u w:val="none"/>
                      <w:lang w:val="en-US" w:eastAsia="zh-CN" w:bidi="ar"/>
                    </w:rPr>
                    <w:t>PP/PE 35875t/a</w:t>
                  </w:r>
                  <w:r>
                    <w:rPr>
                      <w:rFonts w:hint="eastAsia" w:ascii="宋体" w:hAnsi="宋体" w:eastAsia="宋体" w:cs="宋体"/>
                      <w:i w:val="0"/>
                      <w:iCs w:val="0"/>
                      <w:color w:val="auto"/>
                      <w:kern w:val="0"/>
                      <w:sz w:val="21"/>
                      <w:szCs w:val="21"/>
                      <w:highlight w:val="none"/>
                      <w:u w:val="none"/>
                      <w:lang w:val="en-US" w:eastAsia="zh-CN" w:bidi="ar"/>
                    </w:rPr>
                    <w:t>）</w:t>
                  </w:r>
                </w:p>
              </w:tc>
              <w:tc>
                <w:tcPr>
                  <w:tcW w:w="854" w:type="pct"/>
                  <w:tcBorders>
                    <w:tl2br w:val="nil"/>
                    <w:tr2bl w:val="nil"/>
                  </w:tcBorders>
                  <w:vAlign w:val="center"/>
                </w:tcPr>
                <w:p w14:paraId="0E6B41F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896" w:type="pct"/>
                  <w:tcBorders>
                    <w:tl2br w:val="nil"/>
                    <w:tr2bl w:val="nil"/>
                  </w:tcBorders>
                  <w:vAlign w:val="center"/>
                </w:tcPr>
                <w:p w14:paraId="4856595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克</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原料</w:t>
                  </w:r>
                </w:p>
              </w:tc>
              <w:tc>
                <w:tcPr>
                  <w:tcW w:w="608" w:type="pct"/>
                  <w:tcBorders>
                    <w:tl2br w:val="nil"/>
                    <w:tr2bl w:val="nil"/>
                  </w:tcBorders>
                  <w:vAlign w:val="center"/>
                </w:tcPr>
                <w:p w14:paraId="1A157BA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375</w:t>
                  </w:r>
                </w:p>
              </w:tc>
              <w:tc>
                <w:tcPr>
                  <w:tcW w:w="757" w:type="pct"/>
                  <w:tcBorders>
                    <w:tl2br w:val="nil"/>
                    <w:tr2bl w:val="nil"/>
                  </w:tcBorders>
                  <w:vAlign w:val="center"/>
                </w:tcPr>
                <w:p w14:paraId="40662F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7.399 </w:t>
                  </w:r>
                </w:p>
              </w:tc>
            </w:tr>
            <w:tr w14:paraId="72DB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18" w:type="pct"/>
                  <w:vMerge w:val="continue"/>
                  <w:tcBorders>
                    <w:tl2br w:val="nil"/>
                    <w:tr2bl w:val="nil"/>
                  </w:tcBorders>
                  <w:vAlign w:val="center"/>
                </w:tcPr>
                <w:p w14:paraId="46A5F5B5">
                  <w:pPr>
                    <w:spacing w:line="240" w:lineRule="auto"/>
                    <w:jc w:val="center"/>
                    <w:rPr>
                      <w:rFonts w:hint="eastAsia" w:ascii="宋体" w:hAnsi="宋体" w:eastAsia="宋体" w:cs="宋体"/>
                      <w:i w:val="0"/>
                      <w:iCs w:val="0"/>
                      <w:color w:val="auto"/>
                      <w:kern w:val="0"/>
                      <w:sz w:val="21"/>
                      <w:szCs w:val="21"/>
                      <w:highlight w:val="none"/>
                      <w:u w:val="none"/>
                      <w:lang w:val="en-US" w:eastAsia="zh-CN" w:bidi="ar"/>
                    </w:rPr>
                  </w:pPr>
                </w:p>
              </w:tc>
              <w:tc>
                <w:tcPr>
                  <w:tcW w:w="1465" w:type="pct"/>
                  <w:tcBorders>
                    <w:tl2br w:val="nil"/>
                    <w:tr2bl w:val="nil"/>
                  </w:tcBorders>
                  <w:vAlign w:val="center"/>
                </w:tcPr>
                <w:p w14:paraId="3CCA4E5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废塑料（</w:t>
                  </w:r>
                  <w:r>
                    <w:rPr>
                      <w:rFonts w:hint="default" w:ascii="Times New Roman" w:hAnsi="Times New Roman" w:eastAsia="宋体" w:cs="Times New Roman"/>
                      <w:i w:val="0"/>
                      <w:iCs w:val="0"/>
                      <w:color w:val="auto"/>
                      <w:kern w:val="0"/>
                      <w:sz w:val="21"/>
                      <w:szCs w:val="21"/>
                      <w:highlight w:val="none"/>
                      <w:u w:val="none"/>
                      <w:lang w:val="en-US" w:eastAsia="zh-CN" w:bidi="ar"/>
                    </w:rPr>
                    <w:t>PE/ABS/HIPS 64125t/a</w:t>
                  </w:r>
                  <w:r>
                    <w:rPr>
                      <w:rFonts w:hint="eastAsia" w:ascii="宋体" w:hAnsi="宋体" w:eastAsia="宋体" w:cs="宋体"/>
                      <w:i w:val="0"/>
                      <w:iCs w:val="0"/>
                      <w:color w:val="auto"/>
                      <w:kern w:val="0"/>
                      <w:sz w:val="21"/>
                      <w:szCs w:val="21"/>
                      <w:highlight w:val="none"/>
                      <w:u w:val="none"/>
                      <w:lang w:val="en-US" w:eastAsia="zh-CN" w:bidi="ar"/>
                    </w:rPr>
                    <w:t>）</w:t>
                  </w:r>
                </w:p>
              </w:tc>
              <w:tc>
                <w:tcPr>
                  <w:tcW w:w="854" w:type="pct"/>
                  <w:tcBorders>
                    <w:tl2br w:val="nil"/>
                    <w:tr2bl w:val="nil"/>
                  </w:tcBorders>
                  <w:vAlign w:val="center"/>
                </w:tcPr>
                <w:p w14:paraId="51D1CD4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896" w:type="pct"/>
                  <w:tcBorders>
                    <w:tl2br w:val="nil"/>
                    <w:tr2bl w:val="nil"/>
                  </w:tcBorders>
                  <w:vAlign w:val="center"/>
                </w:tcPr>
                <w:p w14:paraId="22B3FDE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克</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原料</w:t>
                  </w:r>
                </w:p>
              </w:tc>
              <w:tc>
                <w:tcPr>
                  <w:tcW w:w="608" w:type="pct"/>
                  <w:tcBorders>
                    <w:tl2br w:val="nil"/>
                    <w:tr2bl w:val="nil"/>
                  </w:tcBorders>
                  <w:vAlign w:val="center"/>
                </w:tcPr>
                <w:p w14:paraId="4F72369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425</w:t>
                  </w:r>
                </w:p>
              </w:tc>
              <w:tc>
                <w:tcPr>
                  <w:tcW w:w="1406" w:type="dxa"/>
                  <w:tcBorders>
                    <w:tl2br w:val="nil"/>
                    <w:tr2bl w:val="nil"/>
                  </w:tcBorders>
                  <w:vAlign w:val="center"/>
                </w:tcPr>
                <w:p w14:paraId="248834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6.861 </w:t>
                  </w:r>
                </w:p>
              </w:tc>
            </w:tr>
            <w:tr w14:paraId="7E31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242" w:type="pct"/>
                  <w:gridSpan w:val="5"/>
                  <w:tcBorders>
                    <w:tl2br w:val="nil"/>
                    <w:tr2bl w:val="nil"/>
                  </w:tcBorders>
                  <w:vAlign w:val="center"/>
                </w:tcPr>
                <w:p w14:paraId="7DDEF557">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1406" w:type="dxa"/>
                  <w:tcBorders>
                    <w:tl2br w:val="nil"/>
                    <w:tr2bl w:val="nil"/>
                  </w:tcBorders>
                  <w:vAlign w:val="center"/>
                </w:tcPr>
                <w:p w14:paraId="7307DDC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2"/>
                      <w:szCs w:val="22"/>
                      <w:highlight w:val="none"/>
                      <w:u w:val="none"/>
                      <w:lang w:val="en-US" w:eastAsia="zh-CN" w:bidi="ar"/>
                    </w:rPr>
                    <w:t xml:space="preserve">14.260 </w:t>
                  </w:r>
                </w:p>
              </w:tc>
            </w:tr>
            <w:tr w14:paraId="3BF9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18" w:type="pct"/>
                  <w:vMerge w:val="restart"/>
                  <w:tcBorders>
                    <w:tl2br w:val="nil"/>
                    <w:tr2bl w:val="nil"/>
                  </w:tcBorders>
                  <w:vAlign w:val="center"/>
                </w:tcPr>
                <w:p w14:paraId="52E73127">
                  <w:pPr>
                    <w:keepNext w:val="0"/>
                    <w:keepLines w:val="0"/>
                    <w:widowControl/>
                    <w:suppressLineNumbers w:val="0"/>
                    <w:spacing w:line="240" w:lineRule="auto"/>
                    <w:jc w:val="center"/>
                    <w:textAlignment w:val="center"/>
                    <w:rPr>
                      <w:rFonts w:hint="default" w:ascii="Times New Roman" w:hAnsi="Times New Roman" w:eastAsia="宋体" w:cs="Times New Roman"/>
                      <w:b w:val="0"/>
                      <w:color w:val="auto"/>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造粒</w:t>
                  </w:r>
                </w:p>
              </w:tc>
              <w:tc>
                <w:tcPr>
                  <w:tcW w:w="1465" w:type="pct"/>
                  <w:tcBorders>
                    <w:tl2br w:val="nil"/>
                    <w:tr2bl w:val="nil"/>
                  </w:tcBorders>
                  <w:vAlign w:val="center"/>
                </w:tcPr>
                <w:p w14:paraId="6F111150">
                  <w:pPr>
                    <w:keepNext w:val="0"/>
                    <w:keepLines w:val="0"/>
                    <w:widowControl/>
                    <w:suppressLineNumbers w:val="0"/>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废塑料（PE/PP，27335 t/a）</w:t>
                  </w:r>
                </w:p>
              </w:tc>
              <w:tc>
                <w:tcPr>
                  <w:tcW w:w="854" w:type="pct"/>
                  <w:tcBorders>
                    <w:tl2br w:val="nil"/>
                    <w:tr2bl w:val="nil"/>
                  </w:tcBorders>
                  <w:vAlign w:val="center"/>
                </w:tcPr>
                <w:p w14:paraId="18FB4358">
                  <w:pPr>
                    <w:keepNext w:val="0"/>
                    <w:keepLines w:val="0"/>
                    <w:widowControl/>
                    <w:suppressLineNumbers w:val="0"/>
                    <w:spacing w:line="240" w:lineRule="auto"/>
                    <w:jc w:val="center"/>
                    <w:textAlignment w:val="center"/>
                    <w:rPr>
                      <w:rFonts w:hint="default" w:ascii="Times New Roman" w:hAnsi="Times New Roman" w:eastAsia="宋体" w:cs="Times New Roman"/>
                      <w:b w:val="0"/>
                      <w:color w:val="auto"/>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挥发性有机物</w:t>
                  </w:r>
                </w:p>
              </w:tc>
              <w:tc>
                <w:tcPr>
                  <w:tcW w:w="896" w:type="pct"/>
                  <w:tcBorders>
                    <w:tl2br w:val="nil"/>
                    <w:tr2bl w:val="nil"/>
                  </w:tcBorders>
                  <w:vAlign w:val="center"/>
                </w:tcPr>
                <w:p w14:paraId="69A4FDBF">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克</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原料</w:t>
                  </w:r>
                </w:p>
              </w:tc>
              <w:tc>
                <w:tcPr>
                  <w:tcW w:w="608" w:type="pct"/>
                  <w:tcBorders>
                    <w:tl2br w:val="nil"/>
                    <w:tr2bl w:val="nil"/>
                  </w:tcBorders>
                  <w:vAlign w:val="center"/>
                </w:tcPr>
                <w:p w14:paraId="60B8BAB6">
                  <w:pPr>
                    <w:keepNext w:val="0"/>
                    <w:keepLines w:val="0"/>
                    <w:widowControl/>
                    <w:suppressLineNumbers w:val="0"/>
                    <w:spacing w:line="240" w:lineRule="auto"/>
                    <w:jc w:val="center"/>
                    <w:textAlignment w:val="center"/>
                    <w:rPr>
                      <w:rFonts w:hint="default" w:ascii="Times New Roman" w:hAnsi="Times New Roman" w:eastAsia="宋体" w:cs="Times New Roman"/>
                      <w:b w:val="0"/>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350</w:t>
                  </w:r>
                </w:p>
              </w:tc>
              <w:tc>
                <w:tcPr>
                  <w:tcW w:w="757" w:type="pct"/>
                  <w:tcBorders>
                    <w:tl2br w:val="nil"/>
                    <w:tr2bl w:val="nil"/>
                  </w:tcBorders>
                  <w:vAlign w:val="center"/>
                </w:tcPr>
                <w:p w14:paraId="36995655">
                  <w:pPr>
                    <w:keepNext w:val="0"/>
                    <w:keepLines w:val="0"/>
                    <w:widowControl/>
                    <w:suppressLineNumbers w:val="0"/>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9.567 </w:t>
                  </w:r>
                </w:p>
              </w:tc>
            </w:tr>
            <w:tr w14:paraId="2927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418" w:type="pct"/>
                  <w:vMerge w:val="continue"/>
                  <w:tcBorders>
                    <w:tl2br w:val="nil"/>
                    <w:tr2bl w:val="nil"/>
                  </w:tcBorders>
                  <w:vAlign w:val="center"/>
                </w:tcPr>
                <w:p w14:paraId="68117E53">
                  <w:pPr>
                    <w:spacing w:line="240" w:lineRule="auto"/>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1465" w:type="pct"/>
                  <w:tcBorders>
                    <w:tl2br w:val="nil"/>
                    <w:tr2bl w:val="nil"/>
                  </w:tcBorders>
                  <w:vAlign w:val="center"/>
                </w:tcPr>
                <w:p w14:paraId="32E020C0">
                  <w:pPr>
                    <w:keepNext w:val="0"/>
                    <w:keepLines w:val="0"/>
                    <w:widowControl/>
                    <w:suppressLineNumbers w:val="0"/>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废塑料（ABS/HIPS/PA，3131.1t/a）</w:t>
                  </w:r>
                </w:p>
              </w:tc>
              <w:tc>
                <w:tcPr>
                  <w:tcW w:w="854" w:type="pct"/>
                  <w:tcBorders>
                    <w:tl2br w:val="nil"/>
                    <w:tr2bl w:val="nil"/>
                  </w:tcBorders>
                  <w:vAlign w:val="center"/>
                </w:tcPr>
                <w:p w14:paraId="47293358">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挥发性有机物</w:t>
                  </w:r>
                </w:p>
              </w:tc>
              <w:tc>
                <w:tcPr>
                  <w:tcW w:w="896" w:type="pct"/>
                  <w:tcBorders>
                    <w:tl2br w:val="nil"/>
                    <w:tr2bl w:val="nil"/>
                  </w:tcBorders>
                  <w:vAlign w:val="center"/>
                </w:tcPr>
                <w:p w14:paraId="7B8C8258">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克</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原料</w:t>
                  </w:r>
                </w:p>
              </w:tc>
              <w:tc>
                <w:tcPr>
                  <w:tcW w:w="608" w:type="pct"/>
                  <w:tcBorders>
                    <w:tl2br w:val="nil"/>
                    <w:tr2bl w:val="nil"/>
                  </w:tcBorders>
                  <w:vAlign w:val="center"/>
                </w:tcPr>
                <w:p w14:paraId="3DD91983">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957</w:t>
                  </w:r>
                </w:p>
              </w:tc>
              <w:tc>
                <w:tcPr>
                  <w:tcW w:w="757" w:type="pct"/>
                  <w:tcBorders>
                    <w:tl2br w:val="nil"/>
                    <w:tr2bl w:val="nil"/>
                  </w:tcBorders>
                  <w:vAlign w:val="center"/>
                </w:tcPr>
                <w:p w14:paraId="67410150">
                  <w:pPr>
                    <w:keepNext w:val="0"/>
                    <w:keepLines w:val="0"/>
                    <w:widowControl/>
                    <w:suppressLineNumbers w:val="0"/>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2.996 </w:t>
                  </w:r>
                </w:p>
              </w:tc>
            </w:tr>
            <w:tr w14:paraId="4D63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Merge w:val="continue"/>
                  <w:tcBorders>
                    <w:tl2br w:val="nil"/>
                    <w:tr2bl w:val="nil"/>
                  </w:tcBorders>
                  <w:vAlign w:val="center"/>
                </w:tcPr>
                <w:p w14:paraId="5B234FAA">
                  <w:pPr>
                    <w:spacing w:line="240" w:lineRule="auto"/>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3824" w:type="pct"/>
                  <w:gridSpan w:val="4"/>
                  <w:tcBorders>
                    <w:tl2br w:val="nil"/>
                    <w:tr2bl w:val="nil"/>
                  </w:tcBorders>
                  <w:vAlign w:val="center"/>
                </w:tcPr>
                <w:p w14:paraId="613C52E8">
                  <w:pPr>
                    <w:keepNext w:val="0"/>
                    <w:keepLines w:val="0"/>
                    <w:widowControl/>
                    <w:suppressLineNumbers w:val="0"/>
                    <w:spacing w:line="240" w:lineRule="auto"/>
                    <w:jc w:val="center"/>
                    <w:textAlignment w:val="center"/>
                    <w:rPr>
                      <w:rFonts w:hint="default" w:ascii="Times New Roman" w:hAnsi="Times New Roman" w:eastAsia="宋体" w:cs="Times New Roman"/>
                      <w:b/>
                      <w:bCs/>
                      <w:color w:val="auto"/>
                      <w:highlight w:val="none"/>
                      <w:lang w:eastAsia="zh-CN"/>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757" w:type="pct"/>
                  <w:tcBorders>
                    <w:tl2br w:val="nil"/>
                    <w:tr2bl w:val="nil"/>
                  </w:tcBorders>
                  <w:vAlign w:val="center"/>
                </w:tcPr>
                <w:p w14:paraId="721E6DBC">
                  <w:pPr>
                    <w:keepNext w:val="0"/>
                    <w:keepLines w:val="0"/>
                    <w:widowControl/>
                    <w:suppressLineNumbers w:val="0"/>
                    <w:jc w:val="center"/>
                    <w:textAlignment w:val="center"/>
                    <w:rPr>
                      <w:rFonts w:hint="default" w:ascii="Times New Roman" w:hAnsi="Times New Roman" w:eastAsia="宋体" w:cs="Times New Roman"/>
                      <w:b/>
                      <w:bCs/>
                      <w:color w:val="auto"/>
                      <w:spacing w:val="0"/>
                      <w:kern w:val="2"/>
                      <w:sz w:val="21"/>
                      <w:szCs w:val="22"/>
                      <w:highlight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12.564 </w:t>
                  </w:r>
                </w:p>
              </w:tc>
            </w:tr>
            <w:tr w14:paraId="06CF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Merge w:val="continue"/>
                  <w:tcBorders>
                    <w:tl2br w:val="nil"/>
                    <w:tr2bl w:val="nil"/>
                  </w:tcBorders>
                  <w:vAlign w:val="center"/>
                </w:tcPr>
                <w:p w14:paraId="16C78E41">
                  <w:pPr>
                    <w:spacing w:line="240" w:lineRule="auto"/>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1465" w:type="pct"/>
                  <w:tcBorders>
                    <w:tl2br w:val="nil"/>
                    <w:tr2bl w:val="nil"/>
                  </w:tcBorders>
                  <w:shd w:val="clear" w:color="auto" w:fill="auto"/>
                  <w:vAlign w:val="center"/>
                </w:tcPr>
                <w:p w14:paraId="1FE0A3A0">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废塑料（</w:t>
                  </w:r>
                  <w:r>
                    <w:rPr>
                      <w:rFonts w:hint="default" w:ascii="Times New Roman" w:hAnsi="Times New Roman" w:eastAsia="宋体" w:cs="Times New Roman"/>
                      <w:i w:val="0"/>
                      <w:iCs w:val="0"/>
                      <w:color w:val="auto"/>
                      <w:kern w:val="0"/>
                      <w:sz w:val="21"/>
                      <w:szCs w:val="21"/>
                      <w:highlight w:val="none"/>
                      <w:u w:val="none"/>
                      <w:lang w:val="en-US" w:eastAsia="zh-CN" w:bidi="ar"/>
                    </w:rPr>
                    <w:t>PP/HIPS/PE/ABS/PA</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30466.1t/a</w:t>
                  </w:r>
                  <w:r>
                    <w:rPr>
                      <w:rFonts w:hint="eastAsia" w:ascii="宋体" w:hAnsi="宋体" w:eastAsia="宋体" w:cs="宋体"/>
                      <w:i w:val="0"/>
                      <w:iCs w:val="0"/>
                      <w:color w:val="auto"/>
                      <w:kern w:val="0"/>
                      <w:sz w:val="21"/>
                      <w:szCs w:val="21"/>
                      <w:highlight w:val="none"/>
                      <w:u w:val="none"/>
                      <w:lang w:val="en-US" w:eastAsia="zh-CN" w:bidi="ar"/>
                    </w:rPr>
                    <w:t>）</w:t>
                  </w:r>
                </w:p>
              </w:tc>
              <w:tc>
                <w:tcPr>
                  <w:tcW w:w="854" w:type="pct"/>
                  <w:tcBorders>
                    <w:tl2br w:val="nil"/>
                    <w:tr2bl w:val="nil"/>
                  </w:tcBorders>
                  <w:vAlign w:val="center"/>
                </w:tcPr>
                <w:p w14:paraId="46363B1F">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896" w:type="pct"/>
                  <w:tcBorders>
                    <w:tl2br w:val="nil"/>
                    <w:tr2bl w:val="nil"/>
                  </w:tcBorders>
                  <w:vAlign w:val="center"/>
                </w:tcPr>
                <w:p w14:paraId="779F357C">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克</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原料</w:t>
                  </w:r>
                </w:p>
              </w:tc>
              <w:tc>
                <w:tcPr>
                  <w:tcW w:w="608" w:type="pct"/>
                  <w:tcBorders>
                    <w:tl2br w:val="nil"/>
                    <w:tr2bl w:val="nil"/>
                  </w:tcBorders>
                  <w:vAlign w:val="center"/>
                </w:tcPr>
                <w:p w14:paraId="3E8E6D33">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404" w:type="dxa"/>
                  <w:tcBorders>
                    <w:tl2br w:val="nil"/>
                    <w:tr2bl w:val="nil"/>
                  </w:tcBorders>
                  <w:vAlign w:val="center"/>
                </w:tcPr>
                <w:p w14:paraId="547AEF6E">
                  <w:pPr>
                    <w:keepNext w:val="0"/>
                    <w:keepLines w:val="0"/>
                    <w:widowControl/>
                    <w:suppressLineNumbers w:val="0"/>
                    <w:jc w:val="center"/>
                    <w:textAlignment w:val="center"/>
                    <w:rPr>
                      <w:rFonts w:hint="default" w:ascii="Times New Roman" w:hAnsi="Times New Roman" w:eastAsia="宋体" w:cs="Times New Roman"/>
                      <w:b w:val="0"/>
                      <w:bCs/>
                      <w:color w:val="auto"/>
                      <w:spacing w:val="0"/>
                      <w:kern w:val="2"/>
                      <w:sz w:val="21"/>
                      <w:szCs w:val="22"/>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1.523 </w:t>
                  </w:r>
                </w:p>
              </w:tc>
            </w:tr>
            <w:tr w14:paraId="77BB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Merge w:val="continue"/>
                  <w:tcBorders>
                    <w:tl2br w:val="nil"/>
                    <w:tr2bl w:val="nil"/>
                  </w:tcBorders>
                  <w:vAlign w:val="center"/>
                </w:tcPr>
                <w:p w14:paraId="1B5D68C2">
                  <w:pPr>
                    <w:spacing w:line="240" w:lineRule="auto"/>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3824" w:type="pct"/>
                  <w:gridSpan w:val="4"/>
                  <w:tcBorders>
                    <w:tl2br w:val="nil"/>
                    <w:tr2bl w:val="nil"/>
                  </w:tcBorders>
                  <w:vAlign w:val="center"/>
                </w:tcPr>
                <w:p w14:paraId="09D193C4">
                  <w:pPr>
                    <w:keepNext w:val="0"/>
                    <w:keepLines w:val="0"/>
                    <w:widowControl/>
                    <w:suppressLineNumbers w:val="0"/>
                    <w:spacing w:line="240" w:lineRule="auto"/>
                    <w:jc w:val="center"/>
                    <w:textAlignment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合计</w:t>
                  </w:r>
                </w:p>
              </w:tc>
              <w:tc>
                <w:tcPr>
                  <w:tcW w:w="1404" w:type="dxa"/>
                  <w:tcBorders>
                    <w:tl2br w:val="nil"/>
                    <w:tr2bl w:val="nil"/>
                  </w:tcBorders>
                  <w:vAlign w:val="center"/>
                </w:tcPr>
                <w:p w14:paraId="3AE2977A">
                  <w:pPr>
                    <w:keepNext w:val="0"/>
                    <w:keepLines w:val="0"/>
                    <w:widowControl/>
                    <w:suppressLineNumbers w:val="0"/>
                    <w:jc w:val="center"/>
                    <w:textAlignment w:val="center"/>
                    <w:rPr>
                      <w:rFonts w:hint="default" w:ascii="Times New Roman" w:hAnsi="Times New Roman" w:eastAsia="宋体" w:cs="Times New Roman"/>
                      <w:b/>
                      <w:bCs w:val="0"/>
                      <w:color w:val="auto"/>
                      <w:spacing w:val="0"/>
                      <w:kern w:val="2"/>
                      <w:sz w:val="21"/>
                      <w:szCs w:val="22"/>
                      <w:highlight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1.523 </w:t>
                  </w:r>
                </w:p>
              </w:tc>
            </w:tr>
            <w:tr w14:paraId="3C93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tcBorders>
                    <w:tl2br w:val="nil"/>
                    <w:tr2bl w:val="nil"/>
                  </w:tcBorders>
                  <w:vAlign w:val="center"/>
                </w:tcPr>
                <w:p w14:paraId="16B1E5D1">
                  <w:pPr>
                    <w:keepNext w:val="0"/>
                    <w:keepLines w:val="0"/>
                    <w:widowControl/>
                    <w:suppressLineNumbers w:val="0"/>
                    <w:jc w:val="center"/>
                    <w:textAlignment w:val="center"/>
                    <w:rPr>
                      <w:rFonts w:hint="default" w:ascii="Times New Roman" w:hAnsi="Times New Roman" w:eastAsia="宋体" w:cs="Times New Roman"/>
                      <w:b/>
                      <w:bCs w:val="0"/>
                      <w:color w:val="auto"/>
                      <w:spacing w:val="0"/>
                      <w:kern w:val="2"/>
                      <w:sz w:val="21"/>
                      <w:szCs w:val="22"/>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备注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：系数来源：造粒有机废气参照《第二次全国污染源普查产排污核算系数手册》中的</w:t>
                  </w:r>
                  <w:r>
                    <w:rPr>
                      <w:rFonts w:hint="default" w:ascii="Times New Roman" w:hAnsi="Times New Roman" w:eastAsia="宋体" w:cs="Times New Roman"/>
                      <w:i w:val="0"/>
                      <w:iCs w:val="0"/>
                      <w:color w:val="auto"/>
                      <w:kern w:val="0"/>
                      <w:sz w:val="21"/>
                      <w:szCs w:val="21"/>
                      <w:highlight w:val="none"/>
                      <w:u w:val="none"/>
                      <w:lang w:val="en-US" w:eastAsia="zh-CN" w:bidi="ar"/>
                    </w:rPr>
                    <w:t xml:space="preserve">"4220 </w:t>
                  </w:r>
                  <w:r>
                    <w:rPr>
                      <w:rFonts w:hint="eastAsia" w:ascii="宋体" w:hAnsi="宋体" w:eastAsia="宋体" w:cs="宋体"/>
                      <w:i w:val="0"/>
                      <w:iCs w:val="0"/>
                      <w:color w:val="auto"/>
                      <w:kern w:val="0"/>
                      <w:sz w:val="21"/>
                      <w:szCs w:val="21"/>
                      <w:highlight w:val="none"/>
                      <w:u w:val="none"/>
                      <w:lang w:val="en-US" w:eastAsia="zh-CN" w:bidi="ar"/>
                    </w:rPr>
                    <w:t>非金属废料和碎屑加工处理行业系数表</w:t>
                  </w:r>
                  <w:r>
                    <w:rPr>
                      <w:rFonts w:hint="default" w:ascii="Times New Roman" w:hAnsi="Times New Roman" w:eastAsia="宋体" w:cs="Times New Roman"/>
                      <w:i w:val="0"/>
                      <w:iCs w:val="0"/>
                      <w:color w:val="auto"/>
                      <w:kern w:val="0"/>
                      <w:sz w:val="21"/>
                      <w:szCs w:val="21"/>
                      <w:highlight w:val="none"/>
                      <w:u w:val="none"/>
                      <w:lang w:val="en-US" w:eastAsia="zh-CN" w:bidi="ar"/>
                    </w:rPr>
                    <w:t xml:space="preserve">-4220 </w:t>
                  </w:r>
                  <w:r>
                    <w:rPr>
                      <w:rFonts w:hint="eastAsia" w:ascii="宋体" w:hAnsi="宋体" w:eastAsia="宋体" w:cs="宋体"/>
                      <w:i w:val="0"/>
                      <w:iCs w:val="0"/>
                      <w:color w:val="auto"/>
                      <w:kern w:val="0"/>
                      <w:sz w:val="21"/>
                      <w:szCs w:val="21"/>
                      <w:highlight w:val="none"/>
                      <w:u w:val="none"/>
                      <w:lang w:val="en-US" w:eastAsia="zh-CN" w:bidi="ar"/>
                    </w:rPr>
                    <w:t>非金属废料和碎屑加工处理行业系数表</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tc>
            </w:tr>
          </w:tbl>
          <w:p w14:paraId="146ED2F1">
            <w:pPr>
              <w:pStyle w:val="119"/>
              <w:bidi w:val="0"/>
              <w:jc w:val="both"/>
              <w:rPr>
                <w:rFonts w:hint="default" w:ascii="Times New Roman" w:hAnsi="Times New Roman" w:eastAsia="宋体" w:cs="Times New Roman"/>
                <w:b w:val="0"/>
                <w:bCs/>
                <w:color w:val="auto"/>
                <w:sz w:val="21"/>
                <w:szCs w:val="21"/>
                <w:highlight w:val="none"/>
                <w:lang w:val="en-US" w:eastAsia="zh-CN"/>
              </w:rPr>
            </w:pPr>
          </w:p>
          <w:p w14:paraId="19B6F65D">
            <w:pPr>
              <w:adjustRightInd w:val="0"/>
              <w:ind w:firstLine="480" w:firstLineChars="200"/>
              <w:contextualSpacing/>
              <w:jc w:val="left"/>
              <w:rPr>
                <w:rFonts w:hint="eastAsia"/>
                <w:color w:val="auto"/>
                <w:highlight w:val="none"/>
                <w:lang w:val="en-US" w:eastAsia="zh-CN"/>
              </w:rPr>
            </w:pPr>
          </w:p>
          <w:tbl>
            <w:tblPr>
              <w:tblStyle w:val="50"/>
              <w:tblW w:w="8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178"/>
            </w:tblGrid>
            <w:tr w14:paraId="585C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5" w:type="dxa"/>
                  <w:gridSpan w:val="2"/>
                </w:tcPr>
                <w:p w14:paraId="63B30D68">
                  <w:pPr>
                    <w:adjustRightInd w:val="0"/>
                    <w:spacing w:line="360" w:lineRule="auto"/>
                    <w:contextualSpacing/>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drawing>
                      <wp:inline distT="0" distB="0" distL="114300" distR="114300">
                        <wp:extent cx="3504565" cy="1972310"/>
                        <wp:effectExtent l="0" t="0" r="635" b="8890"/>
                        <wp:docPr id="113" name="图片 113" descr="755c54c9a7e846a446c6dfa5d082b32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755c54c9a7e846a446c6dfa5d082b322_"/>
                                <pic:cNvPicPr>
                                  <a:picLocks noChangeAspect="1"/>
                                </pic:cNvPicPr>
                              </pic:nvPicPr>
                              <pic:blipFill>
                                <a:blip r:embed="rId21"/>
                                <a:stretch>
                                  <a:fillRect/>
                                </a:stretch>
                              </pic:blipFill>
                              <pic:spPr>
                                <a:xfrm>
                                  <a:off x="0" y="0"/>
                                  <a:ext cx="3504565" cy="1972310"/>
                                </a:xfrm>
                                <a:prstGeom prst="rect">
                                  <a:avLst/>
                                </a:prstGeom>
                              </pic:spPr>
                            </pic:pic>
                          </a:graphicData>
                        </a:graphic>
                      </wp:inline>
                    </w:drawing>
                  </w:r>
                </w:p>
              </w:tc>
            </w:tr>
            <w:tr w14:paraId="4FF2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5" w:type="dxa"/>
                  <w:gridSpan w:val="2"/>
                </w:tcPr>
                <w:p w14:paraId="17256F8B">
                  <w:pPr>
                    <w:adjustRightInd w:val="0"/>
                    <w:spacing w:line="360" w:lineRule="auto"/>
                    <w:contextualSpacing/>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drawing>
                      <wp:inline distT="0" distB="0" distL="114300" distR="114300">
                        <wp:extent cx="3480435" cy="1957070"/>
                        <wp:effectExtent l="0" t="0" r="5715" b="5080"/>
                        <wp:docPr id="114" name="图片 114" descr="e72483e08bc68e09c0ef57d78c4b06a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e72483e08bc68e09c0ef57d78c4b06a2_"/>
                                <pic:cNvPicPr>
                                  <a:picLocks noChangeAspect="1"/>
                                </pic:cNvPicPr>
                              </pic:nvPicPr>
                              <pic:blipFill>
                                <a:blip r:embed="rId22"/>
                                <a:stretch>
                                  <a:fillRect/>
                                </a:stretch>
                              </pic:blipFill>
                              <pic:spPr>
                                <a:xfrm>
                                  <a:off x="0" y="0"/>
                                  <a:ext cx="3480435" cy="1957070"/>
                                </a:xfrm>
                                <a:prstGeom prst="rect">
                                  <a:avLst/>
                                </a:prstGeom>
                              </pic:spPr>
                            </pic:pic>
                          </a:graphicData>
                        </a:graphic>
                      </wp:inline>
                    </w:drawing>
                  </w:r>
                </w:p>
              </w:tc>
            </w:tr>
            <w:tr w14:paraId="2AC0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14:paraId="3CBDDF82">
                  <w:pPr>
                    <w:adjustRightInd w:val="0"/>
                    <w:spacing w:line="360" w:lineRule="auto"/>
                    <w:contextualSpacing/>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drawing>
                      <wp:inline distT="0" distB="0" distL="114300" distR="114300">
                        <wp:extent cx="1867535" cy="2741295"/>
                        <wp:effectExtent l="0" t="0" r="18415" b="1905"/>
                        <wp:docPr id="115" name="图片 115" descr="b1aaba5f4c982994010540dca62c75f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b1aaba5f4c982994010540dca62c75fa_"/>
                                <pic:cNvPicPr>
                                  <a:picLocks noChangeAspect="1"/>
                                </pic:cNvPicPr>
                              </pic:nvPicPr>
                              <pic:blipFill>
                                <a:blip r:embed="rId23"/>
                                <a:stretch>
                                  <a:fillRect/>
                                </a:stretch>
                              </pic:blipFill>
                              <pic:spPr>
                                <a:xfrm>
                                  <a:off x="0" y="0"/>
                                  <a:ext cx="1867535" cy="2741295"/>
                                </a:xfrm>
                                <a:prstGeom prst="rect">
                                  <a:avLst/>
                                </a:prstGeom>
                              </pic:spPr>
                            </pic:pic>
                          </a:graphicData>
                        </a:graphic>
                      </wp:inline>
                    </w:drawing>
                  </w:r>
                </w:p>
              </w:tc>
              <w:tc>
                <w:tcPr>
                  <w:tcW w:w="4178" w:type="dxa"/>
                </w:tcPr>
                <w:p w14:paraId="114B41F3">
                  <w:pPr>
                    <w:adjustRightInd w:val="0"/>
                    <w:spacing w:line="360" w:lineRule="auto"/>
                    <w:contextualSpacing/>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drawing>
                      <wp:inline distT="0" distB="0" distL="114300" distR="114300">
                        <wp:extent cx="1741170" cy="2621915"/>
                        <wp:effectExtent l="0" t="0" r="11430" b="6985"/>
                        <wp:docPr id="116" name="图片 116" descr="96a8820bcf1778f362b0ecb51c95160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96a8820bcf1778f362b0ecb51c95160d_"/>
                                <pic:cNvPicPr>
                                  <a:picLocks noChangeAspect="1"/>
                                </pic:cNvPicPr>
                              </pic:nvPicPr>
                              <pic:blipFill>
                                <a:blip r:embed="rId24"/>
                                <a:stretch>
                                  <a:fillRect/>
                                </a:stretch>
                              </pic:blipFill>
                              <pic:spPr>
                                <a:xfrm rot="10800000">
                                  <a:off x="0" y="0"/>
                                  <a:ext cx="1741170" cy="2621915"/>
                                </a:xfrm>
                                <a:prstGeom prst="rect">
                                  <a:avLst/>
                                </a:prstGeom>
                              </pic:spPr>
                            </pic:pic>
                          </a:graphicData>
                        </a:graphic>
                      </wp:inline>
                    </w:drawing>
                  </w:r>
                </w:p>
              </w:tc>
            </w:tr>
            <w:tr w14:paraId="4BB6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8355" w:type="dxa"/>
                  <w:gridSpan w:val="2"/>
                </w:tcPr>
                <w:p w14:paraId="21869216">
                  <w:pPr>
                    <w:adjustRightInd w:val="0"/>
                    <w:spacing w:line="360" w:lineRule="auto"/>
                    <w:contextualSpacing/>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密闭罩内的集气管道</w:t>
                  </w:r>
                </w:p>
              </w:tc>
            </w:tr>
          </w:tbl>
          <w:p w14:paraId="16981814">
            <w:pPr>
              <w:widowControl/>
              <w:spacing w:line="240" w:lineRule="auto"/>
              <w:jc w:val="center"/>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图4-1  造粒机集气设备图</w:t>
            </w:r>
          </w:p>
          <w:p w14:paraId="44BAA15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参考《广东省生态环境厅关于印发</w:t>
            </w:r>
            <w:r>
              <w:rPr>
                <w:rFonts w:hint="eastAsia" w:cs="Times New Roman"/>
                <w:color w:val="auto"/>
                <w:sz w:val="24"/>
                <w:highlight w:val="none"/>
                <w:lang w:val="en-US" w:eastAsia="zh-CN"/>
              </w:rPr>
              <w:t>&lt;</w:t>
            </w:r>
            <w:r>
              <w:rPr>
                <w:rFonts w:hint="default" w:ascii="Times New Roman" w:hAnsi="Times New Roman" w:cs="Times New Roman"/>
                <w:color w:val="auto"/>
                <w:sz w:val="24"/>
                <w:highlight w:val="none"/>
              </w:rPr>
              <w:t>工业源挥发性有机物和氮氧化物减排量核算方法</w:t>
            </w:r>
            <w:r>
              <w:rPr>
                <w:rFonts w:hint="eastAsia" w:cs="Times New Roman"/>
                <w:color w:val="auto"/>
                <w:sz w:val="24"/>
                <w:highlight w:val="none"/>
                <w:lang w:val="en-US" w:eastAsia="zh-CN"/>
              </w:rPr>
              <w:t>&gt;</w:t>
            </w:r>
            <w:r>
              <w:rPr>
                <w:rFonts w:hint="default" w:ascii="Times New Roman" w:hAnsi="Times New Roman" w:cs="Times New Roman"/>
                <w:color w:val="auto"/>
                <w:sz w:val="24"/>
                <w:highlight w:val="none"/>
              </w:rPr>
              <w:t>的通知》（粤环函〔2023〕538号），VOCs收集效率见下表：</w:t>
            </w:r>
          </w:p>
          <w:p w14:paraId="43E64F4E">
            <w:pPr>
              <w:widowControl/>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 xml:space="preserve">2 </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color w:val="auto"/>
                <w:sz w:val="21"/>
                <w:szCs w:val="21"/>
                <w:highlight w:val="none"/>
              </w:rPr>
              <w:t>VOCs认定收集效率表</w:t>
            </w:r>
          </w:p>
          <w:tbl>
            <w:tblPr>
              <w:tblStyle w:val="49"/>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0" w:type="dxa"/>
                <w:bottom w:w="0" w:type="dxa"/>
                <w:right w:w="0" w:type="dxa"/>
              </w:tblCellMar>
            </w:tblPr>
            <w:tblGrid>
              <w:gridCol w:w="826"/>
              <w:gridCol w:w="2995"/>
              <w:gridCol w:w="4049"/>
              <w:gridCol w:w="1409"/>
            </w:tblGrid>
            <w:tr w14:paraId="1E577AF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bottom w:val="single" w:color="auto" w:sz="4" w:space="0"/>
                    <w:right w:val="single" w:color="auto" w:sz="6" w:space="0"/>
                  </w:tcBorders>
                  <w:vAlign w:val="center"/>
                </w:tcPr>
                <w:p w14:paraId="4A40A5E0">
                  <w:pPr>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废气收集类型</w:t>
                  </w:r>
                </w:p>
              </w:tc>
              <w:tc>
                <w:tcPr>
                  <w:tcW w:w="1614" w:type="pct"/>
                  <w:tcBorders>
                    <w:left w:val="single" w:color="auto" w:sz="6" w:space="0"/>
                    <w:bottom w:val="single" w:color="auto" w:sz="4" w:space="0"/>
                    <w:right w:val="single" w:color="auto" w:sz="6" w:space="0"/>
                  </w:tcBorders>
                  <w:vAlign w:val="center"/>
                </w:tcPr>
                <w:p w14:paraId="4910B74E">
                  <w:pPr>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废气收集方式</w:t>
                  </w:r>
                </w:p>
              </w:tc>
              <w:tc>
                <w:tcPr>
                  <w:tcW w:w="2182" w:type="pct"/>
                  <w:tcBorders>
                    <w:left w:val="single" w:color="auto" w:sz="6" w:space="0"/>
                    <w:bottom w:val="single" w:color="auto" w:sz="6" w:space="0"/>
                    <w:right w:val="single" w:color="auto" w:sz="6" w:space="0"/>
                  </w:tcBorders>
                  <w:vAlign w:val="center"/>
                </w:tcPr>
                <w:p w14:paraId="2E08B6E7">
                  <w:pPr>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情况说明</w:t>
                  </w:r>
                </w:p>
              </w:tc>
              <w:tc>
                <w:tcPr>
                  <w:tcW w:w="758" w:type="pct"/>
                  <w:tcBorders>
                    <w:left w:val="single" w:color="auto" w:sz="6" w:space="0"/>
                    <w:bottom w:val="single" w:color="auto" w:sz="6" w:space="0"/>
                  </w:tcBorders>
                  <w:vAlign w:val="center"/>
                </w:tcPr>
                <w:p w14:paraId="11B01367">
                  <w:pPr>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收集效率%</w:t>
                  </w:r>
                </w:p>
              </w:tc>
            </w:tr>
            <w:tr w14:paraId="6649DF9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0800567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全密封设备/空间</w:t>
                  </w:r>
                </w:p>
              </w:tc>
              <w:tc>
                <w:tcPr>
                  <w:tcW w:w="1614" w:type="pct"/>
                  <w:tcBorders>
                    <w:top w:val="single" w:color="auto" w:sz="4" w:space="0"/>
                    <w:left w:val="single" w:color="auto" w:sz="6" w:space="0"/>
                    <w:bottom w:val="single" w:color="auto" w:sz="4" w:space="0"/>
                    <w:right w:val="single" w:color="auto" w:sz="4" w:space="0"/>
                  </w:tcBorders>
                  <w:vAlign w:val="center"/>
                </w:tcPr>
                <w:p w14:paraId="46FD3531">
                  <w:pPr>
                    <w:spacing w:line="240" w:lineRule="auto"/>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单层密闭负压</w:t>
                  </w:r>
                </w:p>
              </w:tc>
              <w:tc>
                <w:tcPr>
                  <w:tcW w:w="2182" w:type="pct"/>
                  <w:tcBorders>
                    <w:top w:val="single" w:color="auto" w:sz="6" w:space="0"/>
                    <w:left w:val="single" w:color="auto" w:sz="4" w:space="0"/>
                    <w:bottom w:val="single" w:color="auto" w:sz="6" w:space="0"/>
                    <w:right w:val="single" w:color="auto" w:sz="6" w:space="0"/>
                  </w:tcBorders>
                  <w:vAlign w:val="center"/>
                </w:tcPr>
                <w:p w14:paraId="0A9971E6">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VOCs产生源设置在密闭车间、密闭设备（含反应釜）、密闭管道内，所有开口处，包括人员或物料进出口处呈负压</w:t>
                  </w:r>
                </w:p>
              </w:tc>
              <w:tc>
                <w:tcPr>
                  <w:tcW w:w="758" w:type="pct"/>
                  <w:tcBorders>
                    <w:top w:val="single" w:color="auto" w:sz="6" w:space="0"/>
                    <w:left w:val="single" w:color="auto" w:sz="6" w:space="0"/>
                    <w:bottom w:val="single" w:color="auto" w:sz="6" w:space="0"/>
                  </w:tcBorders>
                  <w:vAlign w:val="center"/>
                </w:tcPr>
                <w:p w14:paraId="725DEDC5">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9</w:t>
                  </w:r>
                  <w:r>
                    <w:rPr>
                      <w:rFonts w:hint="eastAsia" w:cs="Times New Roman"/>
                      <w:b/>
                      <w:bCs/>
                      <w:color w:val="auto"/>
                      <w:sz w:val="21"/>
                      <w:szCs w:val="21"/>
                      <w:highlight w:val="none"/>
                      <w:lang w:val="en-US" w:eastAsia="zh-CN"/>
                    </w:rPr>
                    <w:t>0</w:t>
                  </w:r>
                </w:p>
              </w:tc>
            </w:tr>
            <w:tr w14:paraId="15921AC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37AC624F">
                  <w:pPr>
                    <w:spacing w:line="240" w:lineRule="auto"/>
                    <w:jc w:val="center"/>
                    <w:rPr>
                      <w:rFonts w:hint="default" w:ascii="Times New Roman" w:hAnsi="Times New Roman" w:cs="Times New Roman"/>
                      <w:color w:val="auto"/>
                      <w:sz w:val="21"/>
                      <w:szCs w:val="21"/>
                      <w:highlight w:val="none"/>
                    </w:rPr>
                  </w:pPr>
                </w:p>
              </w:tc>
              <w:tc>
                <w:tcPr>
                  <w:tcW w:w="1614" w:type="pct"/>
                  <w:tcBorders>
                    <w:top w:val="single" w:color="auto" w:sz="4" w:space="0"/>
                    <w:left w:val="single" w:color="auto" w:sz="6" w:space="0"/>
                    <w:bottom w:val="single" w:color="auto" w:sz="4" w:space="0"/>
                    <w:right w:val="single" w:color="auto" w:sz="4" w:space="0"/>
                  </w:tcBorders>
                  <w:vAlign w:val="center"/>
                </w:tcPr>
                <w:p w14:paraId="479FCEF9">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单层密闭正压</w:t>
                  </w:r>
                </w:p>
              </w:tc>
              <w:tc>
                <w:tcPr>
                  <w:tcW w:w="2182" w:type="pct"/>
                  <w:tcBorders>
                    <w:top w:val="single" w:color="auto" w:sz="6" w:space="0"/>
                    <w:left w:val="single" w:color="auto" w:sz="4" w:space="0"/>
                    <w:bottom w:val="single" w:color="auto" w:sz="6" w:space="0"/>
                    <w:right w:val="single" w:color="auto" w:sz="6" w:space="0"/>
                  </w:tcBorders>
                  <w:vAlign w:val="center"/>
                </w:tcPr>
                <w:p w14:paraId="2478F92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VOCs 产生源设置在密闭车间内，所有开口处，包括人员或物料进出口处呈正压，且无明显泄漏点</w:t>
                  </w:r>
                </w:p>
              </w:tc>
              <w:tc>
                <w:tcPr>
                  <w:tcW w:w="758" w:type="pct"/>
                  <w:tcBorders>
                    <w:top w:val="single" w:color="auto" w:sz="6" w:space="0"/>
                    <w:left w:val="single" w:color="auto" w:sz="6" w:space="0"/>
                    <w:bottom w:val="single" w:color="auto" w:sz="6" w:space="0"/>
                  </w:tcBorders>
                  <w:vAlign w:val="center"/>
                </w:tcPr>
                <w:p w14:paraId="2E666562">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r>
                    <w:rPr>
                      <w:rFonts w:hint="eastAsia" w:cs="Times New Roman"/>
                      <w:color w:val="auto"/>
                      <w:sz w:val="21"/>
                      <w:szCs w:val="21"/>
                      <w:highlight w:val="none"/>
                      <w:lang w:val="en-US" w:eastAsia="zh-CN"/>
                    </w:rPr>
                    <w:t>0</w:t>
                  </w:r>
                </w:p>
              </w:tc>
            </w:tr>
            <w:tr w14:paraId="04B8C38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right w:val="single" w:color="auto" w:sz="6" w:space="0"/>
                  </w:tcBorders>
                  <w:vAlign w:val="center"/>
                </w:tcPr>
                <w:p w14:paraId="17B6199F">
                  <w:pPr>
                    <w:spacing w:line="240" w:lineRule="auto"/>
                    <w:jc w:val="center"/>
                    <w:rPr>
                      <w:rFonts w:hint="default" w:ascii="Times New Roman" w:hAnsi="Times New Roman" w:cs="Times New Roman"/>
                      <w:color w:val="auto"/>
                      <w:sz w:val="21"/>
                      <w:szCs w:val="21"/>
                      <w:highlight w:val="none"/>
                    </w:rPr>
                  </w:pPr>
                </w:p>
              </w:tc>
              <w:tc>
                <w:tcPr>
                  <w:tcW w:w="1614" w:type="pct"/>
                  <w:tcBorders>
                    <w:top w:val="single" w:color="auto" w:sz="4" w:space="0"/>
                    <w:left w:val="single" w:color="auto" w:sz="6" w:space="0"/>
                    <w:bottom w:val="single" w:color="auto" w:sz="4" w:space="0"/>
                    <w:right w:val="single" w:color="auto" w:sz="4" w:space="0"/>
                  </w:tcBorders>
                  <w:vAlign w:val="center"/>
                </w:tcPr>
                <w:p w14:paraId="0ECECF54">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双层密闭空间</w:t>
                  </w:r>
                </w:p>
              </w:tc>
              <w:tc>
                <w:tcPr>
                  <w:tcW w:w="2182" w:type="pct"/>
                  <w:tcBorders>
                    <w:top w:val="single" w:color="auto" w:sz="6" w:space="0"/>
                    <w:left w:val="single" w:color="auto" w:sz="4" w:space="0"/>
                    <w:bottom w:val="single" w:color="auto" w:sz="6" w:space="0"/>
                    <w:right w:val="single" w:color="auto" w:sz="6" w:space="0"/>
                  </w:tcBorders>
                  <w:vAlign w:val="center"/>
                </w:tcPr>
                <w:p w14:paraId="0A48BDC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内层空间密闭正压、外层空间密闭负压</w:t>
                  </w:r>
                </w:p>
              </w:tc>
              <w:tc>
                <w:tcPr>
                  <w:tcW w:w="758" w:type="pct"/>
                  <w:tcBorders>
                    <w:top w:val="single" w:color="auto" w:sz="6" w:space="0"/>
                    <w:left w:val="single" w:color="auto" w:sz="6" w:space="0"/>
                    <w:bottom w:val="single" w:color="auto" w:sz="6" w:space="0"/>
                  </w:tcBorders>
                  <w:vAlign w:val="center"/>
                </w:tcPr>
                <w:p w14:paraId="62659C5D">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98</w:t>
                  </w:r>
                </w:p>
              </w:tc>
            </w:tr>
            <w:tr w14:paraId="3C0E357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08F0133E">
                  <w:pPr>
                    <w:spacing w:line="240" w:lineRule="auto"/>
                    <w:jc w:val="center"/>
                    <w:rPr>
                      <w:rFonts w:hint="default" w:ascii="Times New Roman" w:hAnsi="Times New Roman" w:cs="Times New Roman"/>
                      <w:color w:val="auto"/>
                      <w:sz w:val="21"/>
                      <w:szCs w:val="21"/>
                      <w:highlight w:val="none"/>
                    </w:rPr>
                  </w:pPr>
                </w:p>
              </w:tc>
              <w:tc>
                <w:tcPr>
                  <w:tcW w:w="1614" w:type="pct"/>
                  <w:tcBorders>
                    <w:top w:val="single" w:color="auto" w:sz="4" w:space="0"/>
                    <w:left w:val="single" w:color="auto" w:sz="6" w:space="0"/>
                    <w:bottom w:val="single" w:color="auto" w:sz="4" w:space="0"/>
                    <w:right w:val="single" w:color="auto" w:sz="4" w:space="0"/>
                  </w:tcBorders>
                  <w:vAlign w:val="center"/>
                </w:tcPr>
                <w:p w14:paraId="1B206E20">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设备排放口直连</w:t>
                  </w:r>
                </w:p>
              </w:tc>
              <w:tc>
                <w:tcPr>
                  <w:tcW w:w="2182" w:type="pct"/>
                  <w:tcBorders>
                    <w:top w:val="single" w:color="auto" w:sz="6" w:space="0"/>
                    <w:left w:val="single" w:color="auto" w:sz="4" w:space="0"/>
                    <w:bottom w:val="single" w:color="auto" w:sz="6" w:space="0"/>
                    <w:right w:val="single" w:color="auto" w:sz="6" w:space="0"/>
                  </w:tcBorders>
                  <w:vAlign w:val="center"/>
                </w:tcPr>
                <w:p w14:paraId="1D629E2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设备有固定排放管（或口）直接与风管连接，设备整体密闭只留产品进出口，且进出口处有废气收集措施，收集系统运行时周边基本无VOCs散发</w:t>
                  </w:r>
                </w:p>
              </w:tc>
              <w:tc>
                <w:tcPr>
                  <w:tcW w:w="758" w:type="pct"/>
                  <w:tcBorders>
                    <w:top w:val="single" w:color="auto" w:sz="6" w:space="0"/>
                    <w:left w:val="single" w:color="auto" w:sz="6" w:space="0"/>
                    <w:bottom w:val="single" w:color="auto" w:sz="6" w:space="0"/>
                  </w:tcBorders>
                  <w:vAlign w:val="center"/>
                </w:tcPr>
                <w:p w14:paraId="08CEC44E">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95</w:t>
                  </w:r>
                </w:p>
              </w:tc>
            </w:tr>
            <w:tr w14:paraId="2407291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6ACE176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半密闭型集气设备（含排气柜）</w:t>
                  </w:r>
                </w:p>
              </w:tc>
              <w:tc>
                <w:tcPr>
                  <w:tcW w:w="1614" w:type="pct"/>
                  <w:vMerge w:val="restart"/>
                  <w:tcBorders>
                    <w:top w:val="single" w:color="auto" w:sz="4" w:space="0"/>
                    <w:left w:val="single" w:color="auto" w:sz="4" w:space="0"/>
                    <w:right w:val="single" w:color="auto" w:sz="4" w:space="0"/>
                  </w:tcBorders>
                  <w:vAlign w:val="center"/>
                </w:tcPr>
                <w:p w14:paraId="1E0A3D53">
                  <w:pPr>
                    <w:spacing w:line="240" w:lineRule="auto"/>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污染物产生点（或生产设施）四周及上下有围挡设施，符合</w:t>
                  </w:r>
                  <w:r>
                    <w:rPr>
                      <w:rFonts w:hint="eastAsia" w:cs="Times New Roman"/>
                      <w:b w:val="0"/>
                      <w:bCs w:val="0"/>
                      <w:color w:val="auto"/>
                      <w:sz w:val="21"/>
                      <w:szCs w:val="21"/>
                      <w:highlight w:val="none"/>
                      <w:lang w:val="en-US" w:eastAsia="zh-CN"/>
                    </w:rPr>
                    <w:t>以</w:t>
                  </w:r>
                  <w:r>
                    <w:rPr>
                      <w:rFonts w:hint="default" w:ascii="Times New Roman" w:hAnsi="Times New Roman" w:eastAsia="宋体" w:cs="Times New Roman"/>
                      <w:b w:val="0"/>
                      <w:bCs w:val="0"/>
                      <w:color w:val="auto"/>
                      <w:sz w:val="21"/>
                      <w:szCs w:val="21"/>
                      <w:highlight w:val="none"/>
                      <w:lang w:eastAsia="zh-CN"/>
                    </w:rPr>
                    <w:t>下三种情况：</w:t>
                  </w:r>
                </w:p>
                <w:p w14:paraId="0B11F6B7">
                  <w:pPr>
                    <w:spacing w:line="240" w:lineRule="auto"/>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1、仅保留一个操作工位面；</w:t>
                  </w:r>
                </w:p>
                <w:p w14:paraId="7539469B">
                  <w:pPr>
                    <w:spacing w:line="240" w:lineRule="auto"/>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2、仅保留物料进出通道，通道敞开面小于1个操作工位面</w:t>
                  </w:r>
                  <w:r>
                    <w:rPr>
                      <w:rFonts w:hint="eastAsia" w:cs="Times New Roman"/>
                      <w:b w:val="0"/>
                      <w:bCs w:val="0"/>
                      <w:color w:val="auto"/>
                      <w:sz w:val="21"/>
                      <w:szCs w:val="21"/>
                      <w:highlight w:val="none"/>
                      <w:lang w:eastAsia="zh-CN"/>
                    </w:rPr>
                    <w:t>。</w:t>
                  </w:r>
                </w:p>
              </w:tc>
              <w:tc>
                <w:tcPr>
                  <w:tcW w:w="2182" w:type="pct"/>
                  <w:tcBorders>
                    <w:top w:val="single" w:color="auto" w:sz="6" w:space="0"/>
                    <w:left w:val="single" w:color="auto" w:sz="4" w:space="0"/>
                    <w:bottom w:val="single" w:color="auto" w:sz="6" w:space="0"/>
                    <w:right w:val="single" w:color="auto" w:sz="6" w:space="0"/>
                  </w:tcBorders>
                  <w:vAlign w:val="center"/>
                </w:tcPr>
                <w:p w14:paraId="3297EAC3">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敞开面控制风速不小于0.</w:t>
                  </w:r>
                  <w:r>
                    <w:rPr>
                      <w:rFonts w:hint="eastAsia" w:cs="Times New Roman"/>
                      <w:b w:val="0"/>
                      <w:bCs w:val="0"/>
                      <w:color w:val="auto"/>
                      <w:sz w:val="21"/>
                      <w:szCs w:val="21"/>
                      <w:highlight w:val="none"/>
                      <w:lang w:val="en-US" w:eastAsia="zh-CN"/>
                    </w:rPr>
                    <w:t>3</w:t>
                  </w:r>
                  <w:r>
                    <w:rPr>
                      <w:rFonts w:hint="default" w:ascii="Times New Roman" w:hAnsi="Times New Roman" w:cs="Times New Roman"/>
                      <w:b w:val="0"/>
                      <w:bCs w:val="0"/>
                      <w:color w:val="auto"/>
                      <w:sz w:val="21"/>
                      <w:szCs w:val="21"/>
                      <w:highlight w:val="none"/>
                    </w:rPr>
                    <w:t>m/s；</w:t>
                  </w:r>
                </w:p>
              </w:tc>
              <w:tc>
                <w:tcPr>
                  <w:tcW w:w="758" w:type="pct"/>
                  <w:tcBorders>
                    <w:top w:val="single" w:color="auto" w:sz="6" w:space="0"/>
                    <w:left w:val="single" w:color="auto" w:sz="6" w:space="0"/>
                    <w:bottom w:val="single" w:color="auto" w:sz="6" w:space="0"/>
                  </w:tcBorders>
                  <w:vAlign w:val="center"/>
                </w:tcPr>
                <w:p w14:paraId="52C5B39C">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65</w:t>
                  </w:r>
                </w:p>
              </w:tc>
            </w:tr>
            <w:tr w14:paraId="2E542CF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7002C298">
                  <w:pPr>
                    <w:spacing w:line="240" w:lineRule="auto"/>
                    <w:jc w:val="center"/>
                    <w:rPr>
                      <w:rFonts w:hint="default" w:ascii="Times New Roman" w:hAnsi="Times New Roman" w:cs="Times New Roman"/>
                      <w:color w:val="auto"/>
                      <w:sz w:val="21"/>
                      <w:szCs w:val="21"/>
                      <w:highlight w:val="none"/>
                    </w:rPr>
                  </w:pPr>
                </w:p>
              </w:tc>
              <w:tc>
                <w:tcPr>
                  <w:tcW w:w="1614" w:type="pct"/>
                  <w:vMerge w:val="continue"/>
                  <w:tcBorders>
                    <w:left w:val="single" w:color="auto" w:sz="4" w:space="0"/>
                    <w:bottom w:val="single" w:color="auto" w:sz="4" w:space="0"/>
                    <w:right w:val="single" w:color="auto" w:sz="4" w:space="0"/>
                  </w:tcBorders>
                  <w:vAlign w:val="center"/>
                </w:tcPr>
                <w:p w14:paraId="712BCEB5">
                  <w:pPr>
                    <w:spacing w:line="240" w:lineRule="auto"/>
                    <w:jc w:val="center"/>
                    <w:rPr>
                      <w:rFonts w:hint="default" w:ascii="Times New Roman" w:hAnsi="Times New Roman" w:eastAsia="宋体" w:cs="Times New Roman"/>
                      <w:b w:val="0"/>
                      <w:bCs w:val="0"/>
                      <w:color w:val="auto"/>
                      <w:sz w:val="21"/>
                      <w:szCs w:val="21"/>
                      <w:highlight w:val="none"/>
                      <w:lang w:eastAsia="zh-CN"/>
                    </w:rPr>
                  </w:pPr>
                </w:p>
              </w:tc>
              <w:tc>
                <w:tcPr>
                  <w:tcW w:w="2182" w:type="pct"/>
                  <w:tcBorders>
                    <w:top w:val="single" w:color="auto" w:sz="6" w:space="0"/>
                    <w:left w:val="single" w:color="auto" w:sz="4" w:space="0"/>
                    <w:bottom w:val="single" w:color="auto" w:sz="6" w:space="0"/>
                    <w:right w:val="single" w:color="auto" w:sz="6" w:space="0"/>
                  </w:tcBorders>
                  <w:vAlign w:val="center"/>
                </w:tcPr>
                <w:p w14:paraId="711D4457">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敞开面控制风速小于0.3m/s；</w:t>
                  </w:r>
                </w:p>
              </w:tc>
              <w:tc>
                <w:tcPr>
                  <w:tcW w:w="758" w:type="pct"/>
                  <w:tcBorders>
                    <w:top w:val="single" w:color="auto" w:sz="6" w:space="0"/>
                    <w:left w:val="single" w:color="auto" w:sz="6" w:space="0"/>
                    <w:bottom w:val="single" w:color="auto" w:sz="6" w:space="0"/>
                  </w:tcBorders>
                  <w:vAlign w:val="center"/>
                </w:tcPr>
                <w:p w14:paraId="73D008E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w:t>
                  </w:r>
                </w:p>
              </w:tc>
            </w:tr>
            <w:tr w14:paraId="3E3E1E5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4" w:space="0"/>
                  </w:tcBorders>
                  <w:vAlign w:val="center"/>
                </w:tcPr>
                <w:p w14:paraId="3FB2C37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包围型集气设备</w:t>
                  </w:r>
                </w:p>
              </w:tc>
              <w:tc>
                <w:tcPr>
                  <w:tcW w:w="1614" w:type="pct"/>
                  <w:vMerge w:val="restart"/>
                  <w:tcBorders>
                    <w:top w:val="single" w:color="auto" w:sz="4" w:space="0"/>
                    <w:left w:val="single" w:color="auto" w:sz="4" w:space="0"/>
                    <w:right w:val="single" w:color="auto" w:sz="4" w:space="0"/>
                  </w:tcBorders>
                  <w:vAlign w:val="center"/>
                </w:tcPr>
                <w:p w14:paraId="6FCA1316">
                  <w:pPr>
                    <w:spacing w:line="240" w:lineRule="auto"/>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通过软质垂帘四周围挡（偶有部分敞开）</w:t>
                  </w:r>
                </w:p>
              </w:tc>
              <w:tc>
                <w:tcPr>
                  <w:tcW w:w="2182" w:type="pct"/>
                  <w:tcBorders>
                    <w:top w:val="single" w:color="auto" w:sz="6" w:space="0"/>
                    <w:left w:val="single" w:color="auto" w:sz="4" w:space="0"/>
                    <w:bottom w:val="single" w:color="auto" w:sz="6" w:space="0"/>
                    <w:right w:val="single" w:color="auto" w:sz="6" w:space="0"/>
                  </w:tcBorders>
                  <w:vAlign w:val="center"/>
                </w:tcPr>
                <w:p w14:paraId="16C35993">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敞开面控制风速不小于0.</w:t>
                  </w:r>
                  <w:r>
                    <w:rPr>
                      <w:rFonts w:hint="eastAsia" w:cs="Times New Roman"/>
                      <w:b w:val="0"/>
                      <w:bCs w:val="0"/>
                      <w:color w:val="auto"/>
                      <w:sz w:val="21"/>
                      <w:szCs w:val="21"/>
                      <w:highlight w:val="none"/>
                      <w:lang w:val="en-US" w:eastAsia="zh-CN"/>
                    </w:rPr>
                    <w:t>3</w:t>
                  </w:r>
                  <w:r>
                    <w:rPr>
                      <w:rFonts w:hint="default" w:ascii="Times New Roman" w:hAnsi="Times New Roman" w:cs="Times New Roman"/>
                      <w:b w:val="0"/>
                      <w:bCs w:val="0"/>
                      <w:color w:val="auto"/>
                      <w:sz w:val="21"/>
                      <w:szCs w:val="21"/>
                      <w:highlight w:val="none"/>
                    </w:rPr>
                    <w:t>m/s；</w:t>
                  </w:r>
                </w:p>
              </w:tc>
              <w:tc>
                <w:tcPr>
                  <w:tcW w:w="758" w:type="pct"/>
                  <w:tcBorders>
                    <w:top w:val="single" w:color="auto" w:sz="6" w:space="0"/>
                    <w:left w:val="single" w:color="auto" w:sz="6" w:space="0"/>
                    <w:bottom w:val="single" w:color="auto" w:sz="6" w:space="0"/>
                  </w:tcBorders>
                  <w:vAlign w:val="center"/>
                </w:tcPr>
                <w:p w14:paraId="4435593A">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lang w:val="en-US" w:eastAsia="zh-CN"/>
                    </w:rPr>
                    <w:t>0</w:t>
                  </w:r>
                </w:p>
              </w:tc>
            </w:tr>
            <w:tr w14:paraId="587093F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4" w:space="0"/>
                  </w:tcBorders>
                  <w:vAlign w:val="center"/>
                </w:tcPr>
                <w:p w14:paraId="7D06C480">
                  <w:pPr>
                    <w:spacing w:line="240" w:lineRule="auto"/>
                    <w:jc w:val="center"/>
                    <w:rPr>
                      <w:rFonts w:hint="default" w:ascii="Times New Roman" w:hAnsi="Times New Roman" w:cs="Times New Roman"/>
                      <w:color w:val="auto"/>
                      <w:sz w:val="21"/>
                      <w:szCs w:val="21"/>
                      <w:highlight w:val="none"/>
                    </w:rPr>
                  </w:pPr>
                </w:p>
              </w:tc>
              <w:tc>
                <w:tcPr>
                  <w:tcW w:w="1614" w:type="pct"/>
                  <w:vMerge w:val="continue"/>
                  <w:tcBorders>
                    <w:left w:val="single" w:color="auto" w:sz="4" w:space="0"/>
                    <w:bottom w:val="single" w:color="auto" w:sz="4" w:space="0"/>
                    <w:right w:val="single" w:color="auto" w:sz="4" w:space="0"/>
                  </w:tcBorders>
                  <w:vAlign w:val="center"/>
                </w:tcPr>
                <w:p w14:paraId="346BCB2B">
                  <w:pPr>
                    <w:spacing w:line="240" w:lineRule="auto"/>
                    <w:jc w:val="center"/>
                    <w:rPr>
                      <w:rFonts w:hint="default" w:ascii="Times New Roman" w:hAnsi="Times New Roman" w:eastAsia="宋体" w:cs="Times New Roman"/>
                      <w:b w:val="0"/>
                      <w:bCs w:val="0"/>
                      <w:color w:val="auto"/>
                      <w:sz w:val="21"/>
                      <w:szCs w:val="21"/>
                      <w:highlight w:val="none"/>
                      <w:lang w:eastAsia="zh-CN"/>
                    </w:rPr>
                  </w:pPr>
                </w:p>
              </w:tc>
              <w:tc>
                <w:tcPr>
                  <w:tcW w:w="2182" w:type="pct"/>
                  <w:tcBorders>
                    <w:top w:val="single" w:color="auto" w:sz="6" w:space="0"/>
                    <w:left w:val="single" w:color="auto" w:sz="4" w:space="0"/>
                    <w:bottom w:val="single" w:color="auto" w:sz="6" w:space="0"/>
                    <w:right w:val="single" w:color="auto" w:sz="6" w:space="0"/>
                  </w:tcBorders>
                  <w:vAlign w:val="center"/>
                </w:tcPr>
                <w:p w14:paraId="192931D8">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敞开面控制风速小于0.3m/s；</w:t>
                  </w:r>
                </w:p>
              </w:tc>
              <w:tc>
                <w:tcPr>
                  <w:tcW w:w="758" w:type="pct"/>
                  <w:tcBorders>
                    <w:top w:val="single" w:color="auto" w:sz="6" w:space="0"/>
                    <w:left w:val="single" w:color="auto" w:sz="6" w:space="0"/>
                    <w:bottom w:val="single" w:color="auto" w:sz="6" w:space="0"/>
                  </w:tcBorders>
                  <w:vAlign w:val="center"/>
                </w:tcPr>
                <w:p w14:paraId="56E37CB2">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r>
            <w:tr w14:paraId="2E4B242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restart"/>
                  <w:tcBorders>
                    <w:top w:val="single" w:color="auto" w:sz="4" w:space="0"/>
                    <w:right w:val="single" w:color="auto" w:sz="6" w:space="0"/>
                  </w:tcBorders>
                  <w:vAlign w:val="center"/>
                </w:tcPr>
                <w:p w14:paraId="44465B7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外部型集气设备</w:t>
                  </w:r>
                </w:p>
              </w:tc>
              <w:tc>
                <w:tcPr>
                  <w:tcW w:w="1614" w:type="pct"/>
                  <w:vMerge w:val="restart"/>
                  <w:tcBorders>
                    <w:top w:val="single" w:color="auto" w:sz="4" w:space="0"/>
                    <w:left w:val="single" w:color="auto" w:sz="6" w:space="0"/>
                    <w:bottom w:val="single" w:color="auto" w:sz="4" w:space="0"/>
                    <w:right w:val="single" w:color="auto" w:sz="4" w:space="0"/>
                  </w:tcBorders>
                  <w:vAlign w:val="center"/>
                </w:tcPr>
                <w:p w14:paraId="651F97F1">
                  <w:pPr>
                    <w:spacing w:line="240" w:lineRule="auto"/>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w:t>
                  </w:r>
                </w:p>
              </w:tc>
              <w:tc>
                <w:tcPr>
                  <w:tcW w:w="2182" w:type="pct"/>
                  <w:tcBorders>
                    <w:top w:val="single" w:color="auto" w:sz="6" w:space="0"/>
                    <w:left w:val="single" w:color="auto" w:sz="4" w:space="0"/>
                    <w:bottom w:val="single" w:color="auto" w:sz="6" w:space="0"/>
                    <w:right w:val="single" w:color="auto" w:sz="6" w:space="0"/>
                  </w:tcBorders>
                  <w:vAlign w:val="center"/>
                </w:tcPr>
                <w:p w14:paraId="7115455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相应工位所有VOCs逸散点控制风速不小于0.</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m/s</w:t>
                  </w:r>
                </w:p>
              </w:tc>
              <w:tc>
                <w:tcPr>
                  <w:tcW w:w="758" w:type="pct"/>
                  <w:tcBorders>
                    <w:top w:val="single" w:color="auto" w:sz="6" w:space="0"/>
                    <w:left w:val="single" w:color="auto" w:sz="6" w:space="0"/>
                    <w:bottom w:val="single" w:color="auto" w:sz="6" w:space="0"/>
                  </w:tcBorders>
                  <w:vAlign w:val="center"/>
                </w:tcPr>
                <w:p w14:paraId="70DFEFA2">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r>
            <w:tr w14:paraId="7C894C4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vMerge w:val="continue"/>
                  <w:tcBorders>
                    <w:bottom w:val="single" w:color="auto" w:sz="4" w:space="0"/>
                    <w:right w:val="single" w:color="auto" w:sz="6" w:space="0"/>
                  </w:tcBorders>
                  <w:vAlign w:val="center"/>
                </w:tcPr>
                <w:p w14:paraId="722062A5">
                  <w:pPr>
                    <w:spacing w:line="240" w:lineRule="auto"/>
                    <w:jc w:val="center"/>
                    <w:rPr>
                      <w:rFonts w:hint="default" w:ascii="Times New Roman" w:hAnsi="Times New Roman" w:cs="Times New Roman"/>
                      <w:color w:val="auto"/>
                      <w:sz w:val="21"/>
                      <w:szCs w:val="21"/>
                      <w:highlight w:val="none"/>
                    </w:rPr>
                  </w:pPr>
                </w:p>
              </w:tc>
              <w:tc>
                <w:tcPr>
                  <w:tcW w:w="1614" w:type="pct"/>
                  <w:vMerge w:val="continue"/>
                  <w:tcBorders>
                    <w:top w:val="single" w:color="auto" w:sz="4" w:space="0"/>
                    <w:left w:val="single" w:color="auto" w:sz="6" w:space="0"/>
                    <w:bottom w:val="single" w:color="auto" w:sz="4" w:space="0"/>
                    <w:right w:val="single" w:color="auto" w:sz="4" w:space="0"/>
                  </w:tcBorders>
                  <w:vAlign w:val="center"/>
                </w:tcPr>
                <w:p w14:paraId="73AC34D1">
                  <w:pPr>
                    <w:spacing w:line="240" w:lineRule="auto"/>
                    <w:jc w:val="center"/>
                    <w:rPr>
                      <w:rFonts w:hint="default" w:ascii="Times New Roman" w:hAnsi="Times New Roman" w:eastAsia="宋体" w:cs="Times New Roman"/>
                      <w:color w:val="auto"/>
                      <w:sz w:val="21"/>
                      <w:szCs w:val="21"/>
                      <w:highlight w:val="none"/>
                      <w:lang w:eastAsia="zh-CN"/>
                    </w:rPr>
                  </w:pPr>
                </w:p>
              </w:tc>
              <w:tc>
                <w:tcPr>
                  <w:tcW w:w="2182" w:type="pct"/>
                  <w:tcBorders>
                    <w:top w:val="single" w:color="auto" w:sz="6" w:space="0"/>
                    <w:left w:val="single" w:color="auto" w:sz="4" w:space="0"/>
                    <w:bottom w:val="single" w:color="auto" w:sz="6" w:space="0"/>
                    <w:right w:val="single" w:color="auto" w:sz="6" w:space="0"/>
                  </w:tcBorders>
                  <w:vAlign w:val="center"/>
                </w:tcPr>
                <w:p w14:paraId="07B43C8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相应工位所有VOCs逸散点控制风速小于0.3m/s，或存在强对流干扰</w:t>
                  </w:r>
                </w:p>
              </w:tc>
              <w:tc>
                <w:tcPr>
                  <w:tcW w:w="758" w:type="pct"/>
                  <w:tcBorders>
                    <w:top w:val="single" w:color="auto" w:sz="6" w:space="0"/>
                    <w:left w:val="single" w:color="auto" w:sz="6" w:space="0"/>
                    <w:bottom w:val="single" w:color="auto" w:sz="6" w:space="0"/>
                  </w:tcBorders>
                  <w:vAlign w:val="center"/>
                </w:tcPr>
                <w:p w14:paraId="2CA8A5B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r>
            <w:tr w14:paraId="783DD08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445" w:type="pct"/>
                  <w:tcBorders>
                    <w:top w:val="single" w:color="auto" w:sz="4" w:space="0"/>
                    <w:bottom w:val="single" w:color="auto" w:sz="4" w:space="0"/>
                    <w:right w:val="single" w:color="auto" w:sz="6" w:space="0"/>
                  </w:tcBorders>
                  <w:vAlign w:val="center"/>
                </w:tcPr>
                <w:p w14:paraId="1241498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无集气设施</w:t>
                  </w:r>
                </w:p>
              </w:tc>
              <w:tc>
                <w:tcPr>
                  <w:tcW w:w="1614" w:type="pct"/>
                  <w:tcBorders>
                    <w:top w:val="single" w:color="auto" w:sz="4" w:space="0"/>
                    <w:left w:val="single" w:color="auto" w:sz="6" w:space="0"/>
                    <w:bottom w:val="single" w:color="auto" w:sz="4" w:space="0"/>
                    <w:right w:val="single" w:color="auto" w:sz="4" w:space="0"/>
                  </w:tcBorders>
                  <w:vAlign w:val="center"/>
                </w:tcPr>
                <w:p w14:paraId="37A1AC54">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182" w:type="pct"/>
                  <w:tcBorders>
                    <w:top w:val="single" w:color="auto" w:sz="6" w:space="0"/>
                    <w:left w:val="single" w:color="auto" w:sz="4" w:space="0"/>
                    <w:bottom w:val="single" w:color="auto" w:sz="6" w:space="0"/>
                    <w:right w:val="single" w:color="auto" w:sz="6" w:space="0"/>
                  </w:tcBorders>
                  <w:vAlign w:val="center"/>
                </w:tcPr>
                <w:p w14:paraId="1B97A24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1、无集气设施；2、集气设施运行不正常</w:t>
                  </w:r>
                </w:p>
              </w:tc>
              <w:tc>
                <w:tcPr>
                  <w:tcW w:w="758" w:type="pct"/>
                  <w:tcBorders>
                    <w:top w:val="single" w:color="auto" w:sz="6" w:space="0"/>
                    <w:left w:val="single" w:color="auto" w:sz="6" w:space="0"/>
                    <w:bottom w:val="single" w:color="auto" w:sz="6" w:space="0"/>
                  </w:tcBorders>
                  <w:vAlign w:val="center"/>
                </w:tcPr>
                <w:p w14:paraId="2386ABDB">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r>
            <w:tr w14:paraId="125BEEB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cantSplit/>
                <w:trHeight w:val="397" w:hRule="atLeast"/>
                <w:jc w:val="center"/>
              </w:trPr>
              <w:tc>
                <w:tcPr>
                  <w:tcW w:w="5000" w:type="pct"/>
                  <w:gridSpan w:val="4"/>
                  <w:tcBorders>
                    <w:top w:val="single" w:color="auto" w:sz="4" w:space="0"/>
                  </w:tcBorders>
                  <w:vAlign w:val="center"/>
                </w:tcPr>
                <w:p w14:paraId="38430C1E">
                  <w:pPr>
                    <w:spacing w:line="24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备注：同一工序具有多种废气收集类型的，该工序按照废气收集效率最高的类型取值。</w:t>
                  </w:r>
                </w:p>
              </w:tc>
            </w:tr>
          </w:tbl>
          <w:p w14:paraId="2EBC6137">
            <w:pPr>
              <w:ind w:firstLine="480" w:firstLineChars="200"/>
              <w:rPr>
                <w:rFonts w:hint="eastAsia"/>
                <w:color w:val="auto"/>
                <w:kern w:val="2"/>
                <w:highlight w:val="none"/>
                <w:lang w:val="en-US" w:eastAsia="zh-CN"/>
              </w:rPr>
            </w:pPr>
            <w:r>
              <w:rPr>
                <w:color w:val="auto"/>
                <w:highlight w:val="none"/>
              </w:rPr>
              <w:t>本项目</w:t>
            </w:r>
            <w:r>
              <w:rPr>
                <w:rFonts w:hint="eastAsia"/>
                <w:color w:val="auto"/>
                <w:highlight w:val="none"/>
                <w:lang w:val="en-US" w:eastAsia="zh-CN"/>
              </w:rPr>
              <w:t>属于单层密闭负压集气罩，</w:t>
            </w:r>
            <w:r>
              <w:rPr>
                <w:color w:val="auto"/>
                <w:highlight w:val="none"/>
              </w:rPr>
              <w:t>收集效率取值为</w:t>
            </w:r>
            <w:r>
              <w:rPr>
                <w:rFonts w:hint="eastAsia"/>
                <w:color w:val="auto"/>
                <w:highlight w:val="none"/>
                <w:lang w:val="en-US" w:eastAsia="zh-CN"/>
              </w:rPr>
              <w:t>9</w:t>
            </w:r>
            <w:r>
              <w:rPr>
                <w:rFonts w:hint="eastAsia"/>
                <w:color w:val="auto"/>
                <w:highlight w:val="none"/>
              </w:rPr>
              <w:t>0</w:t>
            </w:r>
            <w:r>
              <w:rPr>
                <w:color w:val="auto"/>
                <w:highlight w:val="none"/>
              </w:rPr>
              <w:t>%</w:t>
            </w:r>
            <w:r>
              <w:rPr>
                <w:rFonts w:hint="eastAsia"/>
                <w:color w:val="auto"/>
                <w:highlight w:val="none"/>
                <w:lang w:eastAsia="zh-CN"/>
              </w:rPr>
              <w:t>，</w:t>
            </w:r>
            <w:r>
              <w:rPr>
                <w:rFonts w:hint="eastAsia"/>
                <w:color w:val="auto"/>
                <w:highlight w:val="none"/>
                <w:lang w:val="en-US" w:eastAsia="zh-CN"/>
              </w:rPr>
              <w:t>根据废气处理设施工程设计方案，废气处理设施工艺为</w:t>
            </w:r>
            <w:r>
              <w:rPr>
                <w:rFonts w:hint="eastAsia"/>
                <w:color w:val="auto"/>
                <w:kern w:val="2"/>
                <w:highlight w:val="none"/>
                <w:lang w:eastAsia="zh-CN"/>
              </w:rPr>
              <w:t>电捕焦油+气旋混动喷淋+干式过滤+活性炭吸附脱附+催化燃烧+活性炭吸附，</w:t>
            </w:r>
            <w:r>
              <w:rPr>
                <w:rFonts w:hint="eastAsia"/>
                <w:color w:val="auto"/>
                <w:kern w:val="2"/>
                <w:highlight w:val="none"/>
                <w:lang w:val="en-US" w:eastAsia="zh-CN"/>
              </w:rPr>
              <w:t>根据《第二次全国污染源普查产排污核算系数手册》中的"4220 非金属废料和碎屑加工处理行业系数表-4220 非金属废料和碎屑加工处理行业系数表"喷淋塔对颗粒物的去除效率为75%，废气先经气旋混动喷淋去除大部分粗大颗粒物，再经干式过滤进一步截留微细粉尘与残余气溶胶，颗粒物去除效率取85%～90%（取85%）。</w:t>
            </w:r>
            <w:r>
              <w:rPr>
                <w:rFonts w:hint="default" w:ascii="Times New Roman" w:hAnsi="Times New Roman" w:cs="Times New Roman"/>
                <w:color w:val="auto"/>
                <w:sz w:val="24"/>
                <w:highlight w:val="none"/>
              </w:rPr>
              <w:t>当存在两种或两种以上治理设施联合治理时，治理效率可按公式η=1-（1-η</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）×（1-η</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）...（1-η</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）进行计算，则本项目废气处理工艺对</w:t>
            </w:r>
            <w:r>
              <w:rPr>
                <w:rFonts w:hint="eastAsia" w:ascii="Times New Roman" w:hAnsi="Times New Roman" w:cs="Times New Roman"/>
                <w:color w:val="auto"/>
                <w:sz w:val="24"/>
                <w:highlight w:val="none"/>
                <w:lang w:val="en-US" w:eastAsia="zh-CN"/>
              </w:rPr>
              <w:t>颗粒物</w:t>
            </w:r>
            <w:r>
              <w:rPr>
                <w:rFonts w:hint="default" w:ascii="Times New Roman" w:hAnsi="Times New Roman" w:cs="Times New Roman"/>
                <w:color w:val="auto"/>
                <w:sz w:val="24"/>
                <w:highlight w:val="none"/>
              </w:rPr>
              <w:t>总处理效率合计为1-（1-</w:t>
            </w:r>
            <w:r>
              <w:rPr>
                <w:rFonts w:hint="eastAsia" w:ascii="Times New Roman" w:hAnsi="Times New Roman" w:cs="Times New Roman"/>
                <w:color w:val="auto"/>
                <w:sz w:val="24"/>
                <w:highlight w:val="none"/>
                <w:lang w:val="en-US" w:eastAsia="zh-CN"/>
              </w:rPr>
              <w:t>75</w:t>
            </w: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85</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96.25</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w:t>
            </w:r>
            <w:r>
              <w:rPr>
                <w:rFonts w:hint="eastAsia"/>
                <w:color w:val="auto"/>
                <w:kern w:val="2"/>
                <w:highlight w:val="none"/>
                <w:lang w:val="en-US" w:eastAsia="zh-CN"/>
              </w:rPr>
              <w:t>颗粒物综合去除效率可达95% 以上，有效保护后续治理设备不被堵塞、污染。</w:t>
            </w:r>
          </w:p>
          <w:p w14:paraId="7402F217">
            <w:pPr>
              <w:ind w:firstLine="480" w:firstLineChars="200"/>
              <w:rPr>
                <w:color w:val="auto"/>
                <w:highlight w:val="none"/>
              </w:rPr>
            </w:pPr>
            <w:r>
              <w:rPr>
                <w:color w:val="auto"/>
                <w:highlight w:val="none"/>
              </w:rPr>
              <w:t>据</w:t>
            </w:r>
            <w:r>
              <w:rPr>
                <w:rFonts w:hint="eastAsia"/>
                <w:bCs/>
                <w:color w:val="auto"/>
                <w:spacing w:val="-10"/>
                <w:highlight w:val="none"/>
              </w:rPr>
              <w:t>《广东省生态环境厅关于印发工业源挥发性有机物和氮氧化物减排量核算方法的通知》（粤环函〔2023〕538号）</w:t>
            </w:r>
            <w:r>
              <w:rPr>
                <w:color w:val="auto"/>
                <w:highlight w:val="none"/>
              </w:rPr>
              <w:t>中“表3.3-</w:t>
            </w:r>
            <w:r>
              <w:rPr>
                <w:rFonts w:hint="eastAsia"/>
                <w:color w:val="auto"/>
                <w:highlight w:val="none"/>
              </w:rPr>
              <w:t>3</w:t>
            </w:r>
            <w:r>
              <w:rPr>
                <w:color w:val="auto"/>
                <w:highlight w:val="none"/>
              </w:rPr>
              <w:t xml:space="preserve"> 废气治理效率参考值”的说明，本项目</w:t>
            </w:r>
            <w:r>
              <w:rPr>
                <w:rFonts w:hint="eastAsia"/>
                <w:color w:val="auto"/>
                <w:highlight w:val="none"/>
                <w:lang w:val="en-US" w:eastAsia="zh-CN"/>
              </w:rPr>
              <w:t>造粒废气</w:t>
            </w:r>
            <w:r>
              <w:rPr>
                <w:color w:val="auto"/>
                <w:highlight w:val="none"/>
              </w:rPr>
              <w:t>采用</w:t>
            </w:r>
            <w:r>
              <w:rPr>
                <w:rFonts w:hint="eastAsia"/>
                <w:color w:val="auto"/>
                <w:highlight w:val="none"/>
              </w:rPr>
              <w:t>“</w:t>
            </w:r>
            <w:r>
              <w:rPr>
                <w:rFonts w:hint="eastAsia"/>
                <w:color w:val="auto"/>
                <w:kern w:val="2"/>
                <w:highlight w:val="none"/>
                <w:lang w:eastAsia="zh-CN"/>
              </w:rPr>
              <w:t>电捕焦油+气旋混动喷淋+干式过滤+活性炭吸附脱附+催化燃烧+活性炭吸附</w:t>
            </w:r>
            <w:r>
              <w:rPr>
                <w:rFonts w:hint="eastAsia"/>
                <w:color w:val="auto"/>
                <w:highlight w:val="none"/>
              </w:rPr>
              <w:t>”</w:t>
            </w:r>
            <w:r>
              <w:rPr>
                <w:rFonts w:hint="eastAsia"/>
                <w:color w:val="auto"/>
                <w:highlight w:val="none"/>
                <w:lang w:val="en-US" w:eastAsia="zh-CN"/>
              </w:rPr>
              <w:t>工艺</w:t>
            </w:r>
            <w:r>
              <w:rPr>
                <w:rFonts w:hint="eastAsia"/>
                <w:color w:val="auto"/>
                <w:highlight w:val="none"/>
              </w:rPr>
              <w:t>，</w:t>
            </w:r>
            <w:r>
              <w:rPr>
                <w:rFonts w:hint="eastAsia"/>
                <w:color w:val="auto"/>
                <w:highlight w:val="none"/>
                <w:lang w:val="en-US" w:eastAsia="zh-CN"/>
              </w:rPr>
              <w:t>对非甲烷总烃的</w:t>
            </w:r>
            <w:r>
              <w:rPr>
                <w:color w:val="auto"/>
                <w:highlight w:val="none"/>
              </w:rPr>
              <w:t>治理效率</w:t>
            </w:r>
            <w:r>
              <w:rPr>
                <w:rFonts w:hint="eastAsia"/>
                <w:color w:val="auto"/>
                <w:highlight w:val="none"/>
                <w:lang w:val="en-US" w:eastAsia="zh-CN"/>
              </w:rPr>
              <w:t>取</w:t>
            </w:r>
            <w:r>
              <w:rPr>
                <w:rFonts w:hint="eastAsia"/>
                <w:color w:val="auto"/>
                <w:highlight w:val="none"/>
              </w:rPr>
              <w:t>60</w:t>
            </w:r>
            <w:r>
              <w:rPr>
                <w:color w:val="auto"/>
                <w:highlight w:val="none"/>
              </w:rPr>
              <w:t>%</w:t>
            </w:r>
            <w:r>
              <w:rPr>
                <w:rFonts w:hint="eastAsia"/>
                <w:color w:val="auto"/>
                <w:kern w:val="2"/>
                <w:highlight w:val="none"/>
                <w:lang w:val="en-US" w:eastAsia="zh-CN"/>
              </w:rPr>
              <w:t>，本环评对颗粒物的去除效率取95%，废气经</w:t>
            </w:r>
            <w:r>
              <w:rPr>
                <w:color w:val="auto"/>
                <w:highlight w:val="none"/>
              </w:rPr>
              <w:t>处理后通过</w:t>
            </w:r>
            <w:r>
              <w:rPr>
                <w:rFonts w:hint="eastAsia"/>
                <w:color w:val="auto"/>
                <w:highlight w:val="none"/>
                <w:lang w:eastAsia="zh-CN"/>
              </w:rPr>
              <w:t>15m</w:t>
            </w:r>
            <w:r>
              <w:rPr>
                <w:color w:val="auto"/>
                <w:highlight w:val="none"/>
              </w:rPr>
              <w:t>排气筒（DA00</w:t>
            </w:r>
            <w:r>
              <w:rPr>
                <w:rFonts w:hint="eastAsia"/>
                <w:color w:val="auto"/>
                <w:highlight w:val="none"/>
                <w:lang w:val="en-US" w:eastAsia="zh-CN"/>
              </w:rPr>
              <w:t>1</w:t>
            </w:r>
            <w:r>
              <w:rPr>
                <w:color w:val="auto"/>
                <w:highlight w:val="none"/>
              </w:rPr>
              <w:t>）排放。</w:t>
            </w:r>
          </w:p>
          <w:p w14:paraId="3B6FF298">
            <w:pPr>
              <w:tabs>
                <w:tab w:val="left" w:pos="0"/>
              </w:tabs>
              <w:ind w:firstLine="40"/>
              <w:jc w:val="center"/>
              <w:rPr>
                <w:rFonts w:hint="eastAsia"/>
                <w:b/>
                <w:bCs/>
                <w:color w:val="auto"/>
                <w:sz w:val="21"/>
                <w:szCs w:val="21"/>
                <w:highlight w:val="none"/>
              </w:rPr>
            </w:pPr>
            <w:r>
              <w:rPr>
                <w:b/>
                <w:color w:val="auto"/>
                <w:sz w:val="21"/>
                <w:szCs w:val="21"/>
                <w:highlight w:val="none"/>
              </w:rPr>
              <w:t>表4-</w:t>
            </w:r>
            <w:r>
              <w:rPr>
                <w:rFonts w:hint="eastAsia"/>
                <w:b/>
                <w:color w:val="auto"/>
                <w:sz w:val="21"/>
                <w:szCs w:val="21"/>
                <w:highlight w:val="none"/>
              </w:rPr>
              <w:t>3</w:t>
            </w:r>
            <w:r>
              <w:rPr>
                <w:b/>
                <w:bCs/>
                <w:color w:val="auto"/>
                <w:sz w:val="21"/>
                <w:szCs w:val="21"/>
                <w:highlight w:val="none"/>
              </w:rPr>
              <w:t>本项目</w:t>
            </w:r>
            <w:r>
              <w:rPr>
                <w:rFonts w:hint="eastAsia"/>
                <w:b/>
                <w:bCs/>
                <w:color w:val="auto"/>
                <w:sz w:val="21"/>
                <w:szCs w:val="21"/>
                <w:highlight w:val="none"/>
              </w:rPr>
              <w:t>破碎粉尘</w:t>
            </w:r>
            <w:r>
              <w:rPr>
                <w:b/>
                <w:bCs/>
                <w:color w:val="auto"/>
                <w:sz w:val="21"/>
                <w:szCs w:val="21"/>
                <w:highlight w:val="none"/>
              </w:rPr>
              <w:t>产生</w:t>
            </w:r>
            <w:r>
              <w:rPr>
                <w:rFonts w:hint="eastAsia"/>
                <w:b/>
                <w:bCs/>
                <w:color w:val="auto"/>
                <w:sz w:val="21"/>
                <w:szCs w:val="21"/>
                <w:highlight w:val="none"/>
              </w:rPr>
              <w:t>排放情况</w:t>
            </w:r>
          </w:p>
          <w:tbl>
            <w:tblPr>
              <w:tblStyle w:val="49"/>
              <w:tblW w:w="92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4"/>
              <w:gridCol w:w="1857"/>
              <w:gridCol w:w="2011"/>
              <w:gridCol w:w="1604"/>
              <w:gridCol w:w="1545"/>
              <w:gridCol w:w="1254"/>
            </w:tblGrid>
            <w:tr w14:paraId="7CB7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46"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4A067CF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排气筒编号</w:t>
                  </w:r>
                </w:p>
              </w:tc>
              <w:tc>
                <w:tcPr>
                  <w:tcW w:w="2010" w:type="dxa"/>
                  <w:tcBorders>
                    <w:top w:val="single" w:color="000000" w:sz="8" w:space="0"/>
                    <w:left w:val="nil"/>
                    <w:bottom w:val="single" w:color="000000" w:sz="8" w:space="0"/>
                    <w:right w:val="single" w:color="000000" w:sz="8" w:space="0"/>
                  </w:tcBorders>
                  <w:shd w:val="clear" w:color="auto" w:fill="auto"/>
                  <w:vAlign w:val="center"/>
                </w:tcPr>
                <w:p w14:paraId="10939177">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DA001</w:t>
                  </w:r>
                </w:p>
              </w:tc>
              <w:tc>
                <w:tcPr>
                  <w:tcW w:w="2371" w:type="pct"/>
                  <w:gridSpan w:val="3"/>
                  <w:tcBorders>
                    <w:top w:val="single" w:color="000000" w:sz="8" w:space="0"/>
                    <w:left w:val="nil"/>
                    <w:bottom w:val="single" w:color="000000" w:sz="8" w:space="0"/>
                    <w:right w:val="single" w:color="000000" w:sz="8" w:space="0"/>
                  </w:tcBorders>
                  <w:shd w:val="clear" w:color="auto" w:fill="auto"/>
                  <w:vAlign w:val="center"/>
                </w:tcPr>
                <w:p w14:paraId="0B5D95D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DA00</w:t>
                  </w:r>
                  <w:r>
                    <w:rPr>
                      <w:rFonts w:hint="eastAsia" w:cs="Times New Roman"/>
                      <w:b/>
                      <w:bCs/>
                      <w:i w:val="0"/>
                      <w:iCs w:val="0"/>
                      <w:color w:val="auto"/>
                      <w:kern w:val="0"/>
                      <w:sz w:val="21"/>
                      <w:szCs w:val="21"/>
                      <w:highlight w:val="none"/>
                      <w:u w:val="none"/>
                      <w:lang w:val="en-US" w:eastAsia="zh-CN" w:bidi="ar"/>
                    </w:rPr>
                    <w:t>2</w:t>
                  </w:r>
                </w:p>
              </w:tc>
            </w:tr>
            <w:tr w14:paraId="7A9C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7C43BD69">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工序</w:t>
                  </w:r>
                </w:p>
              </w:tc>
              <w:tc>
                <w:tcPr>
                  <w:tcW w:w="2010" w:type="dxa"/>
                  <w:tcBorders>
                    <w:top w:val="nil"/>
                    <w:left w:val="nil"/>
                    <w:bottom w:val="single" w:color="000000" w:sz="8" w:space="0"/>
                    <w:right w:val="single" w:color="000000" w:sz="8" w:space="0"/>
                  </w:tcBorders>
                  <w:shd w:val="clear" w:color="auto" w:fill="auto"/>
                  <w:vAlign w:val="center"/>
                </w:tcPr>
                <w:p w14:paraId="129BF99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干法破碎</w:t>
                  </w:r>
                </w:p>
              </w:tc>
              <w:tc>
                <w:tcPr>
                  <w:tcW w:w="2371" w:type="pct"/>
                  <w:gridSpan w:val="3"/>
                  <w:tcBorders>
                    <w:top w:val="nil"/>
                    <w:left w:val="nil"/>
                    <w:bottom w:val="single" w:color="000000" w:sz="8" w:space="0"/>
                    <w:right w:val="single" w:color="000000" w:sz="8" w:space="0"/>
                  </w:tcBorders>
                  <w:shd w:val="clear" w:color="auto" w:fill="auto"/>
                  <w:vAlign w:val="center"/>
                </w:tcPr>
                <w:p w14:paraId="39D404A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造粒</w:t>
                  </w:r>
                </w:p>
              </w:tc>
            </w:tr>
            <w:tr w14:paraId="1EEB6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362E7B4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w:t>
                  </w:r>
                </w:p>
              </w:tc>
              <w:tc>
                <w:tcPr>
                  <w:tcW w:w="2010" w:type="dxa"/>
                  <w:tcBorders>
                    <w:top w:val="nil"/>
                    <w:left w:val="nil"/>
                    <w:bottom w:val="single" w:color="000000" w:sz="8" w:space="0"/>
                    <w:right w:val="single" w:color="000000" w:sz="8" w:space="0"/>
                  </w:tcBorders>
                  <w:shd w:val="clear" w:color="auto" w:fill="auto"/>
                  <w:vAlign w:val="center"/>
                </w:tcPr>
                <w:p w14:paraId="58952ADE">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864" w:type="pct"/>
                  <w:tcBorders>
                    <w:top w:val="nil"/>
                    <w:left w:val="nil"/>
                    <w:bottom w:val="single" w:color="000000" w:sz="8" w:space="0"/>
                    <w:right w:val="single" w:color="000000" w:sz="8" w:space="0"/>
                  </w:tcBorders>
                  <w:shd w:val="clear" w:color="auto" w:fill="auto"/>
                  <w:vAlign w:val="center"/>
                </w:tcPr>
                <w:p w14:paraId="6C4D306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832" w:type="pct"/>
                  <w:tcBorders>
                    <w:top w:val="nil"/>
                    <w:left w:val="nil"/>
                    <w:bottom w:val="single" w:color="000000" w:sz="8" w:space="0"/>
                    <w:right w:val="single" w:color="000000" w:sz="8" w:space="0"/>
                  </w:tcBorders>
                  <w:shd w:val="clear" w:color="auto" w:fill="auto"/>
                  <w:vAlign w:val="center"/>
                </w:tcPr>
                <w:p w14:paraId="5ED8845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674" w:type="pct"/>
                  <w:tcBorders>
                    <w:top w:val="nil"/>
                    <w:left w:val="nil"/>
                    <w:bottom w:val="single" w:color="000000" w:sz="8" w:space="0"/>
                    <w:right w:val="single" w:color="000000" w:sz="8" w:space="0"/>
                  </w:tcBorders>
                  <w:shd w:val="clear" w:color="auto" w:fill="auto"/>
                  <w:vAlign w:val="center"/>
                </w:tcPr>
                <w:p w14:paraId="2C74118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r>
            <w:tr w14:paraId="30F1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2D3C24D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生产时间（</w:t>
                  </w:r>
                  <w:r>
                    <w:rPr>
                      <w:rFonts w:hint="default" w:ascii="Times New Roman" w:hAnsi="Times New Roman" w:eastAsia="宋体" w:cs="Times New Roman"/>
                      <w:b/>
                      <w:bCs/>
                      <w:i w:val="0"/>
                      <w:iCs w:val="0"/>
                      <w:color w:val="auto"/>
                      <w:kern w:val="0"/>
                      <w:sz w:val="21"/>
                      <w:szCs w:val="21"/>
                      <w:highlight w:val="none"/>
                      <w:u w:val="none"/>
                      <w:lang w:val="en-US" w:eastAsia="zh-CN" w:bidi="ar"/>
                    </w:rPr>
                    <w:t>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4EF0EA0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c>
                <w:tcPr>
                  <w:tcW w:w="2371" w:type="pct"/>
                  <w:gridSpan w:val="3"/>
                  <w:tcBorders>
                    <w:top w:val="nil"/>
                    <w:left w:val="nil"/>
                    <w:bottom w:val="single" w:color="000000" w:sz="8" w:space="0"/>
                    <w:right w:val="single" w:color="000000" w:sz="8" w:space="0"/>
                  </w:tcBorders>
                  <w:shd w:val="clear" w:color="auto" w:fill="auto"/>
                  <w:vAlign w:val="center"/>
                </w:tcPr>
                <w:p w14:paraId="4058C63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3680D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590B4B8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773C718C">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14.260</w:t>
                  </w:r>
                </w:p>
              </w:tc>
              <w:tc>
                <w:tcPr>
                  <w:tcW w:w="1605" w:type="dxa"/>
                  <w:tcBorders>
                    <w:top w:val="nil"/>
                    <w:left w:val="nil"/>
                    <w:bottom w:val="single" w:color="000000" w:sz="8" w:space="0"/>
                    <w:right w:val="single" w:color="000000" w:sz="8" w:space="0"/>
                  </w:tcBorders>
                  <w:shd w:val="clear" w:color="auto" w:fill="auto"/>
                  <w:vAlign w:val="center"/>
                </w:tcPr>
                <w:p w14:paraId="5E712E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1.523</w:t>
                  </w:r>
                </w:p>
              </w:tc>
              <w:tc>
                <w:tcPr>
                  <w:tcW w:w="1545" w:type="dxa"/>
                  <w:tcBorders>
                    <w:top w:val="nil"/>
                    <w:left w:val="nil"/>
                    <w:bottom w:val="single" w:color="000000" w:sz="8" w:space="0"/>
                    <w:right w:val="single" w:color="000000" w:sz="8" w:space="0"/>
                  </w:tcBorders>
                  <w:shd w:val="clear" w:color="auto" w:fill="auto"/>
                  <w:vAlign w:val="center"/>
                </w:tcPr>
                <w:p w14:paraId="215BC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12.564 </w:t>
                  </w:r>
                </w:p>
              </w:tc>
              <w:tc>
                <w:tcPr>
                  <w:tcW w:w="1254" w:type="dxa"/>
                  <w:tcBorders>
                    <w:top w:val="nil"/>
                    <w:left w:val="nil"/>
                    <w:bottom w:val="single" w:color="000000" w:sz="8" w:space="0"/>
                    <w:right w:val="single" w:color="000000" w:sz="8" w:space="0"/>
                  </w:tcBorders>
                  <w:shd w:val="clear" w:color="auto" w:fill="auto"/>
                  <w:vAlign w:val="center"/>
                </w:tcPr>
                <w:p w14:paraId="0115E6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43AE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7CB4CFD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收集效率</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1DB3DE8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4404" w:type="dxa"/>
                  <w:gridSpan w:val="3"/>
                  <w:tcBorders>
                    <w:top w:val="nil"/>
                    <w:left w:val="nil"/>
                    <w:bottom w:val="single" w:color="000000" w:sz="8" w:space="0"/>
                    <w:right w:val="single" w:color="000000" w:sz="8" w:space="0"/>
                  </w:tcBorders>
                  <w:shd w:val="clear" w:color="auto" w:fill="auto"/>
                  <w:vAlign w:val="center"/>
                </w:tcPr>
                <w:p w14:paraId="27A4BD6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r>
            <w:tr w14:paraId="27BF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4E96C11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设计废气量（</w:t>
                  </w:r>
                  <w:r>
                    <w:rPr>
                      <w:rFonts w:hint="default" w:ascii="Times New Roman" w:hAnsi="Times New Roman" w:eastAsia="宋体" w:cs="Times New Roman"/>
                      <w:b/>
                      <w:bCs/>
                      <w:i w:val="0"/>
                      <w:iCs w:val="0"/>
                      <w:color w:val="auto"/>
                      <w:kern w:val="0"/>
                      <w:sz w:val="21"/>
                      <w:szCs w:val="21"/>
                      <w:highlight w:val="none"/>
                      <w:u w:val="none"/>
                      <w:lang w:val="en-US" w:eastAsia="zh-CN" w:bidi="ar"/>
                    </w:rPr>
                    <w:t>m³/h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551EE78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4404" w:type="dxa"/>
                  <w:gridSpan w:val="3"/>
                  <w:tcBorders>
                    <w:top w:val="nil"/>
                    <w:left w:val="nil"/>
                    <w:bottom w:val="single" w:color="000000" w:sz="8" w:space="0"/>
                    <w:right w:val="single" w:color="000000" w:sz="8" w:space="0"/>
                  </w:tcBorders>
                  <w:shd w:val="clear" w:color="auto" w:fill="auto"/>
                  <w:vAlign w:val="center"/>
                </w:tcPr>
                <w:p w14:paraId="2C143E8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60000</w:t>
                  </w:r>
                </w:p>
              </w:tc>
            </w:tr>
            <w:tr w14:paraId="50F38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restart"/>
                  <w:tcBorders>
                    <w:top w:val="nil"/>
                    <w:left w:val="single" w:color="000000" w:sz="8" w:space="0"/>
                    <w:bottom w:val="single" w:color="000000" w:sz="8" w:space="0"/>
                    <w:right w:val="single" w:color="000000" w:sz="8" w:space="0"/>
                  </w:tcBorders>
                  <w:shd w:val="clear" w:color="auto" w:fill="auto"/>
                  <w:vAlign w:val="center"/>
                </w:tcPr>
                <w:p w14:paraId="4234A58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有组织</w:t>
                  </w:r>
                </w:p>
              </w:tc>
              <w:tc>
                <w:tcPr>
                  <w:tcW w:w="999" w:type="pct"/>
                  <w:tcBorders>
                    <w:top w:val="nil"/>
                    <w:left w:val="nil"/>
                    <w:bottom w:val="single" w:color="000000" w:sz="8" w:space="0"/>
                    <w:right w:val="single" w:color="000000" w:sz="8" w:space="0"/>
                  </w:tcBorders>
                  <w:shd w:val="clear" w:color="auto" w:fill="auto"/>
                  <w:vAlign w:val="center"/>
                </w:tcPr>
                <w:p w14:paraId="5013292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0F6E93C5">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12.834 </w:t>
                  </w:r>
                </w:p>
              </w:tc>
              <w:tc>
                <w:tcPr>
                  <w:tcW w:w="1605" w:type="dxa"/>
                  <w:tcBorders>
                    <w:top w:val="nil"/>
                    <w:left w:val="nil"/>
                    <w:bottom w:val="single" w:color="000000" w:sz="8" w:space="0"/>
                    <w:right w:val="single" w:color="000000" w:sz="8" w:space="0"/>
                  </w:tcBorders>
                  <w:shd w:val="clear" w:color="auto" w:fill="auto"/>
                  <w:vAlign w:val="center"/>
                </w:tcPr>
                <w:p w14:paraId="44D029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1.371 </w:t>
                  </w:r>
                </w:p>
              </w:tc>
              <w:tc>
                <w:tcPr>
                  <w:tcW w:w="1545" w:type="dxa"/>
                  <w:tcBorders>
                    <w:top w:val="nil"/>
                    <w:left w:val="nil"/>
                    <w:bottom w:val="single" w:color="000000" w:sz="8" w:space="0"/>
                    <w:right w:val="single" w:color="000000" w:sz="8" w:space="0"/>
                  </w:tcBorders>
                  <w:shd w:val="clear" w:color="auto" w:fill="auto"/>
                  <w:vAlign w:val="center"/>
                </w:tcPr>
                <w:p w14:paraId="48753D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11.307 </w:t>
                  </w:r>
                </w:p>
              </w:tc>
              <w:tc>
                <w:tcPr>
                  <w:tcW w:w="1254" w:type="dxa"/>
                  <w:tcBorders>
                    <w:top w:val="nil"/>
                    <w:left w:val="nil"/>
                    <w:bottom w:val="single" w:color="000000" w:sz="8" w:space="0"/>
                    <w:right w:val="single" w:color="000000" w:sz="8" w:space="0"/>
                  </w:tcBorders>
                  <w:shd w:val="clear" w:color="auto" w:fill="auto"/>
                  <w:vAlign w:val="center"/>
                </w:tcPr>
                <w:p w14:paraId="3C68CC8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21F70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22EFB55F">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1A35906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产生速率（</w:t>
                  </w:r>
                  <w:r>
                    <w:rPr>
                      <w:rFonts w:hint="default" w:ascii="Times New Roman" w:hAnsi="Times New Roman" w:eastAsia="宋体" w:cs="Times New Roman"/>
                      <w:b/>
                      <w:bCs/>
                      <w:i w:val="0"/>
                      <w:iCs w:val="0"/>
                      <w:color w:val="auto"/>
                      <w:kern w:val="0"/>
                      <w:sz w:val="21"/>
                      <w:szCs w:val="21"/>
                      <w:highlight w:val="none"/>
                      <w:u w:val="none"/>
                      <w:lang w:val="en-US" w:eastAsia="zh-CN" w:bidi="ar"/>
                    </w:rPr>
                    <w:t>kg/h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64936C6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1.620 </w:t>
                  </w:r>
                </w:p>
              </w:tc>
              <w:tc>
                <w:tcPr>
                  <w:tcW w:w="1605" w:type="dxa"/>
                  <w:tcBorders>
                    <w:top w:val="nil"/>
                    <w:left w:val="nil"/>
                    <w:bottom w:val="single" w:color="000000" w:sz="8" w:space="0"/>
                    <w:right w:val="single" w:color="000000" w:sz="8" w:space="0"/>
                  </w:tcBorders>
                  <w:shd w:val="clear" w:color="auto" w:fill="auto"/>
                  <w:vAlign w:val="center"/>
                </w:tcPr>
                <w:p w14:paraId="2443EA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0.173 </w:t>
                  </w:r>
                </w:p>
              </w:tc>
              <w:tc>
                <w:tcPr>
                  <w:tcW w:w="1545" w:type="dxa"/>
                  <w:tcBorders>
                    <w:top w:val="nil"/>
                    <w:left w:val="nil"/>
                    <w:bottom w:val="single" w:color="000000" w:sz="8" w:space="0"/>
                    <w:right w:val="single" w:color="000000" w:sz="8" w:space="0"/>
                  </w:tcBorders>
                  <w:shd w:val="clear" w:color="auto" w:fill="auto"/>
                  <w:vAlign w:val="center"/>
                </w:tcPr>
                <w:p w14:paraId="06C3D9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1.428 </w:t>
                  </w:r>
                </w:p>
              </w:tc>
              <w:tc>
                <w:tcPr>
                  <w:tcW w:w="1254" w:type="dxa"/>
                  <w:tcBorders>
                    <w:top w:val="nil"/>
                    <w:left w:val="nil"/>
                    <w:bottom w:val="single" w:color="000000" w:sz="8" w:space="0"/>
                    <w:right w:val="single" w:color="000000" w:sz="8" w:space="0"/>
                  </w:tcBorders>
                  <w:shd w:val="clear" w:color="auto" w:fill="auto"/>
                  <w:vAlign w:val="center"/>
                </w:tcPr>
                <w:p w14:paraId="08C7A7D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5AF1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1B3F13B8">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4D41B42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产生浓度（</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35CE6EC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202.6 </w:t>
                  </w:r>
                </w:p>
              </w:tc>
              <w:tc>
                <w:tcPr>
                  <w:tcW w:w="1605" w:type="dxa"/>
                  <w:tcBorders>
                    <w:top w:val="nil"/>
                    <w:left w:val="nil"/>
                    <w:bottom w:val="single" w:color="000000" w:sz="8" w:space="0"/>
                    <w:right w:val="single" w:color="000000" w:sz="8" w:space="0"/>
                  </w:tcBorders>
                  <w:shd w:val="clear" w:color="auto" w:fill="auto"/>
                  <w:vAlign w:val="center"/>
                </w:tcPr>
                <w:p w14:paraId="285857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2.9 </w:t>
                  </w:r>
                </w:p>
              </w:tc>
              <w:tc>
                <w:tcPr>
                  <w:tcW w:w="1545" w:type="dxa"/>
                  <w:tcBorders>
                    <w:top w:val="nil"/>
                    <w:left w:val="nil"/>
                    <w:bottom w:val="single" w:color="000000" w:sz="8" w:space="0"/>
                    <w:right w:val="single" w:color="000000" w:sz="8" w:space="0"/>
                  </w:tcBorders>
                  <w:shd w:val="clear" w:color="auto" w:fill="auto"/>
                  <w:vAlign w:val="center"/>
                </w:tcPr>
                <w:p w14:paraId="18048F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23.8 </w:t>
                  </w:r>
                </w:p>
              </w:tc>
              <w:tc>
                <w:tcPr>
                  <w:tcW w:w="1254" w:type="dxa"/>
                  <w:tcBorders>
                    <w:top w:val="nil"/>
                    <w:left w:val="nil"/>
                    <w:bottom w:val="single" w:color="000000" w:sz="8" w:space="0"/>
                    <w:right w:val="single" w:color="000000" w:sz="8" w:space="0"/>
                  </w:tcBorders>
                  <w:shd w:val="clear" w:color="auto" w:fill="auto"/>
                  <w:vAlign w:val="center"/>
                </w:tcPr>
                <w:p w14:paraId="57F4C6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19D77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49E4562B">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15AA03A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处理工艺</w:t>
                  </w:r>
                </w:p>
              </w:tc>
              <w:tc>
                <w:tcPr>
                  <w:tcW w:w="2010" w:type="dxa"/>
                  <w:tcBorders>
                    <w:top w:val="nil"/>
                    <w:left w:val="nil"/>
                    <w:bottom w:val="single" w:color="000000" w:sz="8" w:space="0"/>
                    <w:right w:val="single" w:color="000000" w:sz="8" w:space="0"/>
                  </w:tcBorders>
                  <w:shd w:val="clear" w:color="auto" w:fill="auto"/>
                  <w:vAlign w:val="center"/>
                </w:tcPr>
                <w:p w14:paraId="4633C4A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布袋除尘器</w:t>
                  </w:r>
                </w:p>
              </w:tc>
              <w:tc>
                <w:tcPr>
                  <w:tcW w:w="4404" w:type="dxa"/>
                  <w:gridSpan w:val="3"/>
                  <w:tcBorders>
                    <w:top w:val="nil"/>
                    <w:left w:val="nil"/>
                    <w:bottom w:val="single" w:color="000000" w:sz="8" w:space="0"/>
                    <w:right w:val="single" w:color="000000" w:sz="8" w:space="0"/>
                  </w:tcBorders>
                  <w:shd w:val="clear" w:color="auto" w:fill="auto"/>
                  <w:vAlign w:val="center"/>
                </w:tcPr>
                <w:p w14:paraId="3B40993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电捕焦油+气旋混动喷淋+干式过滤+活性炭吸附脱附+催化燃烧+活性炭吸附</w:t>
                  </w:r>
                </w:p>
              </w:tc>
            </w:tr>
            <w:tr w14:paraId="2734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0320CE53">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7222D03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处理效率</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3EF29D3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1605" w:type="dxa"/>
                  <w:tcBorders>
                    <w:top w:val="nil"/>
                    <w:left w:val="nil"/>
                    <w:bottom w:val="single" w:color="000000" w:sz="8" w:space="0"/>
                    <w:right w:val="single" w:color="000000" w:sz="8" w:space="0"/>
                  </w:tcBorders>
                  <w:shd w:val="clear" w:color="auto" w:fill="auto"/>
                  <w:vAlign w:val="center"/>
                </w:tcPr>
                <w:p w14:paraId="7DD9413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r>
                    <w:rPr>
                      <w:rFonts w:hint="eastAsia" w:cs="Times New Roman"/>
                      <w:i w:val="0"/>
                      <w:iCs w:val="0"/>
                      <w:color w:val="auto"/>
                      <w:kern w:val="0"/>
                      <w:sz w:val="21"/>
                      <w:szCs w:val="21"/>
                      <w:highlight w:val="none"/>
                      <w:u w:val="none"/>
                      <w:lang w:val="en-US" w:eastAsia="zh-CN" w:bidi="ar"/>
                    </w:rPr>
                    <w:t>5</w:t>
                  </w:r>
                </w:p>
              </w:tc>
              <w:tc>
                <w:tcPr>
                  <w:tcW w:w="1545" w:type="dxa"/>
                  <w:tcBorders>
                    <w:top w:val="nil"/>
                    <w:left w:val="nil"/>
                    <w:bottom w:val="single" w:color="000000" w:sz="8" w:space="0"/>
                    <w:right w:val="single" w:color="000000" w:sz="8" w:space="0"/>
                  </w:tcBorders>
                  <w:shd w:val="clear" w:color="auto" w:fill="auto"/>
                  <w:vAlign w:val="center"/>
                </w:tcPr>
                <w:p w14:paraId="7ACDB76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80</w:t>
                  </w:r>
                </w:p>
              </w:tc>
              <w:tc>
                <w:tcPr>
                  <w:tcW w:w="1254" w:type="dxa"/>
                  <w:tcBorders>
                    <w:top w:val="nil"/>
                    <w:left w:val="nil"/>
                    <w:bottom w:val="single" w:color="000000" w:sz="8" w:space="0"/>
                    <w:right w:val="single" w:color="000000" w:sz="8" w:space="0"/>
                  </w:tcBorders>
                  <w:shd w:val="clear" w:color="auto" w:fill="auto"/>
                  <w:vAlign w:val="center"/>
                </w:tcPr>
                <w:p w14:paraId="72D1118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w:t>
                  </w:r>
                </w:p>
              </w:tc>
            </w:tr>
            <w:tr w14:paraId="710E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54F13EFE">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6A3DFB4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废气量（</w:t>
                  </w:r>
                  <w:r>
                    <w:rPr>
                      <w:rFonts w:hint="default" w:ascii="Times New Roman" w:hAnsi="Times New Roman" w:eastAsia="宋体" w:cs="Times New Roman"/>
                      <w:b/>
                      <w:bCs/>
                      <w:i w:val="0"/>
                      <w:iCs w:val="0"/>
                      <w:color w:val="auto"/>
                      <w:kern w:val="0"/>
                      <w:sz w:val="21"/>
                      <w:szCs w:val="21"/>
                      <w:highlight w:val="none"/>
                      <w:u w:val="none"/>
                      <w:lang w:val="en-US" w:eastAsia="zh-CN" w:bidi="ar"/>
                    </w:rPr>
                    <w:t>m³/h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52BA7D4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4404" w:type="dxa"/>
                  <w:gridSpan w:val="3"/>
                  <w:tcBorders>
                    <w:top w:val="nil"/>
                    <w:left w:val="nil"/>
                    <w:bottom w:val="single" w:color="000000" w:sz="8" w:space="0"/>
                    <w:right w:val="single" w:color="000000" w:sz="8" w:space="0"/>
                  </w:tcBorders>
                  <w:shd w:val="clear" w:color="auto" w:fill="auto"/>
                  <w:vAlign w:val="center"/>
                </w:tcPr>
                <w:p w14:paraId="09E413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60000</w:t>
                  </w:r>
                </w:p>
              </w:tc>
            </w:tr>
            <w:tr w14:paraId="3033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77C5FD89">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77A379A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4C25234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0.642 </w:t>
                  </w:r>
                </w:p>
              </w:tc>
              <w:tc>
                <w:tcPr>
                  <w:tcW w:w="1605" w:type="dxa"/>
                  <w:tcBorders>
                    <w:top w:val="nil"/>
                    <w:left w:val="nil"/>
                    <w:bottom w:val="single" w:color="000000" w:sz="8" w:space="0"/>
                    <w:right w:val="single" w:color="000000" w:sz="8" w:space="0"/>
                  </w:tcBorders>
                  <w:shd w:val="clear" w:color="auto" w:fill="auto"/>
                  <w:vAlign w:val="center"/>
                </w:tcPr>
                <w:p w14:paraId="2389DC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0.069 </w:t>
                  </w:r>
                </w:p>
              </w:tc>
              <w:tc>
                <w:tcPr>
                  <w:tcW w:w="1545" w:type="dxa"/>
                  <w:tcBorders>
                    <w:top w:val="nil"/>
                    <w:left w:val="nil"/>
                    <w:bottom w:val="single" w:color="000000" w:sz="8" w:space="0"/>
                    <w:right w:val="single" w:color="000000" w:sz="8" w:space="0"/>
                  </w:tcBorders>
                  <w:shd w:val="clear" w:color="auto" w:fill="auto"/>
                  <w:vAlign w:val="center"/>
                </w:tcPr>
                <w:p w14:paraId="24CD94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2.26</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254" w:type="dxa"/>
                  <w:tcBorders>
                    <w:top w:val="nil"/>
                    <w:left w:val="nil"/>
                    <w:bottom w:val="single" w:color="000000" w:sz="8" w:space="0"/>
                    <w:right w:val="single" w:color="000000" w:sz="8" w:space="0"/>
                  </w:tcBorders>
                  <w:shd w:val="clear" w:color="auto" w:fill="auto"/>
                  <w:vAlign w:val="center"/>
                </w:tcPr>
                <w:p w14:paraId="48140C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F40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66A0B696">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3D2EB18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排放速率（</w:t>
                  </w:r>
                  <w:r>
                    <w:rPr>
                      <w:rFonts w:hint="default" w:ascii="Times New Roman" w:hAnsi="Times New Roman" w:eastAsia="宋体" w:cs="Times New Roman"/>
                      <w:b/>
                      <w:bCs/>
                      <w:i w:val="0"/>
                      <w:iCs w:val="0"/>
                      <w:color w:val="auto"/>
                      <w:kern w:val="0"/>
                      <w:sz w:val="21"/>
                      <w:szCs w:val="21"/>
                      <w:highlight w:val="none"/>
                      <w:u w:val="none"/>
                      <w:lang w:val="en-US" w:eastAsia="zh-CN" w:bidi="ar"/>
                    </w:rPr>
                    <w:t>kg/h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7DA78AF4">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0.081 </w:t>
                  </w:r>
                </w:p>
              </w:tc>
              <w:tc>
                <w:tcPr>
                  <w:tcW w:w="1605" w:type="dxa"/>
                  <w:tcBorders>
                    <w:top w:val="nil"/>
                    <w:left w:val="nil"/>
                    <w:bottom w:val="single" w:color="000000" w:sz="8" w:space="0"/>
                    <w:right w:val="single" w:color="000000" w:sz="8" w:space="0"/>
                  </w:tcBorders>
                  <w:shd w:val="clear" w:color="auto" w:fill="auto"/>
                  <w:vAlign w:val="center"/>
                </w:tcPr>
                <w:p w14:paraId="2C8DD6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0.009 </w:t>
                  </w:r>
                </w:p>
              </w:tc>
              <w:tc>
                <w:tcPr>
                  <w:tcW w:w="1545" w:type="dxa"/>
                  <w:tcBorders>
                    <w:top w:val="nil"/>
                    <w:left w:val="nil"/>
                    <w:bottom w:val="single" w:color="000000" w:sz="8" w:space="0"/>
                    <w:right w:val="single" w:color="000000" w:sz="8" w:space="0"/>
                  </w:tcBorders>
                  <w:shd w:val="clear" w:color="auto" w:fill="auto"/>
                  <w:vAlign w:val="center"/>
                </w:tcPr>
                <w:p w14:paraId="673F12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0.286 </w:t>
                  </w:r>
                </w:p>
              </w:tc>
              <w:tc>
                <w:tcPr>
                  <w:tcW w:w="1254" w:type="dxa"/>
                  <w:tcBorders>
                    <w:top w:val="nil"/>
                    <w:left w:val="nil"/>
                    <w:bottom w:val="single" w:color="000000" w:sz="8" w:space="0"/>
                    <w:right w:val="single" w:color="000000" w:sz="8" w:space="0"/>
                  </w:tcBorders>
                  <w:shd w:val="clear" w:color="auto" w:fill="auto"/>
                  <w:vAlign w:val="center"/>
                </w:tcPr>
                <w:p w14:paraId="5483061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3904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50A7385D">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0EF5150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排放浓度（</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1511E4F0">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10.1 </w:t>
                  </w:r>
                </w:p>
              </w:tc>
              <w:tc>
                <w:tcPr>
                  <w:tcW w:w="1605" w:type="dxa"/>
                  <w:tcBorders>
                    <w:top w:val="nil"/>
                    <w:left w:val="nil"/>
                    <w:bottom w:val="single" w:color="000000" w:sz="8" w:space="0"/>
                    <w:right w:val="single" w:color="000000" w:sz="8" w:space="0"/>
                  </w:tcBorders>
                  <w:shd w:val="clear" w:color="auto" w:fill="auto"/>
                  <w:vAlign w:val="center"/>
                </w:tcPr>
                <w:p w14:paraId="474C3A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0.14 </w:t>
                  </w:r>
                </w:p>
              </w:tc>
              <w:tc>
                <w:tcPr>
                  <w:tcW w:w="1545" w:type="dxa"/>
                  <w:tcBorders>
                    <w:top w:val="nil"/>
                    <w:left w:val="nil"/>
                    <w:bottom w:val="single" w:color="000000" w:sz="8" w:space="0"/>
                    <w:right w:val="single" w:color="000000" w:sz="8" w:space="0"/>
                  </w:tcBorders>
                  <w:shd w:val="clear" w:color="auto" w:fill="auto"/>
                  <w:vAlign w:val="center"/>
                </w:tcPr>
                <w:p w14:paraId="4DA010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4.8 </w:t>
                  </w:r>
                </w:p>
              </w:tc>
              <w:tc>
                <w:tcPr>
                  <w:tcW w:w="1254" w:type="dxa"/>
                  <w:tcBorders>
                    <w:top w:val="nil"/>
                    <w:left w:val="nil"/>
                    <w:bottom w:val="single" w:color="000000" w:sz="8" w:space="0"/>
                    <w:right w:val="single" w:color="000000" w:sz="8" w:space="0"/>
                  </w:tcBorders>
                  <w:shd w:val="clear" w:color="auto" w:fill="auto"/>
                  <w:vAlign w:val="center"/>
                </w:tcPr>
                <w:p w14:paraId="2002F6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C98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restart"/>
                  <w:tcBorders>
                    <w:top w:val="nil"/>
                    <w:left w:val="single" w:color="000000" w:sz="8" w:space="0"/>
                    <w:bottom w:val="single" w:color="000000" w:sz="8" w:space="0"/>
                    <w:right w:val="single" w:color="000000" w:sz="8" w:space="0"/>
                  </w:tcBorders>
                  <w:shd w:val="clear" w:color="auto" w:fill="auto"/>
                  <w:vAlign w:val="center"/>
                </w:tcPr>
                <w:p w14:paraId="298539A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无组织</w:t>
                  </w:r>
                </w:p>
              </w:tc>
              <w:tc>
                <w:tcPr>
                  <w:tcW w:w="999" w:type="pct"/>
                  <w:tcBorders>
                    <w:top w:val="nil"/>
                    <w:left w:val="nil"/>
                    <w:bottom w:val="single" w:color="000000" w:sz="8" w:space="0"/>
                    <w:right w:val="single" w:color="000000" w:sz="8" w:space="0"/>
                  </w:tcBorders>
                  <w:shd w:val="clear" w:color="auto" w:fill="auto"/>
                  <w:vAlign w:val="center"/>
                </w:tcPr>
                <w:p w14:paraId="3CCFE63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5AC02C3E">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1.426 </w:t>
                  </w:r>
                </w:p>
              </w:tc>
              <w:tc>
                <w:tcPr>
                  <w:tcW w:w="1605" w:type="dxa"/>
                  <w:tcBorders>
                    <w:top w:val="nil"/>
                    <w:left w:val="nil"/>
                    <w:bottom w:val="single" w:color="000000" w:sz="8" w:space="0"/>
                    <w:right w:val="single" w:color="000000" w:sz="8" w:space="0"/>
                  </w:tcBorders>
                  <w:shd w:val="clear" w:color="auto" w:fill="auto"/>
                  <w:vAlign w:val="center"/>
                </w:tcPr>
                <w:p w14:paraId="1DD8AC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0.152 </w:t>
                  </w:r>
                </w:p>
              </w:tc>
              <w:tc>
                <w:tcPr>
                  <w:tcW w:w="1545" w:type="dxa"/>
                  <w:tcBorders>
                    <w:top w:val="nil"/>
                    <w:left w:val="nil"/>
                    <w:bottom w:val="single" w:color="000000" w:sz="8" w:space="0"/>
                    <w:right w:val="single" w:color="000000" w:sz="8" w:space="0"/>
                  </w:tcBorders>
                  <w:shd w:val="clear" w:color="auto" w:fill="auto"/>
                  <w:vAlign w:val="center"/>
                </w:tcPr>
                <w:p w14:paraId="09E2B5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1.256 </w:t>
                  </w:r>
                </w:p>
              </w:tc>
              <w:tc>
                <w:tcPr>
                  <w:tcW w:w="1254" w:type="dxa"/>
                  <w:tcBorders>
                    <w:top w:val="nil"/>
                    <w:left w:val="nil"/>
                    <w:bottom w:val="single" w:color="000000" w:sz="8" w:space="0"/>
                    <w:right w:val="single" w:color="000000" w:sz="8" w:space="0"/>
                  </w:tcBorders>
                  <w:shd w:val="clear" w:color="auto" w:fill="auto"/>
                  <w:vAlign w:val="center"/>
                </w:tcPr>
                <w:p w14:paraId="76142F3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1A04A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46" w:type="pct"/>
                  <w:vMerge w:val="continue"/>
                  <w:tcBorders>
                    <w:top w:val="nil"/>
                    <w:left w:val="single" w:color="000000" w:sz="8" w:space="0"/>
                    <w:bottom w:val="single" w:color="000000" w:sz="8" w:space="0"/>
                    <w:right w:val="single" w:color="000000" w:sz="8" w:space="0"/>
                  </w:tcBorders>
                  <w:shd w:val="clear" w:color="auto" w:fill="auto"/>
                  <w:vAlign w:val="center"/>
                </w:tcPr>
                <w:p w14:paraId="65417EED">
                  <w:pPr>
                    <w:spacing w:line="240" w:lineRule="auto"/>
                    <w:jc w:val="center"/>
                    <w:rPr>
                      <w:rFonts w:hint="eastAsia" w:ascii="宋体" w:hAnsi="宋体" w:eastAsia="宋体" w:cs="宋体"/>
                      <w:b/>
                      <w:bCs/>
                      <w:i w:val="0"/>
                      <w:iCs w:val="0"/>
                      <w:color w:val="auto"/>
                      <w:sz w:val="21"/>
                      <w:szCs w:val="21"/>
                      <w:highlight w:val="none"/>
                      <w:u w:val="none"/>
                    </w:rPr>
                  </w:pPr>
                </w:p>
              </w:tc>
              <w:tc>
                <w:tcPr>
                  <w:tcW w:w="999" w:type="pct"/>
                  <w:tcBorders>
                    <w:top w:val="nil"/>
                    <w:left w:val="nil"/>
                    <w:bottom w:val="single" w:color="000000" w:sz="8" w:space="0"/>
                    <w:right w:val="single" w:color="000000" w:sz="8" w:space="0"/>
                  </w:tcBorders>
                  <w:shd w:val="clear" w:color="auto" w:fill="auto"/>
                  <w:vAlign w:val="center"/>
                </w:tcPr>
                <w:p w14:paraId="00DB625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排放速率（</w:t>
                  </w:r>
                  <w:r>
                    <w:rPr>
                      <w:rFonts w:hint="default" w:ascii="Times New Roman" w:hAnsi="Times New Roman" w:eastAsia="宋体" w:cs="Times New Roman"/>
                      <w:b/>
                      <w:bCs/>
                      <w:i w:val="0"/>
                      <w:iCs w:val="0"/>
                      <w:color w:val="auto"/>
                      <w:kern w:val="0"/>
                      <w:sz w:val="21"/>
                      <w:szCs w:val="21"/>
                      <w:highlight w:val="none"/>
                      <w:u w:val="none"/>
                      <w:lang w:val="en-US" w:eastAsia="zh-CN" w:bidi="ar"/>
                    </w:rPr>
                    <w:t>kg/h</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274ECF4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0.18 </w:t>
                  </w:r>
                </w:p>
              </w:tc>
              <w:tc>
                <w:tcPr>
                  <w:tcW w:w="1605" w:type="dxa"/>
                  <w:tcBorders>
                    <w:top w:val="nil"/>
                    <w:left w:val="nil"/>
                    <w:bottom w:val="single" w:color="000000" w:sz="8" w:space="0"/>
                    <w:right w:val="single" w:color="000000" w:sz="8" w:space="0"/>
                  </w:tcBorders>
                  <w:shd w:val="clear" w:color="auto" w:fill="auto"/>
                  <w:vAlign w:val="center"/>
                </w:tcPr>
                <w:p w14:paraId="1B62EE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0.019 </w:t>
                  </w:r>
                </w:p>
              </w:tc>
              <w:tc>
                <w:tcPr>
                  <w:tcW w:w="1545" w:type="dxa"/>
                  <w:tcBorders>
                    <w:top w:val="nil"/>
                    <w:left w:val="nil"/>
                    <w:bottom w:val="single" w:color="000000" w:sz="8" w:space="0"/>
                    <w:right w:val="single" w:color="000000" w:sz="8" w:space="0"/>
                  </w:tcBorders>
                  <w:shd w:val="clear" w:color="auto" w:fill="auto"/>
                  <w:vAlign w:val="center"/>
                </w:tcPr>
                <w:p w14:paraId="170D01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0.159 </w:t>
                  </w:r>
                </w:p>
              </w:tc>
              <w:tc>
                <w:tcPr>
                  <w:tcW w:w="1254" w:type="dxa"/>
                  <w:tcBorders>
                    <w:top w:val="nil"/>
                    <w:left w:val="nil"/>
                    <w:bottom w:val="single" w:color="000000" w:sz="8" w:space="0"/>
                    <w:right w:val="single" w:color="000000" w:sz="8" w:space="0"/>
                  </w:tcBorders>
                  <w:shd w:val="clear" w:color="auto" w:fill="auto"/>
                  <w:vAlign w:val="center"/>
                </w:tcPr>
                <w:p w14:paraId="0007521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330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46" w:type="pct"/>
                  <w:tcBorders>
                    <w:top w:val="nil"/>
                    <w:left w:val="single" w:color="000000" w:sz="8" w:space="0"/>
                    <w:bottom w:val="single" w:color="000000" w:sz="8" w:space="0"/>
                    <w:right w:val="single" w:color="000000" w:sz="8" w:space="0"/>
                  </w:tcBorders>
                  <w:shd w:val="clear" w:color="auto" w:fill="auto"/>
                  <w:vAlign w:val="center"/>
                </w:tcPr>
                <w:p w14:paraId="252B03E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有组织</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无组织合计</w:t>
                  </w:r>
                </w:p>
              </w:tc>
              <w:tc>
                <w:tcPr>
                  <w:tcW w:w="999" w:type="pct"/>
                  <w:tcBorders>
                    <w:top w:val="nil"/>
                    <w:left w:val="nil"/>
                    <w:bottom w:val="single" w:color="000000" w:sz="8" w:space="0"/>
                    <w:right w:val="single" w:color="000000" w:sz="8" w:space="0"/>
                  </w:tcBorders>
                  <w:shd w:val="clear" w:color="auto" w:fill="auto"/>
                  <w:vAlign w:val="center"/>
                </w:tcPr>
                <w:p w14:paraId="2EA8D51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2010" w:type="dxa"/>
                  <w:tcBorders>
                    <w:top w:val="nil"/>
                    <w:left w:val="nil"/>
                    <w:bottom w:val="single" w:color="000000" w:sz="8" w:space="0"/>
                    <w:right w:val="single" w:color="000000" w:sz="8" w:space="0"/>
                  </w:tcBorders>
                  <w:shd w:val="clear" w:color="auto" w:fill="auto"/>
                  <w:vAlign w:val="center"/>
                </w:tcPr>
                <w:p w14:paraId="517AF60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2.068 </w:t>
                  </w:r>
                </w:p>
              </w:tc>
              <w:tc>
                <w:tcPr>
                  <w:tcW w:w="1605" w:type="dxa"/>
                  <w:tcBorders>
                    <w:top w:val="nil"/>
                    <w:left w:val="nil"/>
                    <w:bottom w:val="single" w:color="000000" w:sz="8" w:space="0"/>
                    <w:right w:val="single" w:color="000000" w:sz="8" w:space="0"/>
                  </w:tcBorders>
                  <w:shd w:val="clear" w:color="auto" w:fill="auto"/>
                  <w:vAlign w:val="center"/>
                </w:tcPr>
                <w:p w14:paraId="4235F6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1545" w:type="dxa"/>
                  <w:tcBorders>
                    <w:top w:val="nil"/>
                    <w:left w:val="nil"/>
                    <w:bottom w:val="single" w:color="000000" w:sz="8" w:space="0"/>
                    <w:right w:val="single" w:color="000000" w:sz="8" w:space="0"/>
                  </w:tcBorders>
                  <w:shd w:val="clear" w:color="auto" w:fill="auto"/>
                  <w:vAlign w:val="center"/>
                </w:tcPr>
                <w:p w14:paraId="1DEC91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3.518 </w:t>
                  </w:r>
                </w:p>
              </w:tc>
              <w:tc>
                <w:tcPr>
                  <w:tcW w:w="1254" w:type="dxa"/>
                  <w:tcBorders>
                    <w:top w:val="nil"/>
                    <w:left w:val="nil"/>
                    <w:bottom w:val="single" w:color="000000" w:sz="8" w:space="0"/>
                    <w:right w:val="single" w:color="000000" w:sz="8" w:space="0"/>
                  </w:tcBorders>
                  <w:shd w:val="clear" w:color="auto" w:fill="auto"/>
                  <w:vAlign w:val="center"/>
                </w:tcPr>
                <w:p w14:paraId="6775E49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6659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46" w:type="pct"/>
                  <w:gridSpan w:val="2"/>
                  <w:tcBorders>
                    <w:top w:val="nil"/>
                    <w:left w:val="single" w:color="000000" w:sz="8" w:space="0"/>
                    <w:bottom w:val="single" w:color="000000" w:sz="8" w:space="0"/>
                    <w:right w:val="single" w:color="000000" w:sz="8" w:space="0"/>
                  </w:tcBorders>
                  <w:shd w:val="clear" w:color="auto" w:fill="auto"/>
                  <w:vAlign w:val="center"/>
                </w:tcPr>
                <w:p w14:paraId="4C60D3B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有组织排放高度</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2010" w:type="dxa"/>
                  <w:tcBorders>
                    <w:top w:val="nil"/>
                    <w:left w:val="nil"/>
                    <w:bottom w:val="single" w:color="000000" w:sz="8" w:space="0"/>
                    <w:right w:val="single" w:color="000000" w:sz="8" w:space="0"/>
                  </w:tcBorders>
                  <w:shd w:val="clear" w:color="auto" w:fill="auto"/>
                  <w:vAlign w:val="center"/>
                </w:tcPr>
                <w:p w14:paraId="1C0F67BE">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15m</w:t>
                  </w:r>
                </w:p>
              </w:tc>
              <w:tc>
                <w:tcPr>
                  <w:tcW w:w="4404" w:type="dxa"/>
                  <w:gridSpan w:val="3"/>
                  <w:tcBorders>
                    <w:top w:val="nil"/>
                    <w:left w:val="nil"/>
                    <w:bottom w:val="single" w:color="000000" w:sz="8" w:space="0"/>
                    <w:right w:val="single" w:color="000000" w:sz="8" w:space="0"/>
                  </w:tcBorders>
                  <w:shd w:val="clear" w:color="auto" w:fill="auto"/>
                  <w:vAlign w:val="center"/>
                </w:tcPr>
                <w:p w14:paraId="2E2DA40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15m</w:t>
                  </w:r>
                </w:p>
              </w:tc>
            </w:tr>
          </w:tbl>
          <w:p w14:paraId="228CED4C">
            <w:pPr>
              <w:pStyle w:val="115"/>
              <w:tabs>
                <w:tab w:val="left" w:pos="0"/>
              </w:tabs>
              <w:snapToGrid/>
              <w:ind w:firstLine="40" w:firstLineChars="0"/>
              <w:jc w:val="center"/>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 xml:space="preserve">4 </w:t>
            </w:r>
            <w:r>
              <w:rPr>
                <w:b/>
                <w:bCs/>
                <w:color w:val="auto"/>
                <w:sz w:val="21"/>
                <w:szCs w:val="21"/>
                <w:highlight w:val="none"/>
              </w:rPr>
              <w:t>大气污染物有组织排放量核算表</w:t>
            </w:r>
          </w:p>
          <w:tbl>
            <w:tblPr>
              <w:tblStyle w:val="4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3"/>
              <w:gridCol w:w="942"/>
              <w:gridCol w:w="1392"/>
              <w:gridCol w:w="2054"/>
              <w:gridCol w:w="2137"/>
              <w:gridCol w:w="1973"/>
            </w:tblGrid>
            <w:tr w14:paraId="7122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66E3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C127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排放口</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32A8E">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w:t>
                  </w: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6E62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核算排放浓度</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2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65DF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核算排放速率</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kg/h</w:t>
                  </w:r>
                  <w:r>
                    <w:rPr>
                      <w:rFonts w:hint="eastAsia" w:ascii="宋体" w:hAnsi="宋体" w:eastAsia="宋体" w:cs="宋体"/>
                      <w:b/>
                      <w:bCs/>
                      <w:i w:val="0"/>
                      <w:iCs w:val="0"/>
                      <w:color w:val="auto"/>
                      <w:kern w:val="0"/>
                      <w:sz w:val="21"/>
                      <w:szCs w:val="21"/>
                      <w:highlight w:val="none"/>
                      <w:u w:val="none"/>
                      <w:lang w:val="en-US" w:eastAsia="zh-CN" w:bidi="ar"/>
                    </w:rPr>
                    <w:t>）</w:t>
                  </w:r>
                </w:p>
              </w:tc>
              <w:tc>
                <w:tcPr>
                  <w:tcW w:w="1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EBD3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核算年排放量</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r>
            <w:tr w14:paraId="0461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B7BB">
                  <w:pPr>
                    <w:spacing w:line="240" w:lineRule="auto"/>
                    <w:jc w:val="center"/>
                    <w:rPr>
                      <w:rFonts w:hint="eastAsia" w:ascii="宋体" w:hAnsi="宋体" w:eastAsia="宋体" w:cs="宋体"/>
                      <w:b/>
                      <w:bCs/>
                      <w:i w:val="0"/>
                      <w:iCs w:val="0"/>
                      <w:color w:val="auto"/>
                      <w:sz w:val="21"/>
                      <w:szCs w:val="21"/>
                      <w:highlight w:val="none"/>
                      <w:u w:val="none"/>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182B7">
                  <w:pPr>
                    <w:spacing w:line="240" w:lineRule="auto"/>
                    <w:jc w:val="center"/>
                    <w:rPr>
                      <w:rFonts w:hint="eastAsia" w:ascii="宋体" w:hAnsi="宋体" w:eastAsia="宋体" w:cs="宋体"/>
                      <w:b/>
                      <w:bCs/>
                      <w:i w:val="0"/>
                      <w:iCs w:val="0"/>
                      <w:color w:val="auto"/>
                      <w:sz w:val="21"/>
                      <w:szCs w:val="21"/>
                      <w:highlight w:val="none"/>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A24BA">
                  <w:pPr>
                    <w:spacing w:line="240" w:lineRule="auto"/>
                    <w:jc w:val="center"/>
                    <w:rPr>
                      <w:rFonts w:hint="eastAsia" w:ascii="宋体" w:hAnsi="宋体" w:eastAsia="宋体" w:cs="宋体"/>
                      <w:b/>
                      <w:bCs/>
                      <w:i w:val="0"/>
                      <w:iCs w:val="0"/>
                      <w:color w:val="auto"/>
                      <w:sz w:val="21"/>
                      <w:szCs w:val="21"/>
                      <w:highlight w:val="none"/>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49037">
                  <w:pPr>
                    <w:spacing w:line="240" w:lineRule="auto"/>
                    <w:jc w:val="center"/>
                    <w:rPr>
                      <w:rFonts w:hint="eastAsia" w:ascii="宋体" w:hAnsi="宋体" w:eastAsia="宋体" w:cs="宋体"/>
                      <w:b/>
                      <w:bCs/>
                      <w:i w:val="0"/>
                      <w:iCs w:val="0"/>
                      <w:color w:val="auto"/>
                      <w:sz w:val="21"/>
                      <w:szCs w:val="21"/>
                      <w:highlight w:val="none"/>
                      <w:u w:val="none"/>
                    </w:rPr>
                  </w:pPr>
                </w:p>
              </w:tc>
              <w:tc>
                <w:tcPr>
                  <w:tcW w:w="2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69BC">
                  <w:pPr>
                    <w:spacing w:line="240" w:lineRule="auto"/>
                    <w:jc w:val="center"/>
                    <w:rPr>
                      <w:rFonts w:hint="eastAsia" w:ascii="宋体" w:hAnsi="宋体" w:eastAsia="宋体" w:cs="宋体"/>
                      <w:b/>
                      <w:bCs/>
                      <w:i w:val="0"/>
                      <w:iCs w:val="0"/>
                      <w:color w:val="auto"/>
                      <w:sz w:val="21"/>
                      <w:szCs w:val="21"/>
                      <w:highlight w:val="none"/>
                      <w:u w:val="none"/>
                    </w:rPr>
                  </w:pPr>
                </w:p>
              </w:tc>
              <w:tc>
                <w:tcPr>
                  <w:tcW w:w="1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ADE40">
                  <w:pPr>
                    <w:spacing w:line="240" w:lineRule="auto"/>
                    <w:jc w:val="center"/>
                    <w:rPr>
                      <w:rFonts w:hint="eastAsia" w:ascii="宋体" w:hAnsi="宋体" w:eastAsia="宋体" w:cs="宋体"/>
                      <w:b/>
                      <w:bCs/>
                      <w:i w:val="0"/>
                      <w:iCs w:val="0"/>
                      <w:color w:val="auto"/>
                      <w:sz w:val="21"/>
                      <w:szCs w:val="21"/>
                      <w:highlight w:val="none"/>
                      <w:u w:val="none"/>
                    </w:rPr>
                  </w:pPr>
                </w:p>
              </w:tc>
            </w:tr>
            <w:tr w14:paraId="3A56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564C5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一般排放口</w:t>
                  </w:r>
                </w:p>
              </w:tc>
            </w:tr>
            <w:tr w14:paraId="4E10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81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DB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DA001</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F19F">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1B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10.1 </w:t>
                  </w:r>
                </w:p>
              </w:tc>
              <w:tc>
                <w:tcPr>
                  <w:tcW w:w="2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66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0.081 </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E9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0.642 </w:t>
                  </w:r>
                </w:p>
              </w:tc>
            </w:tr>
            <w:tr w14:paraId="5B58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DB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61C4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DA002</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144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04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0.14 </w:t>
                  </w:r>
                </w:p>
              </w:tc>
              <w:tc>
                <w:tcPr>
                  <w:tcW w:w="2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19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0.009 </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F2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0.069 </w:t>
                  </w:r>
                </w:p>
              </w:tc>
            </w:tr>
            <w:tr w14:paraId="063E1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9F8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EE47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D44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54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4.8 </w:t>
                  </w:r>
                </w:p>
              </w:tc>
              <w:tc>
                <w:tcPr>
                  <w:tcW w:w="2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76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0.286 </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CF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2.26</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1992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0C22">
                  <w:pPr>
                    <w:keepNext w:val="0"/>
                    <w:keepLines w:val="0"/>
                    <w:widowControl/>
                    <w:suppressLineNumbers w:val="0"/>
                    <w:spacing w:line="240" w:lineRule="auto"/>
                    <w:jc w:val="right"/>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EF7EF">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671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09C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2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60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237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92B8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18FB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一般排放口总计</w:t>
                  </w: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1922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CD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0.71</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7D7F6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976F">
                  <w:pPr>
                    <w:spacing w:line="240" w:lineRule="auto"/>
                    <w:jc w:val="center"/>
                    <w:rPr>
                      <w:rFonts w:hint="eastAsia" w:ascii="宋体" w:hAnsi="宋体" w:eastAsia="宋体" w:cs="宋体"/>
                      <w:i w:val="0"/>
                      <w:iCs w:val="0"/>
                      <w:color w:val="auto"/>
                      <w:sz w:val="21"/>
                      <w:szCs w:val="21"/>
                      <w:highlight w:val="none"/>
                      <w:u w:val="none"/>
                    </w:rPr>
                  </w:pP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21BC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E1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2.262</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73A7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B958">
                  <w:pPr>
                    <w:spacing w:line="240" w:lineRule="auto"/>
                    <w:jc w:val="center"/>
                    <w:rPr>
                      <w:rFonts w:hint="eastAsia" w:ascii="宋体" w:hAnsi="宋体" w:eastAsia="宋体" w:cs="宋体"/>
                      <w:i w:val="0"/>
                      <w:iCs w:val="0"/>
                      <w:color w:val="auto"/>
                      <w:sz w:val="21"/>
                      <w:szCs w:val="21"/>
                      <w:highlight w:val="none"/>
                      <w:u w:val="none"/>
                    </w:rPr>
                  </w:pP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51F30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A7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29813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1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08966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有组织排放总计</w:t>
                  </w:r>
                </w:p>
              </w:tc>
            </w:tr>
            <w:tr w14:paraId="5F395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F2D9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有组织排放总计</w:t>
                  </w: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439B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C9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0.71</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27DD8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0E2A4">
                  <w:pPr>
                    <w:spacing w:line="240" w:lineRule="auto"/>
                    <w:jc w:val="center"/>
                    <w:rPr>
                      <w:rFonts w:hint="eastAsia" w:ascii="宋体" w:hAnsi="宋体" w:eastAsia="宋体" w:cs="宋体"/>
                      <w:i w:val="0"/>
                      <w:iCs w:val="0"/>
                      <w:color w:val="auto"/>
                      <w:sz w:val="21"/>
                      <w:szCs w:val="21"/>
                      <w:highlight w:val="none"/>
                      <w:u w:val="none"/>
                    </w:rPr>
                  </w:pP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9C6F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B0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2.262</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0EC2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A505A">
                  <w:pPr>
                    <w:spacing w:line="240" w:lineRule="auto"/>
                    <w:jc w:val="center"/>
                    <w:rPr>
                      <w:rFonts w:hint="eastAsia" w:ascii="宋体" w:hAnsi="宋体" w:eastAsia="宋体" w:cs="宋体"/>
                      <w:i w:val="0"/>
                      <w:iCs w:val="0"/>
                      <w:color w:val="auto"/>
                      <w:sz w:val="21"/>
                      <w:szCs w:val="21"/>
                      <w:highlight w:val="none"/>
                      <w:u w:val="none"/>
                    </w:rPr>
                  </w:pPr>
                </w:p>
              </w:tc>
              <w:tc>
                <w:tcPr>
                  <w:tcW w:w="55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40B4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BC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bl>
          <w:p w14:paraId="575FF8A3">
            <w:pPr>
              <w:pStyle w:val="115"/>
              <w:tabs>
                <w:tab w:val="left" w:pos="0"/>
              </w:tabs>
              <w:snapToGrid/>
              <w:ind w:firstLine="40" w:firstLineChars="0"/>
              <w:jc w:val="center"/>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5</w:t>
            </w:r>
            <w:r>
              <w:rPr>
                <w:b/>
                <w:bCs/>
                <w:color w:val="auto"/>
                <w:sz w:val="21"/>
                <w:szCs w:val="21"/>
                <w:highlight w:val="none"/>
              </w:rPr>
              <w:t>大气污染物</w:t>
            </w:r>
            <w:r>
              <w:rPr>
                <w:rFonts w:hint="eastAsia"/>
                <w:b/>
                <w:bCs/>
                <w:color w:val="auto"/>
                <w:sz w:val="21"/>
                <w:szCs w:val="21"/>
                <w:highlight w:val="none"/>
              </w:rPr>
              <w:t>无</w:t>
            </w:r>
            <w:r>
              <w:rPr>
                <w:b/>
                <w:bCs/>
                <w:color w:val="auto"/>
                <w:sz w:val="21"/>
                <w:szCs w:val="21"/>
                <w:highlight w:val="none"/>
              </w:rPr>
              <w:t>组织排放量核算表</w:t>
            </w:r>
          </w:p>
          <w:tbl>
            <w:tblPr>
              <w:tblStyle w:val="49"/>
              <w:tblW w:w="91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4"/>
              <w:gridCol w:w="775"/>
              <w:gridCol w:w="706"/>
              <w:gridCol w:w="866"/>
              <w:gridCol w:w="518"/>
              <w:gridCol w:w="888"/>
              <w:gridCol w:w="2509"/>
              <w:gridCol w:w="1220"/>
              <w:gridCol w:w="881"/>
            </w:tblGrid>
            <w:tr w14:paraId="3154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9F5B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F3577">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排放口编号</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1011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产污环节</w:t>
                  </w:r>
                </w:p>
              </w:tc>
              <w:tc>
                <w:tcPr>
                  <w:tcW w:w="7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789F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EDC9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主要污染防治措施</w:t>
                  </w:r>
                </w:p>
              </w:tc>
              <w:tc>
                <w:tcPr>
                  <w:tcW w:w="20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7FB5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国家或地方污染物排放标准</w:t>
                  </w:r>
                </w:p>
              </w:tc>
              <w:tc>
                <w:tcPr>
                  <w:tcW w:w="4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8629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年排放量</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r>
            <w:tr w14:paraId="14141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EA8E0">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6CBF4">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8546D">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7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E5C57">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DA0FF">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7A2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标准名称</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119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浓度限值（</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094E">
                  <w:pPr>
                    <w:spacing w:line="240" w:lineRule="auto"/>
                    <w:jc w:val="center"/>
                    <w:rPr>
                      <w:rFonts w:hint="default" w:ascii="Times New Roman" w:hAnsi="Times New Roman" w:eastAsia="宋体" w:cs="Times New Roman"/>
                      <w:b/>
                      <w:bCs/>
                      <w:i w:val="0"/>
                      <w:iCs w:val="0"/>
                      <w:color w:val="auto"/>
                      <w:sz w:val="21"/>
                      <w:szCs w:val="21"/>
                      <w:highlight w:val="none"/>
                      <w:u w:val="none"/>
                    </w:rPr>
                  </w:pPr>
                </w:p>
              </w:tc>
            </w:tr>
            <w:tr w14:paraId="2F61A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1" w:hRule="atLeast"/>
              </w:trPr>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B08B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C9B4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厂界</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F75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干法破碎、</w:t>
                  </w:r>
                  <w:r>
                    <w:rPr>
                      <w:rFonts w:hint="eastAsia" w:ascii="宋体" w:hAnsi="宋体" w:eastAsia="宋体" w:cs="宋体"/>
                      <w:i w:val="0"/>
                      <w:iCs w:val="0"/>
                      <w:color w:val="auto"/>
                      <w:kern w:val="0"/>
                      <w:sz w:val="21"/>
                      <w:szCs w:val="21"/>
                      <w:highlight w:val="none"/>
                      <w:u w:val="none"/>
                      <w:lang w:val="en-US" w:eastAsia="zh-CN" w:bidi="ar"/>
                    </w:rPr>
                    <w:t>造粒</w:t>
                  </w:r>
                </w:p>
              </w:tc>
              <w:tc>
                <w:tcPr>
                  <w:tcW w:w="7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FCA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D80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加强收集、厂房密闭</w:t>
                  </w:r>
                </w:p>
              </w:tc>
              <w:tc>
                <w:tcPr>
                  <w:tcW w:w="1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9F54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《合成树脂工业污染物排放标准》</w:t>
                  </w:r>
                  <w:r>
                    <w:rPr>
                      <w:rFonts w:hint="default" w:ascii="Times New Roman" w:hAnsi="Times New Roman" w:eastAsia="宋体" w:cs="Times New Roman"/>
                      <w:i w:val="0"/>
                      <w:iCs w:val="0"/>
                      <w:color w:val="auto"/>
                      <w:kern w:val="0"/>
                      <w:sz w:val="21"/>
                      <w:szCs w:val="21"/>
                      <w:highlight w:val="none"/>
                      <w:u w:val="none"/>
                      <w:lang w:val="en-US" w:eastAsia="zh-CN" w:bidi="ar"/>
                    </w:rPr>
                    <w:t>(GB31572-2015</w:t>
                  </w:r>
                  <w:r>
                    <w:rPr>
                      <w:rFonts w:hint="eastAsia" w:ascii="宋体" w:hAnsi="宋体" w:eastAsia="宋体" w:cs="宋体"/>
                      <w:i w:val="0"/>
                      <w:iCs w:val="0"/>
                      <w:color w:val="auto"/>
                      <w:kern w:val="0"/>
                      <w:sz w:val="21"/>
                      <w:szCs w:val="21"/>
                      <w:highlight w:val="none"/>
                      <w:u w:val="none"/>
                      <w:lang w:val="en-US" w:eastAsia="zh-CN" w:bidi="ar"/>
                    </w:rPr>
                    <w:t>，含</w:t>
                  </w:r>
                  <w:r>
                    <w:rPr>
                      <w:rFonts w:hint="default" w:ascii="Times New Roman" w:hAnsi="Times New Roman" w:eastAsia="宋体" w:cs="Times New Roman"/>
                      <w:i w:val="0"/>
                      <w:iCs w:val="0"/>
                      <w:color w:val="auto"/>
                      <w:kern w:val="0"/>
                      <w:sz w:val="21"/>
                      <w:szCs w:val="21"/>
                      <w:highlight w:val="none"/>
                      <w:u w:val="none"/>
                      <w:lang w:val="en-US" w:eastAsia="zh-CN" w:bidi="ar"/>
                    </w:rPr>
                    <w:t>2024</w:t>
                  </w:r>
                  <w:r>
                    <w:rPr>
                      <w:rFonts w:hint="eastAsia" w:ascii="宋体" w:hAnsi="宋体" w:eastAsia="宋体" w:cs="宋体"/>
                      <w:i w:val="0"/>
                      <w:iCs w:val="0"/>
                      <w:color w:val="auto"/>
                      <w:kern w:val="0"/>
                      <w:sz w:val="21"/>
                      <w:szCs w:val="21"/>
                      <w:highlight w:val="none"/>
                      <w:u w:val="none"/>
                      <w:lang w:val="en-US" w:eastAsia="zh-CN" w:bidi="ar"/>
                    </w:rPr>
                    <w:t>年修改单</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中表</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9 </w:t>
                  </w:r>
                  <w:r>
                    <w:rPr>
                      <w:rFonts w:hint="eastAsia" w:ascii="宋体" w:hAnsi="宋体" w:eastAsia="宋体" w:cs="宋体"/>
                      <w:i w:val="0"/>
                      <w:iCs w:val="0"/>
                      <w:color w:val="auto"/>
                      <w:kern w:val="0"/>
                      <w:sz w:val="21"/>
                      <w:szCs w:val="21"/>
                      <w:highlight w:val="none"/>
                      <w:u w:val="none"/>
                      <w:lang w:val="en-US" w:eastAsia="zh-CN" w:bidi="ar"/>
                    </w:rPr>
                    <w:t>企业边界大气污染物浓度限值中的较严值</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02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10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578</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346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B92C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EACEE">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8EE1D">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1B98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503D">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956D8">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C9F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F26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1.256</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291F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0AE20">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2ED3B">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D446">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F74C4">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CB74">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08AE5">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0F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厂内</w:t>
                  </w: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CEB10">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64C7B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F29F">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3B8DE">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333A">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1033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21594">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908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《恶臭污染物排放标准》</w:t>
                  </w:r>
                  <w:r>
                    <w:rPr>
                      <w:rFonts w:hint="default" w:ascii="Times New Roman" w:hAnsi="Times New Roman" w:eastAsia="宋体" w:cs="Times New Roman"/>
                      <w:i w:val="0"/>
                      <w:iCs w:val="0"/>
                      <w:color w:val="auto"/>
                      <w:kern w:val="0"/>
                      <w:sz w:val="21"/>
                      <w:szCs w:val="21"/>
                      <w:highlight w:val="none"/>
                      <w:u w:val="none"/>
                      <w:lang w:val="en-US" w:eastAsia="zh-CN" w:bidi="ar"/>
                    </w:rPr>
                    <w:t>(GB14554-93)</w:t>
                  </w:r>
                  <w:r>
                    <w:rPr>
                      <w:rFonts w:hint="eastAsia" w:ascii="宋体" w:hAnsi="宋体" w:eastAsia="宋体" w:cs="宋体"/>
                      <w:i w:val="0"/>
                      <w:iCs w:val="0"/>
                      <w:color w:val="auto"/>
                      <w:kern w:val="0"/>
                      <w:sz w:val="21"/>
                      <w:szCs w:val="21"/>
                      <w:highlight w:val="none"/>
                      <w:u w:val="none"/>
                      <w:lang w:val="en-US" w:eastAsia="zh-CN" w:bidi="ar"/>
                    </w:rPr>
                    <w:t>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二级标准中</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新改扩建</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限值要求</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7C64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8B11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784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8239A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无组织排放总计</w:t>
                  </w:r>
                </w:p>
              </w:tc>
            </w:tr>
            <w:tr w14:paraId="039B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701"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F1B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无组织排放总计（</w:t>
                  </w:r>
                  <w:r>
                    <w:rPr>
                      <w:rFonts w:hint="default" w:ascii="Times New Roman" w:hAnsi="Times New Roman" w:eastAsia="宋体" w:cs="Times New Roman"/>
                      <w:i w:val="0"/>
                      <w:iCs w:val="0"/>
                      <w:color w:val="auto"/>
                      <w:kern w:val="0"/>
                      <w:sz w:val="21"/>
                      <w:szCs w:val="21"/>
                      <w:highlight w:val="none"/>
                      <w:u w:val="none"/>
                      <w:lang w:val="en-US" w:eastAsia="zh-CN" w:bidi="ar"/>
                    </w:rPr>
                    <w:t>t/a</w:t>
                  </w:r>
                  <w:r>
                    <w:rPr>
                      <w:rFonts w:hint="eastAsia" w:ascii="宋体" w:hAnsi="宋体" w:eastAsia="宋体" w:cs="宋体"/>
                      <w:i w:val="0"/>
                      <w:iCs w:val="0"/>
                      <w:color w:val="auto"/>
                      <w:kern w:val="0"/>
                      <w:sz w:val="21"/>
                      <w:szCs w:val="21"/>
                      <w:highlight w:val="none"/>
                      <w:u w:val="none"/>
                      <w:lang w:val="en-US" w:eastAsia="zh-CN" w:bidi="ar"/>
                    </w:rPr>
                    <w:t>）</w:t>
                  </w:r>
                </w:p>
              </w:tc>
              <w:tc>
                <w:tcPr>
                  <w:tcW w:w="7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C1B2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46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F973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1.578</w:t>
                  </w:r>
                </w:p>
              </w:tc>
            </w:tr>
            <w:tr w14:paraId="15B7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701"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DDE98">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BC1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46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83E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1.256</w:t>
                  </w:r>
                </w:p>
              </w:tc>
            </w:tr>
            <w:tr w14:paraId="0477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701"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59867">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DA5B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25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D11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bl>
          <w:p w14:paraId="6D3161E4">
            <w:pPr>
              <w:keepNext w:val="0"/>
              <w:keepLines w:val="0"/>
              <w:suppressLineNumbers w:val="0"/>
              <w:spacing w:before="0" w:beforeAutospacing="0" w:after="0" w:afterAutospacing="0"/>
              <w:ind w:left="0" w:right="0" w:firstLine="480"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）污水处理站恶臭</w:t>
            </w:r>
          </w:p>
          <w:p w14:paraId="2B04ADF3">
            <w:pPr>
              <w:pStyle w:val="115"/>
              <w:keepNext w:val="0"/>
              <w:keepLines w:val="0"/>
              <w:suppressLineNumbers w:val="0"/>
              <w:snapToGrid/>
              <w:spacing w:before="0" w:beforeAutospacing="0" w:after="0" w:afterAutospacing="0"/>
              <w:ind w:left="0" w:right="0" w:firstLine="48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污水处理站废水处理产生的废气主要为硫化氢、氨、臭气浓度</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其中酸雾来源于</w:t>
            </w:r>
            <w:r>
              <w:rPr>
                <w:rFonts w:hint="default" w:ascii="Times New Roman" w:hAnsi="Times New Roman" w:cs="Times New Roman"/>
                <w:color w:val="auto"/>
                <w:highlight w:val="none"/>
                <w:lang w:val="en-US" w:eastAsia="zh-CN"/>
              </w:rPr>
              <w:t>pH调整剂（70%硫酸）</w:t>
            </w:r>
            <w:r>
              <w:rPr>
                <w:rFonts w:hint="eastAsia" w:cs="Times New Roman"/>
                <w:color w:val="auto"/>
                <w:highlight w:val="none"/>
                <w:lang w:val="en-US" w:eastAsia="zh-CN"/>
              </w:rPr>
              <w:t>的使用，由于其</w:t>
            </w:r>
            <w:r>
              <w:rPr>
                <w:rFonts w:hint="default" w:ascii="Times New Roman" w:hAnsi="Times New Roman" w:cs="Times New Roman"/>
                <w:color w:val="auto"/>
                <w:highlight w:val="none"/>
                <w:lang w:val="en-US" w:eastAsia="zh-CN"/>
              </w:rPr>
              <w:t>储存于密闭的容器中，非取用状态时加盖、封口，保持密闭，项目仅为调节废水</w:t>
            </w:r>
            <w:r>
              <w:rPr>
                <w:rFonts w:hint="eastAsia" w:cs="Times New Roman"/>
                <w:color w:val="auto"/>
                <w:highlight w:val="none"/>
                <w:lang w:val="en-US" w:eastAsia="zh-CN"/>
              </w:rPr>
              <w:t>p</w:t>
            </w:r>
            <w:r>
              <w:rPr>
                <w:rFonts w:hint="default" w:ascii="Times New Roman" w:hAnsi="Times New Roman" w:cs="Times New Roman"/>
                <w:color w:val="auto"/>
                <w:highlight w:val="none"/>
                <w:lang w:val="en-US" w:eastAsia="zh-CN"/>
              </w:rPr>
              <w:t>H，不存在酸洗等过程，常温下只会有极少酸雾随着水汽蒸发而挥发出来，本项目忽略不计</w:t>
            </w:r>
            <w:r>
              <w:rPr>
                <w:rFonts w:hint="eastAsia" w:cs="Times New Roman"/>
                <w:color w:val="auto"/>
                <w:highlight w:val="none"/>
                <w:lang w:val="en-US" w:eastAsia="zh-CN"/>
              </w:rPr>
              <w:t>；</w:t>
            </w:r>
            <w:r>
              <w:rPr>
                <w:rFonts w:hint="default" w:ascii="Times New Roman" w:hAnsi="Times New Roman" w:cs="Times New Roman"/>
                <w:color w:val="auto"/>
                <w:highlight w:val="none"/>
              </w:rPr>
              <w:t>硫化氢、氨、臭气浓度由于产生量少，本次评价不作定量分析，污水处理站采取加盖密闭、加强通风措施后无组织排放，经处理后预计能够满足《恶臭污染物排放标准》（GB14554-1993）表1恶臭污染物新扩改建厂界标准值二级标准，生产异味对周边环境的影响不大。</w:t>
            </w:r>
          </w:p>
          <w:p w14:paraId="60966D05">
            <w:pPr>
              <w:keepNext w:val="0"/>
              <w:keepLines w:val="0"/>
              <w:numPr>
                <w:ilvl w:val="0"/>
                <w:numId w:val="0"/>
              </w:numPr>
              <w:suppressLineNumbers w:val="0"/>
              <w:adjustRightInd w:val="0"/>
              <w:snapToGrid w:val="0"/>
              <w:spacing w:before="0" w:beforeAutospacing="0" w:after="0" w:afterAutospacing="0"/>
              <w:ind w:left="0" w:right="0" w:firstLine="480" w:firstLineChars="20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val="en-US" w:eastAsia="zh-CN"/>
              </w:rPr>
              <w:t>）食堂油烟</w:t>
            </w:r>
          </w:p>
          <w:p w14:paraId="170DDA22">
            <w:pPr>
              <w:keepNext/>
              <w:keepLines/>
              <w:tabs>
                <w:tab w:val="left" w:pos="0"/>
              </w:tabs>
              <w:ind w:firstLine="480" w:firstLineChars="200"/>
              <w:outlineLvl w:val="3"/>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本项目拟雇佣员工1</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0人，均在厂区内就餐。食堂在烹饪、加工过程中会挥发出油脂、有机质及热分解产物，从而产生油烟废气。根据饮食业油烟浓度经验数据，目前居民人均食用油日用量约30g/人·d，一般油烟挥发量占总耗油量的2~4%，本项目取3%，油烟的产生量为0.045t/a，开炉时间按</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h/d计，拟设置</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个灶头，单个灶头风量为2000m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/h，油烟经集气装置（收集效率为70%）收集后经1套静电油烟净化装置（处理效率为</w:t>
            </w: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5%）处理后由专用的排烟管道引至楼顶排放，则油烟排放量为有组织排放量为0.00</w:t>
            </w:r>
            <w:r>
              <w:rPr>
                <w:rFonts w:hint="eastAsia" w:ascii="Times New Roman" w:hAnsi="Times New Roman" w:eastAsia="宋体" w:cs="Times New Roman"/>
                <w:color w:val="auto"/>
                <w:sz w:val="24"/>
                <w:szCs w:val="24"/>
                <w:highlight w:val="none"/>
                <w:lang w:val="en-US" w:eastAsia="zh-CN"/>
              </w:rPr>
              <w:t>7</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‬t/a，排放速率为0.00</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kg/h，排放浓度为0.</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，油烟无组织排放量为0.01</w:t>
            </w:r>
            <w:r>
              <w:rPr>
                <w:rFonts w:hint="eastAsia"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t/a，排放速率为0.0</w:t>
            </w:r>
            <w:r>
              <w:rPr>
                <w:rFonts w:hint="eastAsia" w:ascii="Times New Roman" w:hAnsi="Times New Roman" w:eastAsia="宋体" w:cs="Times New Roman"/>
                <w:color w:val="auto"/>
                <w:sz w:val="24"/>
                <w:szCs w:val="24"/>
                <w:highlight w:val="none"/>
                <w:lang w:val="en-US" w:eastAsia="zh-CN"/>
              </w:rPr>
              <w:t>068</w:t>
            </w:r>
            <w:r>
              <w:rPr>
                <w:rFonts w:hint="default" w:ascii="Times New Roman" w:hAnsi="Times New Roman" w:eastAsia="宋体" w:cs="Times New Roman"/>
                <w:color w:val="auto"/>
                <w:sz w:val="24"/>
                <w:szCs w:val="24"/>
                <w:highlight w:val="none"/>
              </w:rPr>
              <w:t>kg/h。</w:t>
            </w:r>
          </w:p>
          <w:p w14:paraId="3FE42837">
            <w:pPr>
              <w:pStyle w:val="115"/>
              <w:tabs>
                <w:tab w:val="left" w:pos="0"/>
              </w:tabs>
              <w:snapToGrid/>
              <w:ind w:firstLine="40" w:firstLineChars="0"/>
              <w:jc w:val="center"/>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 xml:space="preserve">6 </w:t>
            </w:r>
            <w:r>
              <w:rPr>
                <w:b/>
                <w:bCs/>
                <w:color w:val="auto"/>
                <w:sz w:val="21"/>
                <w:szCs w:val="21"/>
                <w:highlight w:val="none"/>
              </w:rPr>
              <w:t>大气污染物排放量核算表</w:t>
            </w:r>
          </w:p>
          <w:tbl>
            <w:tblPr>
              <w:tblStyle w:val="49"/>
              <w:tblW w:w="49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3"/>
              <w:gridCol w:w="3146"/>
              <w:gridCol w:w="4408"/>
            </w:tblGrid>
            <w:tr w14:paraId="35F8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9ACD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721" w:type="pct"/>
                  <w:tcBorders>
                    <w:top w:val="single" w:color="000000" w:sz="8" w:space="0"/>
                    <w:left w:val="nil"/>
                    <w:bottom w:val="single" w:color="000000" w:sz="8" w:space="0"/>
                    <w:right w:val="single" w:color="000000" w:sz="8" w:space="0"/>
                  </w:tcBorders>
                  <w:shd w:val="clear" w:color="auto" w:fill="auto"/>
                  <w:vAlign w:val="center"/>
                </w:tcPr>
                <w:p w14:paraId="2569507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w:t>
                  </w:r>
                </w:p>
              </w:tc>
              <w:tc>
                <w:tcPr>
                  <w:tcW w:w="2411" w:type="pct"/>
                  <w:tcBorders>
                    <w:top w:val="single" w:color="000000" w:sz="8" w:space="0"/>
                    <w:left w:val="nil"/>
                    <w:bottom w:val="single" w:color="000000" w:sz="8" w:space="0"/>
                    <w:right w:val="single" w:color="000000" w:sz="8" w:space="0"/>
                  </w:tcBorders>
                  <w:shd w:val="clear" w:color="auto" w:fill="auto"/>
                  <w:vAlign w:val="center"/>
                </w:tcPr>
                <w:p w14:paraId="263AF47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年排放量</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r>
            <w:tr w14:paraId="5CC2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866" w:type="pct"/>
                  <w:tcBorders>
                    <w:top w:val="nil"/>
                    <w:left w:val="single" w:color="000000" w:sz="8" w:space="0"/>
                    <w:bottom w:val="single" w:color="000000" w:sz="8" w:space="0"/>
                    <w:right w:val="single" w:color="000000" w:sz="8" w:space="0"/>
                  </w:tcBorders>
                  <w:shd w:val="clear" w:color="auto" w:fill="auto"/>
                  <w:vAlign w:val="center"/>
                </w:tcPr>
                <w:p w14:paraId="784516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721" w:type="pct"/>
                  <w:tcBorders>
                    <w:top w:val="nil"/>
                    <w:left w:val="nil"/>
                    <w:bottom w:val="single" w:color="000000" w:sz="8" w:space="0"/>
                    <w:right w:val="single" w:color="000000" w:sz="8" w:space="0"/>
                  </w:tcBorders>
                  <w:shd w:val="clear" w:color="auto" w:fill="auto"/>
                  <w:vAlign w:val="center"/>
                </w:tcPr>
                <w:p w14:paraId="56FA3D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4408" w:type="dxa"/>
                  <w:tcBorders>
                    <w:top w:val="nil"/>
                    <w:left w:val="nil"/>
                    <w:bottom w:val="single" w:color="000000" w:sz="8" w:space="0"/>
                    <w:right w:val="single" w:color="000000" w:sz="8" w:space="0"/>
                  </w:tcBorders>
                  <w:shd w:val="clear" w:color="auto" w:fill="auto"/>
                  <w:vAlign w:val="center"/>
                </w:tcPr>
                <w:p w14:paraId="30019F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cs="Times New Roman"/>
                      <w:i w:val="0"/>
                      <w:iCs w:val="0"/>
                      <w:color w:val="auto"/>
                      <w:kern w:val="0"/>
                      <w:sz w:val="21"/>
                      <w:szCs w:val="21"/>
                      <w:highlight w:val="none"/>
                      <w:u w:val="none"/>
                      <w:lang w:val="en-US" w:eastAsia="zh-CN" w:bidi="ar"/>
                    </w:rPr>
                    <w:t>289</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32CB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866" w:type="pct"/>
                  <w:tcBorders>
                    <w:top w:val="nil"/>
                    <w:left w:val="single" w:color="000000" w:sz="8" w:space="0"/>
                    <w:bottom w:val="single" w:color="auto" w:sz="4" w:space="0"/>
                    <w:right w:val="single" w:color="000000" w:sz="8" w:space="0"/>
                  </w:tcBorders>
                  <w:shd w:val="clear" w:color="auto" w:fill="auto"/>
                  <w:vAlign w:val="center"/>
                </w:tcPr>
                <w:p w14:paraId="296911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721" w:type="pct"/>
                  <w:tcBorders>
                    <w:top w:val="nil"/>
                    <w:left w:val="nil"/>
                    <w:bottom w:val="single" w:color="auto" w:sz="4" w:space="0"/>
                    <w:right w:val="single" w:color="000000" w:sz="8" w:space="0"/>
                  </w:tcBorders>
                  <w:shd w:val="clear" w:color="auto" w:fill="auto"/>
                  <w:vAlign w:val="center"/>
                </w:tcPr>
                <w:p w14:paraId="262AB1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4408" w:type="dxa"/>
                  <w:tcBorders>
                    <w:top w:val="nil"/>
                    <w:left w:val="nil"/>
                    <w:bottom w:val="single" w:color="auto" w:sz="4" w:space="0"/>
                    <w:right w:val="single" w:color="000000" w:sz="8" w:space="0"/>
                  </w:tcBorders>
                  <w:shd w:val="clear" w:color="auto" w:fill="auto"/>
                  <w:vAlign w:val="center"/>
                </w:tcPr>
                <w:p w14:paraId="04B9B7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3.518</w:t>
                  </w:r>
                </w:p>
              </w:tc>
            </w:tr>
            <w:tr w14:paraId="70076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788380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721" w:type="pct"/>
                  <w:tcBorders>
                    <w:top w:val="single" w:color="auto" w:sz="4" w:space="0"/>
                    <w:left w:val="single" w:color="auto" w:sz="4" w:space="0"/>
                    <w:bottom w:val="single" w:color="auto" w:sz="4" w:space="0"/>
                    <w:right w:val="single" w:color="auto" w:sz="4" w:space="0"/>
                  </w:tcBorders>
                  <w:shd w:val="clear" w:color="auto" w:fill="auto"/>
                  <w:vAlign w:val="center"/>
                </w:tcPr>
                <w:p w14:paraId="5CC884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44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1B61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518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5578C8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w:t>
                  </w:r>
                </w:p>
              </w:tc>
              <w:tc>
                <w:tcPr>
                  <w:tcW w:w="1721" w:type="pct"/>
                  <w:tcBorders>
                    <w:top w:val="single" w:color="auto" w:sz="4" w:space="0"/>
                    <w:left w:val="single" w:color="auto" w:sz="4" w:space="0"/>
                    <w:bottom w:val="single" w:color="auto" w:sz="4" w:space="0"/>
                    <w:right w:val="single" w:color="auto" w:sz="4" w:space="0"/>
                  </w:tcBorders>
                  <w:shd w:val="clear" w:color="auto" w:fill="auto"/>
                  <w:vAlign w:val="center"/>
                </w:tcPr>
                <w:p w14:paraId="28396504">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硫化氢</w:t>
                  </w:r>
                </w:p>
              </w:tc>
              <w:tc>
                <w:tcPr>
                  <w:tcW w:w="44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ED1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4244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21BFC7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w:t>
                  </w:r>
                </w:p>
              </w:tc>
              <w:tc>
                <w:tcPr>
                  <w:tcW w:w="1721" w:type="pct"/>
                  <w:tcBorders>
                    <w:top w:val="single" w:color="auto" w:sz="4" w:space="0"/>
                    <w:left w:val="single" w:color="auto" w:sz="4" w:space="0"/>
                    <w:bottom w:val="single" w:color="auto" w:sz="4" w:space="0"/>
                    <w:right w:val="single" w:color="auto" w:sz="4" w:space="0"/>
                  </w:tcBorders>
                  <w:shd w:val="clear" w:color="auto" w:fill="auto"/>
                  <w:vAlign w:val="center"/>
                </w:tcPr>
                <w:p w14:paraId="29C00E3C">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氨</w:t>
                  </w:r>
                </w:p>
              </w:tc>
              <w:tc>
                <w:tcPr>
                  <w:tcW w:w="44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B53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705C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583" w:type="dxa"/>
                  <w:tcBorders>
                    <w:top w:val="single" w:color="auto" w:sz="4" w:space="0"/>
                    <w:left w:val="single" w:color="auto" w:sz="4" w:space="0"/>
                    <w:bottom w:val="single" w:color="auto" w:sz="4" w:space="0"/>
                    <w:right w:val="single" w:color="auto" w:sz="4" w:space="0"/>
                  </w:tcBorders>
                  <w:shd w:val="clear" w:color="auto" w:fill="auto"/>
                  <w:vAlign w:val="center"/>
                </w:tcPr>
                <w:p w14:paraId="092B50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6</w:t>
                  </w:r>
                </w:p>
              </w:tc>
              <w:tc>
                <w:tcPr>
                  <w:tcW w:w="3146" w:type="dxa"/>
                  <w:tcBorders>
                    <w:top w:val="single" w:color="auto" w:sz="4" w:space="0"/>
                    <w:left w:val="single" w:color="auto" w:sz="4" w:space="0"/>
                    <w:bottom w:val="single" w:color="auto" w:sz="4" w:space="0"/>
                    <w:right w:val="single" w:color="auto" w:sz="4" w:space="0"/>
                  </w:tcBorders>
                  <w:shd w:val="clear" w:color="auto" w:fill="auto"/>
                  <w:vAlign w:val="center"/>
                </w:tcPr>
                <w:p w14:paraId="61944A0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油烟</w:t>
                  </w:r>
                </w:p>
              </w:tc>
              <w:tc>
                <w:tcPr>
                  <w:tcW w:w="44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AB1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0.02</w:t>
                  </w:r>
                  <w:r>
                    <w:rPr>
                      <w:rFonts w:hint="eastAsia" w:cs="Times New Roman"/>
                      <w:i w:val="0"/>
                      <w:iCs w:val="0"/>
                      <w:color w:val="auto"/>
                      <w:kern w:val="0"/>
                      <w:sz w:val="21"/>
                      <w:szCs w:val="21"/>
                      <w:highlight w:val="none"/>
                      <w:u w:val="none"/>
                      <w:lang w:val="en-US" w:eastAsia="zh-CN" w:bidi="ar"/>
                    </w:rPr>
                    <w:t>1</w:t>
                  </w:r>
                </w:p>
              </w:tc>
            </w:tr>
          </w:tbl>
          <w:p w14:paraId="3130F5DB">
            <w:pPr>
              <w:keepNext/>
              <w:keepLines/>
              <w:tabs>
                <w:tab w:val="left" w:pos="0"/>
              </w:tabs>
              <w:ind w:firstLine="480" w:firstLineChars="200"/>
              <w:outlineLvl w:val="3"/>
              <w:rPr>
                <w:b/>
                <w:bCs/>
                <w:color w:val="auto"/>
                <w:highlight w:val="none"/>
              </w:rPr>
            </w:pPr>
            <w:r>
              <w:rPr>
                <w:b/>
                <w:bCs/>
                <w:color w:val="auto"/>
                <w:highlight w:val="none"/>
              </w:rPr>
              <w:t>2、废气治理系统可行性分析</w:t>
            </w:r>
          </w:p>
          <w:p w14:paraId="434740FF">
            <w:pPr>
              <w:keepNext/>
              <w:keepLines/>
              <w:suppressLineNumbers w:val="0"/>
              <w:tabs>
                <w:tab w:val="left" w:pos="0"/>
              </w:tabs>
              <w:spacing w:before="0" w:beforeAutospacing="0" w:after="0" w:afterAutospacing="0"/>
              <w:ind w:left="0" w:right="0" w:firstLine="480" w:firstLineChars="200"/>
              <w:outlineLvl w:val="3"/>
              <w:rPr>
                <w:color w:val="auto"/>
                <w:kern w:val="0"/>
                <w:highlight w:val="none"/>
              </w:rPr>
            </w:pPr>
            <w:r>
              <w:rPr>
                <w:rFonts w:hint="eastAsia" w:cs="Times New Roman"/>
                <w:b w:val="0"/>
                <w:bCs w:val="0"/>
                <w:i w:val="0"/>
                <w:iCs w:val="0"/>
                <w:color w:val="auto"/>
                <w:kern w:val="0"/>
                <w:sz w:val="24"/>
                <w:szCs w:val="24"/>
                <w:highlight w:val="none"/>
                <w:u w:val="none"/>
                <w:lang w:val="en-US" w:eastAsia="zh-CN"/>
              </w:rPr>
              <w:t>本项目干法破碎粉尘</w:t>
            </w:r>
            <w:r>
              <w:rPr>
                <w:rFonts w:hint="default" w:ascii="Times New Roman" w:hAnsi="Times New Roman" w:cs="Times New Roman"/>
                <w:b w:val="0"/>
                <w:bCs w:val="0"/>
                <w:i w:val="0"/>
                <w:iCs w:val="0"/>
                <w:color w:val="auto"/>
                <w:kern w:val="0"/>
                <w:sz w:val="24"/>
                <w:szCs w:val="24"/>
                <w:highlight w:val="none"/>
                <w:u w:val="none"/>
                <w:lang w:val="en-US" w:eastAsia="zh-CN"/>
              </w:rPr>
              <w:t>采用</w:t>
            </w:r>
            <w:r>
              <w:rPr>
                <w:rFonts w:hint="eastAsia" w:cs="Times New Roman"/>
                <w:color w:val="auto"/>
                <w:highlight w:val="none"/>
                <w:lang w:eastAsia="zh-CN"/>
              </w:rPr>
              <w:t>布袋除尘器</w:t>
            </w:r>
            <w:r>
              <w:rPr>
                <w:rFonts w:hint="default" w:ascii="Times New Roman" w:hAnsi="Times New Roman" w:cs="Times New Roman"/>
                <w:b w:val="0"/>
                <w:bCs w:val="0"/>
                <w:i w:val="0"/>
                <w:iCs w:val="0"/>
                <w:color w:val="auto"/>
                <w:kern w:val="0"/>
                <w:sz w:val="24"/>
                <w:szCs w:val="24"/>
                <w:highlight w:val="none"/>
                <w:u w:val="none"/>
                <w:lang w:val="en-US" w:eastAsia="zh-CN"/>
              </w:rPr>
              <w:t>处理</w:t>
            </w:r>
            <w:r>
              <w:rPr>
                <w:rFonts w:hint="eastAsia" w:cs="Times New Roman"/>
                <w:b w:val="0"/>
                <w:bCs w:val="0"/>
                <w:i w:val="0"/>
                <w:iCs w:val="0"/>
                <w:color w:val="auto"/>
                <w:kern w:val="0"/>
                <w:sz w:val="24"/>
                <w:szCs w:val="24"/>
                <w:highlight w:val="none"/>
                <w:u w:val="none"/>
                <w:lang w:val="en-US" w:eastAsia="zh-CN"/>
              </w:rPr>
              <w:t>后通过15m排气筒DA001高空排放；</w:t>
            </w:r>
            <w:r>
              <w:rPr>
                <w:rFonts w:hint="eastAsia"/>
                <w:color w:val="auto"/>
                <w:kern w:val="0"/>
                <w:highlight w:val="none"/>
                <w:lang w:val="en-US" w:eastAsia="zh-CN"/>
              </w:rPr>
              <w:t>造粒废气处理设施处理工艺为</w:t>
            </w:r>
            <w:r>
              <w:rPr>
                <w:rFonts w:hint="eastAsia" w:cs="Times New Roman"/>
                <w:b w:val="0"/>
                <w:bCs w:val="0"/>
                <w:snapToGrid w:val="0"/>
                <w:color w:val="auto"/>
                <w:kern w:val="0"/>
                <w:sz w:val="24"/>
                <w:szCs w:val="24"/>
                <w:highlight w:val="none"/>
                <w:lang w:val="en-US" w:eastAsia="zh-CN" w:bidi="ar-SA"/>
              </w:rPr>
              <w:t>电捕焦油+气旋混动喷淋+干式过滤+活性炭吸附脱附+催化燃烧+活性炭吸附</w:t>
            </w:r>
            <w:r>
              <w:rPr>
                <w:rFonts w:hint="eastAsia" w:ascii="Times New Roman" w:hAnsi="Times New Roman" w:eastAsia="宋体" w:cs="Times New Roman"/>
                <w:b w:val="0"/>
                <w:bCs w:val="0"/>
                <w:snapToGrid w:val="0"/>
                <w:color w:val="auto"/>
                <w:kern w:val="0"/>
                <w:sz w:val="24"/>
                <w:szCs w:val="24"/>
                <w:highlight w:val="none"/>
                <w:lang w:val="en-US" w:eastAsia="zh-CN" w:bidi="ar-SA"/>
              </w:rPr>
              <w:t>，经处理后的废气通过</w:t>
            </w:r>
            <w:r>
              <w:rPr>
                <w:rFonts w:hint="eastAsia" w:cs="Times New Roman"/>
                <w:b w:val="0"/>
                <w:bCs w:val="0"/>
                <w:snapToGrid w:val="0"/>
                <w:color w:val="auto"/>
                <w:kern w:val="0"/>
                <w:sz w:val="24"/>
                <w:szCs w:val="24"/>
                <w:highlight w:val="none"/>
                <w:lang w:val="en-US" w:eastAsia="zh-CN" w:bidi="ar-SA"/>
              </w:rPr>
              <w:t>15m</w:t>
            </w:r>
            <w:r>
              <w:rPr>
                <w:rFonts w:hint="eastAsia" w:ascii="Times New Roman" w:hAnsi="Times New Roman" w:eastAsia="宋体" w:cs="Times New Roman"/>
                <w:b w:val="0"/>
                <w:bCs w:val="0"/>
                <w:snapToGrid w:val="0"/>
                <w:color w:val="auto"/>
                <w:kern w:val="0"/>
                <w:sz w:val="24"/>
                <w:szCs w:val="24"/>
                <w:highlight w:val="none"/>
                <w:lang w:val="en-US" w:eastAsia="zh-CN" w:bidi="ar-SA"/>
              </w:rPr>
              <w:t>排气筒DA00</w:t>
            </w:r>
            <w:r>
              <w:rPr>
                <w:rFonts w:hint="eastAsia" w:cs="Times New Roman"/>
                <w:b w:val="0"/>
                <w:bCs w:val="0"/>
                <w:snapToGrid w:val="0"/>
                <w:color w:val="auto"/>
                <w:kern w:val="0"/>
                <w:sz w:val="24"/>
                <w:szCs w:val="24"/>
                <w:highlight w:val="none"/>
                <w:lang w:val="en-US" w:eastAsia="zh-CN" w:bidi="ar-SA"/>
              </w:rPr>
              <w:t>2</w:t>
            </w:r>
            <w:r>
              <w:rPr>
                <w:rFonts w:hint="eastAsia" w:ascii="Times New Roman" w:hAnsi="Times New Roman" w:eastAsia="宋体" w:cs="Times New Roman"/>
                <w:b w:val="0"/>
                <w:bCs w:val="0"/>
                <w:snapToGrid w:val="0"/>
                <w:color w:val="auto"/>
                <w:kern w:val="0"/>
                <w:sz w:val="24"/>
                <w:szCs w:val="24"/>
                <w:highlight w:val="none"/>
                <w:lang w:val="en-US" w:eastAsia="zh-CN" w:bidi="ar-SA"/>
              </w:rPr>
              <w:t>高空排放</w:t>
            </w:r>
            <w:r>
              <w:rPr>
                <w:color w:val="auto"/>
                <w:kern w:val="0"/>
                <w:highlight w:val="none"/>
              </w:rPr>
              <w:t>。</w:t>
            </w:r>
          </w:p>
          <w:p w14:paraId="6314586A">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1）气旋混动旋流塔</w:t>
            </w:r>
          </w:p>
          <w:p w14:paraId="4FC46D37">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气旋混动旋流塔又称之为气旋塔，气旋喷淋装置，气旋喷淋塔是在普通喷漆水帘柜的基础上嵌入“气动混流废气净化系统”，该系统是根据技动力技术原理设计而成，主要针对粘性类粉尘、油性粉尘工业废气预处理、纤维类粉尘等干式除尘设备无法处理的工况而开发的一款全新温式高效环保废气净化设备。采用先进的漆雾分离技术、匠心的净化方式，多级连续的净化过程决定着净化效率。</w:t>
            </w:r>
          </w:p>
          <w:p w14:paraId="0C66A745">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气旋喷淋塔源自流体力学技术原理设计而成，通过物理技术计算，设计旋流装置的切角获得能量的离心力，在风机牵引力作用下，含尘气体切向进入高压离心旋流装置，含尘气体在高速动态运行中，通过旋流装置的离心力作用导致液体与含尘气体充分溶合并相互吸附，通过圆周运动衰减旋流能量从而达到除尘目的。</w:t>
            </w:r>
          </w:p>
          <w:p w14:paraId="036560E4">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2）干式过滤</w:t>
            </w:r>
          </w:p>
          <w:p w14:paraId="71A1059E">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i w:val="0"/>
                <w:iCs w:val="0"/>
                <w:caps w:val="0"/>
                <w:color w:val="auto"/>
                <w:spacing w:val="0"/>
                <w:sz w:val="24"/>
                <w:szCs w:val="24"/>
                <w:highlight w:val="none"/>
                <w:shd w:val="clear" w:color="auto" w:fill="FFFFFF"/>
              </w:rPr>
              <w:t>在干式过滤器中一般会有三级过滤，初效、中效、高效三种空气过滤器，干式过滤器使用的是惯性分离技术，通过过滤器的纤维改变</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气流</w:t>
            </w:r>
            <w:r>
              <w:rPr>
                <w:rFonts w:hint="default" w:ascii="Times New Roman" w:hAnsi="Times New Roman" w:eastAsia="宋体" w:cs="Times New Roman"/>
                <w:i w:val="0"/>
                <w:iCs w:val="0"/>
                <w:caps w:val="0"/>
                <w:color w:val="auto"/>
                <w:spacing w:val="0"/>
                <w:sz w:val="24"/>
                <w:szCs w:val="24"/>
                <w:highlight w:val="none"/>
                <w:shd w:val="clear" w:color="auto" w:fill="FFFFFF"/>
              </w:rPr>
              <w:t>的惯性力方向，或者说是强制过喷气流多次改变方向流动，使得</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污染物</w:t>
            </w:r>
            <w:r>
              <w:rPr>
                <w:rFonts w:hint="default" w:ascii="Times New Roman" w:hAnsi="Times New Roman" w:eastAsia="宋体" w:cs="Times New Roman"/>
                <w:i w:val="0"/>
                <w:iCs w:val="0"/>
                <w:caps w:val="0"/>
                <w:color w:val="auto"/>
                <w:spacing w:val="0"/>
                <w:sz w:val="24"/>
                <w:szCs w:val="24"/>
                <w:highlight w:val="none"/>
                <w:shd w:val="clear" w:color="auto" w:fill="FFFFFF"/>
              </w:rPr>
              <w:t>可以被粘附在折流板壁上，从而达到过滤的效果</w:t>
            </w:r>
            <w:r>
              <w:rPr>
                <w:rFonts w:hint="default" w:ascii="Times New Roman" w:hAnsi="Times New Roman" w:eastAsia="宋体" w:cs="Times New Roman"/>
                <w:bCs/>
                <w:color w:val="auto"/>
                <w:spacing w:val="-10"/>
                <w:sz w:val="24"/>
                <w:szCs w:val="24"/>
                <w:highlight w:val="none"/>
                <w:lang w:val="en-US" w:eastAsia="zh-CN"/>
              </w:rPr>
              <w:t>。</w:t>
            </w:r>
          </w:p>
          <w:p w14:paraId="0C025A75">
            <w:pPr>
              <w:pStyle w:val="34"/>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3）</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电捕焦油器</w:t>
            </w:r>
          </w:p>
          <w:p w14:paraId="3599D0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电捕焦油器</w:t>
            </w:r>
            <w:r>
              <w:rPr>
                <w:rFonts w:hint="eastAsia" w:ascii="Times New Roman" w:hAnsi="Times New Roman" w:eastAsia="宋体" w:cs="Times New Roman"/>
                <w:color w:val="auto"/>
                <w:sz w:val="24"/>
                <w:szCs w:val="24"/>
                <w:highlight w:val="none"/>
                <w:lang w:val="en-US" w:eastAsia="zh-CN"/>
              </w:rPr>
              <w:t>去</w:t>
            </w:r>
            <w:r>
              <w:rPr>
                <w:rFonts w:hint="default" w:ascii="Times New Roman" w:hAnsi="Times New Roman" w:eastAsia="宋体" w:cs="Times New Roman"/>
                <w:color w:val="auto"/>
                <w:sz w:val="24"/>
                <w:szCs w:val="24"/>
                <w:highlight w:val="none"/>
              </w:rPr>
              <w:t>除有机废气的工作原理</w:t>
            </w:r>
            <w:r>
              <w:rPr>
                <w:rFonts w:hint="eastAsia" w:ascii="Times New Roman" w:hAnsi="Times New Roman" w:eastAsia="宋体" w:cs="Times New Roman"/>
                <w:color w:val="auto"/>
                <w:sz w:val="24"/>
                <w:szCs w:val="24"/>
                <w:highlight w:val="none"/>
                <w:lang w:val="en-US" w:eastAsia="zh-CN"/>
              </w:rPr>
              <w:t>是</w:t>
            </w:r>
            <w:r>
              <w:rPr>
                <w:rFonts w:hint="default" w:ascii="Times New Roman" w:hAnsi="Times New Roman" w:eastAsia="宋体" w:cs="Times New Roman"/>
                <w:color w:val="auto"/>
                <w:sz w:val="24"/>
                <w:szCs w:val="24"/>
                <w:highlight w:val="none"/>
              </w:rPr>
              <w:t>基于高压电场使废气中的焦油雾滴、粉尘等污染物带电，并通过电场力实现分离。1.电离过程</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电捕焦油器</w:t>
            </w:r>
            <w:r>
              <w:rPr>
                <w:rFonts w:hint="default" w:ascii="Times New Roman" w:hAnsi="Times New Roman" w:eastAsia="宋体" w:cs="Times New Roman"/>
                <w:color w:val="auto"/>
                <w:sz w:val="24"/>
                <w:szCs w:val="24"/>
                <w:highlight w:val="none"/>
              </w:rPr>
              <w:t>内部设置高压电极</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阴极</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和接地电极</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阳极</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，通入高压直流电后，电极周围形成强电场，使</w:t>
            </w:r>
            <w:r>
              <w:rPr>
                <w:rFonts w:hint="eastAsia" w:ascii="Times New Roman" w:hAnsi="Times New Roman" w:eastAsia="宋体" w:cs="Times New Roman"/>
                <w:color w:val="auto"/>
                <w:sz w:val="24"/>
                <w:szCs w:val="24"/>
                <w:highlight w:val="none"/>
                <w:lang w:val="en-US" w:eastAsia="zh-CN"/>
              </w:rPr>
              <w:t>有机废气</w:t>
            </w:r>
            <w:r>
              <w:rPr>
                <w:rFonts w:hint="default" w:ascii="Times New Roman" w:hAnsi="Times New Roman" w:eastAsia="宋体" w:cs="Times New Roman"/>
                <w:color w:val="auto"/>
                <w:sz w:val="24"/>
                <w:szCs w:val="24"/>
                <w:highlight w:val="none"/>
              </w:rPr>
              <w:t>中的气体分子电离，产生自由电子和正离子。2.粒子带电</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有机</w:t>
            </w:r>
            <w:r>
              <w:rPr>
                <w:rFonts w:hint="default" w:ascii="Times New Roman" w:hAnsi="Times New Roman" w:eastAsia="宋体" w:cs="Times New Roman"/>
                <w:color w:val="auto"/>
                <w:sz w:val="24"/>
                <w:szCs w:val="24"/>
                <w:highlight w:val="none"/>
              </w:rPr>
              <w:t>废气中的焦油雾滴、有机污染物等与自由电子碰撞后带上负电荷，而正离子则附着在阳极表面3.粒子捕集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带电粒子在电场库仑力作用下，向对应电极移动</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负电荷粒子向阳极移动并吸附于沉淀极表面，形成液滴或颗粒层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正电荷粒子则向阴极移动。4.净化排放</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净化后的气体从设备顶部排出，而捕集的焦油等污染物通过重力或机械方式从底部排出。</w:t>
            </w:r>
          </w:p>
          <w:p w14:paraId="5A8266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rPr>
            </w:pPr>
            <w:r>
              <w:rPr>
                <w:rFonts w:hint="default" w:ascii="Times New Roman" w:hAnsi="Times New Roman" w:eastAsia="宋体" w:cs="Times New Roman"/>
                <w:i w:val="0"/>
                <w:iCs w:val="0"/>
                <w:caps w:val="0"/>
                <w:color w:val="auto"/>
                <w:spacing w:val="0"/>
                <w:sz w:val="24"/>
                <w:szCs w:val="24"/>
                <w:highlight w:val="none"/>
                <w:shd w:val="clear" w:color="auto" w:fill="FFFFFF"/>
              </w:rPr>
              <w:t>在通常情况下气体是不导电的，但在高压电场的作用下气体内部的电子便会获得足够的能量成为自由电子而导电，被称为自发性电离现象。气体的自发性电离是建立在非均匀性电场中。在均匀性电场中，随着电压的增加，只要其间任何一点发生电离，两极间将立即充满带电离子，整个空间的气体被击穿。此时电流急剧增加而形成火花放电。而在非均匀性电场中，电场强度则随两极间的距离增大而迅速下降。</w:t>
            </w:r>
          </w:p>
          <w:p w14:paraId="045F543E">
            <w:pPr>
              <w:pStyle w:val="34"/>
              <w:keepNext w:val="0"/>
              <w:keepLines w:val="0"/>
              <w:pageBreakBefore w:val="0"/>
              <w:widowControl w:val="0"/>
              <w:numPr>
                <w:ilvl w:val="0"/>
                <w:numId w:val="13"/>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活性炭吸附</w:t>
            </w:r>
            <w:r>
              <w:rPr>
                <w:rFonts w:hint="eastAsia" w:ascii="Times New Roman" w:hAnsi="Times New Roman" w:cs="Times New Roman"/>
                <w:color w:val="auto"/>
                <w:sz w:val="24"/>
                <w:szCs w:val="24"/>
                <w:highlight w:val="none"/>
                <w:lang w:val="en-US" w:eastAsia="zh-CN"/>
              </w:rPr>
              <w:t>脱附</w:t>
            </w:r>
          </w:p>
          <w:p w14:paraId="259195C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活性炭吸附是采用多孔、具有较大比表面的活性炭做吸附剂，通过范德华力将废气中的有机污染物分子（非甲烷总烃）吸附到微孔中，有机废气通过活性炭层时，污染物被吸附至饱和状态，饱和活性炭通过热脱附（约200-300℃）恢复吸附能力。物理吸附一般不受温度的影响，但吸附量随温度的升高而下降，因此在吸附净化前对有机废气进行冷凝处理可提高净化效果。</w:t>
            </w:r>
          </w:p>
          <w:p w14:paraId="300DEBD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5）催化燃烧</w:t>
            </w:r>
          </w:p>
          <w:p w14:paraId="122B20B6">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催化燃烧是低温无明火氧化分解有机废气的废气治理技术，核心依靠贵金属催化剂降低有机物氧化反应活化能。催化燃烧在铂、钯贵金属催化剂作用下，氧化反应温度降至200~400℃，VOCs 与空气中氧气充分反应，完全分解为无害的二氧化碳、水蒸气，无明火、无氮氧化物大量生成。</w:t>
            </w:r>
          </w:p>
          <w:p w14:paraId="15D957AD">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snapToGrid w:val="0"/>
                <w:color w:val="auto"/>
                <w:kern w:val="0"/>
                <w:sz w:val="24"/>
                <w:szCs w:val="24"/>
                <w:highlight w:val="none"/>
                <w:lang w:val="en-US" w:eastAsia="zh-CN" w:bidi="ar-SA"/>
              </w:rPr>
            </w:pPr>
            <w:r>
              <w:rPr>
                <w:rFonts w:hint="default" w:ascii="Times New Roman" w:hAnsi="Times New Roman" w:eastAsia="宋体" w:cs="Times New Roman"/>
                <w:b w:val="0"/>
                <w:bCs w:val="0"/>
                <w:snapToGrid w:val="0"/>
                <w:color w:val="auto"/>
                <w:kern w:val="0"/>
                <w:sz w:val="24"/>
                <w:szCs w:val="24"/>
                <w:highlight w:val="none"/>
                <w:lang w:val="en-US" w:eastAsia="zh-CN" w:bidi="ar-SA"/>
              </w:rPr>
              <w:t>本项目国民经济行业类别为</w:t>
            </w:r>
            <w:r>
              <w:rPr>
                <w:rFonts w:hint="eastAsia" w:ascii="Times New Roman" w:hAnsi="Times New Roman" w:eastAsia="宋体" w:cs="Times New Roman"/>
                <w:b w:val="0"/>
                <w:bCs w:val="0"/>
                <w:snapToGrid w:val="0"/>
                <w:color w:val="auto"/>
                <w:kern w:val="0"/>
                <w:sz w:val="24"/>
                <w:szCs w:val="24"/>
                <w:highlight w:val="none"/>
                <w:lang w:val="en-US" w:eastAsia="zh-CN" w:bidi="ar-SA"/>
              </w:rPr>
              <w:t>“</w:t>
            </w:r>
            <w:r>
              <w:rPr>
                <w:rFonts w:hint="default" w:ascii="Times New Roman" w:hAnsi="Times New Roman" w:eastAsia="宋体" w:cs="Times New Roman"/>
                <w:b w:val="0"/>
                <w:bCs w:val="0"/>
                <w:snapToGrid w:val="0"/>
                <w:color w:val="auto"/>
                <w:kern w:val="0"/>
                <w:sz w:val="24"/>
                <w:szCs w:val="24"/>
                <w:highlight w:val="none"/>
                <w:lang w:val="en-US" w:eastAsia="zh-CN" w:bidi="ar-SA"/>
              </w:rPr>
              <w:t>非金属废料和碎屑加工处理C4220</w:t>
            </w:r>
            <w:r>
              <w:rPr>
                <w:rFonts w:hint="eastAsia" w:ascii="Times New Roman" w:hAnsi="Times New Roman" w:eastAsia="宋体" w:cs="Times New Roman"/>
                <w:b w:val="0"/>
                <w:bCs w:val="0"/>
                <w:snapToGrid w:val="0"/>
                <w:color w:val="auto"/>
                <w:kern w:val="0"/>
                <w:sz w:val="24"/>
                <w:szCs w:val="24"/>
                <w:highlight w:val="none"/>
                <w:lang w:val="en-US" w:eastAsia="zh-CN" w:bidi="ar-SA"/>
              </w:rPr>
              <w:t>”</w:t>
            </w:r>
            <w:r>
              <w:rPr>
                <w:rFonts w:hint="default" w:ascii="Times New Roman" w:hAnsi="Times New Roman" w:eastAsia="宋体" w:cs="Times New Roman"/>
                <w:b w:val="0"/>
                <w:bCs w:val="0"/>
                <w:snapToGrid w:val="0"/>
                <w:color w:val="auto"/>
                <w:kern w:val="0"/>
                <w:sz w:val="24"/>
                <w:szCs w:val="24"/>
                <w:highlight w:val="none"/>
                <w:lang w:val="en-US" w:eastAsia="zh-CN" w:bidi="ar-SA"/>
              </w:rPr>
              <w:t>，根据《排污许可证申请与核发技术规范 废弃资源加工工业》（HJ1034-2019）中表A.1废弃资源加工</w:t>
            </w:r>
            <w:r>
              <w:rPr>
                <w:rFonts w:hint="eastAsia" w:ascii="Times New Roman" w:hAnsi="Times New Roman" w:eastAsia="宋体" w:cs="Times New Roman"/>
                <w:b w:val="0"/>
                <w:bCs w:val="0"/>
                <w:snapToGrid w:val="0"/>
                <w:color w:val="auto"/>
                <w:kern w:val="0"/>
                <w:sz w:val="24"/>
                <w:szCs w:val="24"/>
                <w:highlight w:val="none"/>
                <w:lang w:val="en-US" w:eastAsia="zh-CN" w:bidi="ar-SA"/>
              </w:rPr>
              <w:t>工业排污单位</w:t>
            </w:r>
            <w:r>
              <w:rPr>
                <w:rFonts w:hint="default" w:ascii="Times New Roman" w:hAnsi="Times New Roman" w:eastAsia="宋体" w:cs="Times New Roman"/>
                <w:b w:val="0"/>
                <w:bCs w:val="0"/>
                <w:snapToGrid w:val="0"/>
                <w:color w:val="auto"/>
                <w:kern w:val="0"/>
                <w:sz w:val="24"/>
                <w:szCs w:val="24"/>
                <w:highlight w:val="none"/>
                <w:lang w:val="en-US" w:eastAsia="zh-CN" w:bidi="ar-SA"/>
              </w:rPr>
              <w:t>废气污染防治可行技术参考表，气旋混动喷淋</w:t>
            </w:r>
            <w:r>
              <w:rPr>
                <w:rFonts w:hint="eastAsia" w:ascii="Times New Roman" w:hAnsi="Times New Roman" w:eastAsia="宋体" w:cs="Times New Roman"/>
                <w:b w:val="0"/>
                <w:bCs w:val="0"/>
                <w:snapToGrid w:val="0"/>
                <w:color w:val="auto"/>
                <w:kern w:val="0"/>
                <w:sz w:val="24"/>
                <w:szCs w:val="24"/>
                <w:highlight w:val="none"/>
                <w:lang w:val="en-US" w:eastAsia="zh-CN" w:bidi="ar-SA"/>
              </w:rPr>
              <w:t>为处理颗粒物的可行技术，活性炭吸附和催化燃烧为处理非甲烷总烃的可性技术，本项目使用“</w:t>
            </w:r>
            <w:r>
              <w:rPr>
                <w:rFonts w:hint="eastAsia" w:ascii="Times New Roman" w:hAnsi="Times New Roman" w:cs="Times New Roman"/>
                <w:b w:val="0"/>
                <w:bCs w:val="0"/>
                <w:snapToGrid w:val="0"/>
                <w:color w:val="auto"/>
                <w:kern w:val="0"/>
                <w:sz w:val="24"/>
                <w:szCs w:val="24"/>
                <w:highlight w:val="none"/>
                <w:lang w:val="en-US" w:eastAsia="zh-CN" w:bidi="ar-SA"/>
              </w:rPr>
              <w:t>电捕焦油+气旋混动喷淋+干式过滤+活性炭吸附脱附+催化燃烧+活性炭吸附</w:t>
            </w:r>
            <w:r>
              <w:rPr>
                <w:rFonts w:hint="eastAsia" w:ascii="Times New Roman" w:hAnsi="Times New Roman" w:eastAsia="宋体" w:cs="Times New Roman"/>
                <w:b w:val="0"/>
                <w:bCs w:val="0"/>
                <w:snapToGrid w:val="0"/>
                <w:color w:val="auto"/>
                <w:kern w:val="0"/>
                <w:sz w:val="24"/>
                <w:szCs w:val="24"/>
                <w:highlight w:val="none"/>
                <w:lang w:val="en-US" w:eastAsia="zh-CN" w:bidi="ar-SA"/>
              </w:rPr>
              <w:t>”</w:t>
            </w:r>
            <w:r>
              <w:rPr>
                <w:rFonts w:hint="default" w:ascii="Times New Roman" w:hAnsi="Times New Roman" w:eastAsia="宋体" w:cs="Times New Roman"/>
                <w:b w:val="0"/>
                <w:bCs w:val="0"/>
                <w:snapToGrid w:val="0"/>
                <w:color w:val="auto"/>
                <w:kern w:val="0"/>
                <w:sz w:val="24"/>
                <w:szCs w:val="24"/>
                <w:highlight w:val="none"/>
                <w:lang w:val="en-US" w:eastAsia="zh-CN" w:bidi="ar-SA"/>
              </w:rPr>
              <w:t>处理塑料颗粒生产线熔融造粒过程</w:t>
            </w:r>
            <w:r>
              <w:rPr>
                <w:rFonts w:hint="eastAsia" w:ascii="Times New Roman" w:hAnsi="Times New Roman" w:eastAsia="宋体" w:cs="Times New Roman"/>
                <w:b w:val="0"/>
                <w:bCs w:val="0"/>
                <w:snapToGrid w:val="0"/>
                <w:color w:val="auto"/>
                <w:kern w:val="0"/>
                <w:sz w:val="24"/>
                <w:szCs w:val="24"/>
                <w:highlight w:val="none"/>
                <w:lang w:val="en-US" w:eastAsia="zh-CN" w:bidi="ar-SA"/>
              </w:rPr>
              <w:t>产生的</w:t>
            </w:r>
            <w:r>
              <w:rPr>
                <w:rFonts w:hint="default" w:ascii="Times New Roman" w:hAnsi="Times New Roman" w:eastAsia="宋体" w:cs="Times New Roman"/>
                <w:b w:val="0"/>
                <w:bCs w:val="0"/>
                <w:snapToGrid w:val="0"/>
                <w:color w:val="auto"/>
                <w:kern w:val="0"/>
                <w:sz w:val="24"/>
                <w:szCs w:val="24"/>
                <w:highlight w:val="none"/>
                <w:lang w:val="en-US" w:eastAsia="zh-CN" w:bidi="ar-SA"/>
              </w:rPr>
              <w:t>颗粒物及非甲烷总烃</w:t>
            </w:r>
            <w:r>
              <w:rPr>
                <w:rFonts w:hint="eastAsia" w:ascii="Times New Roman" w:hAnsi="Times New Roman" w:cs="Times New Roman"/>
                <w:b w:val="0"/>
                <w:bCs w:val="0"/>
                <w:snapToGrid w:val="0"/>
                <w:color w:val="auto"/>
                <w:kern w:val="0"/>
                <w:sz w:val="24"/>
                <w:szCs w:val="24"/>
                <w:highlight w:val="none"/>
                <w:lang w:val="en-US" w:eastAsia="zh-CN" w:bidi="ar-SA"/>
              </w:rPr>
              <w:t>，</w:t>
            </w:r>
            <w:r>
              <w:rPr>
                <w:rFonts w:hint="default" w:ascii="Times New Roman" w:hAnsi="Times New Roman" w:eastAsia="宋体" w:cs="Times New Roman"/>
                <w:b w:val="0"/>
                <w:bCs w:val="0"/>
                <w:snapToGrid w:val="0"/>
                <w:color w:val="auto"/>
                <w:kern w:val="0"/>
                <w:sz w:val="24"/>
                <w:szCs w:val="24"/>
                <w:highlight w:val="none"/>
                <w:lang w:val="en-US" w:eastAsia="zh-CN" w:bidi="ar-SA"/>
              </w:rPr>
              <w:t>为</w:t>
            </w:r>
            <w:r>
              <w:rPr>
                <w:rFonts w:hint="eastAsia" w:ascii="Times New Roman" w:hAnsi="Times New Roman" w:eastAsia="宋体" w:cs="Times New Roman"/>
                <w:b w:val="0"/>
                <w:bCs w:val="0"/>
                <w:snapToGrid w:val="0"/>
                <w:color w:val="auto"/>
                <w:kern w:val="0"/>
                <w:sz w:val="24"/>
                <w:szCs w:val="24"/>
                <w:highlight w:val="none"/>
                <w:lang w:val="en-US" w:eastAsia="zh-CN" w:bidi="ar-SA"/>
              </w:rPr>
              <w:t>多重组合技术，处理效率更高效果更好，属于可行技术，并且该设备使用</w:t>
            </w:r>
            <w:r>
              <w:rPr>
                <w:rFonts w:hint="default" w:ascii="Times New Roman" w:hAnsi="Times New Roman" w:eastAsia="宋体" w:cs="Times New Roman"/>
                <w:color w:val="auto"/>
                <w:spacing w:val="0"/>
                <w:w w:val="100"/>
                <w:sz w:val="24"/>
                <w:szCs w:val="24"/>
                <w:highlight w:val="none"/>
                <w:lang w:val="en-US" w:eastAsia="zh-CN"/>
              </w:rPr>
              <w:t>电能，不涉及其他能源，不会增加大气污染物及污染量</w:t>
            </w:r>
            <w:r>
              <w:rPr>
                <w:rFonts w:hint="eastAsia" w:ascii="Times New Roman" w:hAnsi="Times New Roman" w:eastAsia="宋体" w:cs="Times New Roman"/>
                <w:color w:val="auto"/>
                <w:spacing w:val="0"/>
                <w:w w:val="100"/>
                <w:sz w:val="24"/>
                <w:szCs w:val="24"/>
                <w:highlight w:val="none"/>
                <w:lang w:val="en-US" w:eastAsia="zh-CN"/>
              </w:rPr>
              <w:t>，</w:t>
            </w:r>
            <w:r>
              <w:rPr>
                <w:rFonts w:hint="default" w:ascii="Times New Roman" w:hAnsi="Times New Roman" w:eastAsia="宋体" w:cs="Times New Roman"/>
                <w:b w:val="0"/>
                <w:bCs w:val="0"/>
                <w:snapToGrid w:val="0"/>
                <w:color w:val="auto"/>
                <w:kern w:val="0"/>
                <w:sz w:val="24"/>
                <w:szCs w:val="24"/>
                <w:highlight w:val="none"/>
                <w:lang w:val="en-US" w:eastAsia="zh-CN" w:bidi="ar-SA"/>
              </w:rPr>
              <w:t>故治理处置措施可行。</w:t>
            </w:r>
          </w:p>
          <w:p w14:paraId="44510D14">
            <w:pPr>
              <w:pStyle w:val="115"/>
              <w:pageBreakBefore w:val="0"/>
              <w:wordWrap w:val="0"/>
              <w:topLinePunct/>
              <w:bidi w:val="0"/>
              <w:snapToGrid/>
              <w:spacing w:beforeAutospacing="0" w:afterAutospacing="0"/>
              <w:ind w:firstLine="480"/>
              <w:rPr>
                <w:rFonts w:hint="default" w:ascii="Times New Roman" w:hAnsi="Times New Roman" w:eastAsia="宋体" w:cs="Times New Roman"/>
                <w:i w:val="0"/>
                <w:iCs w:val="0"/>
                <w:color w:val="auto"/>
                <w:spacing w:val="0"/>
                <w:kern w:val="0"/>
                <w:sz w:val="24"/>
                <w:szCs w:val="24"/>
                <w:highlight w:val="none"/>
                <w:u w:val="none"/>
                <w:lang w:val="en-US" w:eastAsia="zh-CN" w:bidi="ar"/>
              </w:rPr>
            </w:pPr>
            <w:r>
              <w:rPr>
                <w:rFonts w:hint="eastAsia" w:cs="Times New Roman"/>
                <w:i w:val="0"/>
                <w:iCs w:val="0"/>
                <w:color w:val="auto"/>
                <w:spacing w:val="0"/>
                <w:kern w:val="0"/>
                <w:sz w:val="24"/>
                <w:szCs w:val="24"/>
                <w:highlight w:val="none"/>
                <w:u w:val="none"/>
                <w:lang w:val="en-US" w:eastAsia="zh-CN" w:bidi="ar"/>
              </w:rPr>
              <w:t>本项目采用</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lang w:val="en-US" w:eastAsia="zh-CN"/>
              </w:rPr>
              <w:t>+活性炭吸附</w:t>
            </w:r>
            <w:r>
              <w:rPr>
                <w:rFonts w:hint="eastAsia"/>
                <w:color w:val="auto"/>
                <w:highlight w:val="none"/>
              </w:rPr>
              <w:t>”</w:t>
            </w:r>
            <w:r>
              <w:rPr>
                <w:rFonts w:hint="eastAsia"/>
                <w:color w:val="auto"/>
                <w:highlight w:val="none"/>
                <w:lang w:val="en-US" w:eastAsia="zh-CN"/>
              </w:rPr>
              <w:t>工艺处理喷漆线废气。</w:t>
            </w:r>
            <w:r>
              <w:rPr>
                <w:rFonts w:hint="default" w:ascii="Times New Roman" w:hAnsi="Times New Roman" w:eastAsia="宋体" w:cs="Times New Roman"/>
                <w:i w:val="0"/>
                <w:iCs w:val="0"/>
                <w:color w:val="auto"/>
                <w:spacing w:val="0"/>
                <w:kern w:val="0"/>
                <w:sz w:val="24"/>
                <w:szCs w:val="24"/>
                <w:highlight w:val="none"/>
                <w:u w:val="none"/>
                <w:lang w:val="en-US" w:eastAsia="zh-CN" w:bidi="ar"/>
              </w:rPr>
              <w:t>据《广东省生态环境厅关于印发工业源挥发性有机物和氮氧化物减排量核算方法的通知》（粤环函〔2023〕538号）中“表3.3-3 废气治理效率参考值”的说明，</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rPr>
              <w:t>”</w:t>
            </w:r>
            <w:r>
              <w:rPr>
                <w:color w:val="auto"/>
                <w:highlight w:val="none"/>
              </w:rPr>
              <w:t>治理效率为</w:t>
            </w:r>
            <w:r>
              <w:rPr>
                <w:rFonts w:hint="eastAsia"/>
                <w:color w:val="auto"/>
                <w:highlight w:val="none"/>
              </w:rPr>
              <w:t>60</w:t>
            </w:r>
            <w:r>
              <w:rPr>
                <w:color w:val="auto"/>
                <w:highlight w:val="none"/>
              </w:rPr>
              <w:t>%</w:t>
            </w:r>
            <w:r>
              <w:rPr>
                <w:rFonts w:hint="eastAsia"/>
                <w:color w:val="auto"/>
                <w:highlight w:val="none"/>
                <w:lang w:eastAsia="zh-CN"/>
              </w:rPr>
              <w:t>。</w:t>
            </w:r>
            <w:r>
              <w:rPr>
                <w:rFonts w:hint="default" w:ascii="Times New Roman" w:hAnsi="Times New Roman" w:cs="Times New Roman"/>
                <w:color w:val="auto"/>
                <w:sz w:val="24"/>
                <w:highlight w:val="none"/>
              </w:rPr>
              <w:t>参考《广东省家具行业挥发性有机化合物废气治理技术指南》（粤环</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highlight w:val="none"/>
              </w:rPr>
              <w:t>2013</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highlight w:val="none"/>
              </w:rPr>
              <w:t>79号）中对有机废气治理设施的治理效率可得，吸附法处理效率为50～80%（本报告一级活性炭处理效率取</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0%），项目采取两级</w:t>
            </w:r>
            <w:r>
              <w:rPr>
                <w:rFonts w:hint="eastAsia" w:ascii="Times New Roman" w:hAnsi="Times New Roman" w:cs="Times New Roman"/>
                <w:color w:val="auto"/>
                <w:sz w:val="24"/>
                <w:highlight w:val="none"/>
                <w:lang w:val="en-US" w:eastAsia="zh-CN"/>
              </w:rPr>
              <w:t>废气处理工艺</w:t>
            </w:r>
            <w:r>
              <w:rPr>
                <w:rFonts w:hint="default" w:ascii="Times New Roman" w:hAnsi="Times New Roman" w:cs="Times New Roman"/>
                <w:color w:val="auto"/>
                <w:sz w:val="24"/>
                <w:highlight w:val="none"/>
              </w:rPr>
              <w:t>串联方式，当存在两种或两种以上治理设施联合治理时，治理效率可按公式η=1-（1-η</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）×（1-η</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）...（1-η</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）进行计算，则本项目废气处理工艺对有机废气总处理效率合计为1-（1-</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0%）×（1-50%）=</w:t>
            </w:r>
            <w:r>
              <w:rPr>
                <w:rFonts w:hint="eastAsia" w:cs="Times New Roman"/>
                <w:color w:val="auto"/>
                <w:sz w:val="24"/>
                <w:highlight w:val="none"/>
                <w:lang w:val="en-US" w:eastAsia="zh-CN"/>
              </w:rPr>
              <w:t>80</w:t>
            </w:r>
            <w:r>
              <w:rPr>
                <w:rFonts w:hint="default" w:ascii="Times New Roman" w:hAnsi="Times New Roman" w:cs="Times New Roman"/>
                <w:color w:val="auto"/>
                <w:sz w:val="24"/>
                <w:highlight w:val="none"/>
              </w:rPr>
              <w:t>%。</w:t>
            </w:r>
          </w:p>
          <w:p w14:paraId="63272AD2">
            <w:pPr>
              <w:pStyle w:val="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snapToGrid w:val="0"/>
                <w:color w:val="auto"/>
                <w:kern w:val="0"/>
                <w:sz w:val="24"/>
                <w:szCs w:val="24"/>
                <w:highlight w:val="none"/>
                <w:lang w:val="en-US" w:eastAsia="zh-CN" w:bidi="ar-SA"/>
              </w:rPr>
            </w:pPr>
            <w:r>
              <w:rPr>
                <w:rFonts w:hint="eastAsia" w:ascii="Times New Roman" w:hAnsi="Times New Roman" w:cs="Times New Roman"/>
                <w:b w:val="0"/>
                <w:bCs w:val="0"/>
                <w:snapToGrid w:val="0"/>
                <w:color w:val="auto"/>
                <w:kern w:val="0"/>
                <w:sz w:val="24"/>
                <w:szCs w:val="24"/>
                <w:highlight w:val="none"/>
                <w:lang w:val="en-US" w:eastAsia="zh-CN" w:bidi="ar-SA"/>
              </w:rPr>
              <w:t>项目废气处理工艺对颗粒物的去除</w:t>
            </w:r>
            <w:r>
              <w:rPr>
                <w:rFonts w:hint="eastAsia" w:ascii="Times New Roman" w:hAnsi="Times New Roman" w:eastAsia="宋体" w:cs="Times New Roman"/>
                <w:b w:val="0"/>
                <w:bCs w:val="0"/>
                <w:snapToGrid w:val="0"/>
                <w:color w:val="auto"/>
                <w:kern w:val="0"/>
                <w:sz w:val="24"/>
                <w:szCs w:val="24"/>
                <w:highlight w:val="none"/>
                <w:lang w:val="en-US" w:eastAsia="zh-CN" w:bidi="ar-SA"/>
              </w:rPr>
              <w:t>效率为</w:t>
            </w:r>
            <w:r>
              <w:rPr>
                <w:rFonts w:hint="eastAsia" w:ascii="Times New Roman" w:hAnsi="Times New Roman" w:cs="Times New Roman"/>
                <w:b w:val="0"/>
                <w:bCs w:val="0"/>
                <w:snapToGrid w:val="0"/>
                <w:color w:val="auto"/>
                <w:kern w:val="0"/>
                <w:sz w:val="24"/>
                <w:szCs w:val="24"/>
                <w:highlight w:val="none"/>
                <w:lang w:val="en-US" w:eastAsia="zh-CN" w:bidi="ar-SA"/>
              </w:rPr>
              <w:t>95</w:t>
            </w:r>
            <w:r>
              <w:rPr>
                <w:rFonts w:hint="eastAsia" w:ascii="Times New Roman" w:hAnsi="Times New Roman" w:eastAsia="宋体" w:cs="Times New Roman"/>
                <w:b w:val="0"/>
                <w:bCs w:val="0"/>
                <w:snapToGrid w:val="0"/>
                <w:color w:val="auto"/>
                <w:kern w:val="0"/>
                <w:sz w:val="24"/>
                <w:szCs w:val="24"/>
                <w:highlight w:val="none"/>
                <w:lang w:val="en-US" w:eastAsia="zh-CN" w:bidi="ar-SA"/>
              </w:rPr>
              <w:t>%，</w:t>
            </w:r>
            <w:r>
              <w:rPr>
                <w:rFonts w:hint="eastAsia" w:ascii="Times New Roman" w:hAnsi="Times New Roman" w:cs="Times New Roman"/>
                <w:b w:val="0"/>
                <w:bCs w:val="0"/>
                <w:snapToGrid w:val="0"/>
                <w:color w:val="auto"/>
                <w:kern w:val="0"/>
                <w:sz w:val="24"/>
                <w:szCs w:val="24"/>
                <w:highlight w:val="none"/>
                <w:lang w:val="en-US" w:eastAsia="zh-CN" w:bidi="ar-SA"/>
              </w:rPr>
              <w:t>对</w:t>
            </w:r>
            <w:r>
              <w:rPr>
                <w:rFonts w:hint="eastAsia" w:ascii="Times New Roman" w:hAnsi="Times New Roman" w:eastAsia="宋体" w:cs="Times New Roman"/>
                <w:b w:val="0"/>
                <w:bCs w:val="0"/>
                <w:snapToGrid w:val="0"/>
                <w:color w:val="auto"/>
                <w:kern w:val="0"/>
                <w:sz w:val="24"/>
                <w:szCs w:val="24"/>
                <w:highlight w:val="none"/>
                <w:lang w:val="en-US" w:eastAsia="zh-CN" w:bidi="ar-SA"/>
              </w:rPr>
              <w:t>有机废气处理效率为</w:t>
            </w:r>
            <w:r>
              <w:rPr>
                <w:rFonts w:hint="eastAsia" w:ascii="Times New Roman" w:hAnsi="Times New Roman" w:cs="Times New Roman"/>
                <w:b w:val="0"/>
                <w:bCs w:val="0"/>
                <w:snapToGrid w:val="0"/>
                <w:color w:val="auto"/>
                <w:kern w:val="0"/>
                <w:sz w:val="24"/>
                <w:szCs w:val="24"/>
                <w:highlight w:val="none"/>
                <w:lang w:val="en-US" w:eastAsia="zh-CN" w:bidi="ar-SA"/>
              </w:rPr>
              <w:t>80</w:t>
            </w:r>
            <w:r>
              <w:rPr>
                <w:rFonts w:hint="eastAsia" w:ascii="Times New Roman" w:hAnsi="Times New Roman" w:eastAsia="宋体" w:cs="Times New Roman"/>
                <w:b w:val="0"/>
                <w:bCs w:val="0"/>
                <w:snapToGrid w:val="0"/>
                <w:color w:val="auto"/>
                <w:kern w:val="0"/>
                <w:sz w:val="24"/>
                <w:szCs w:val="24"/>
                <w:highlight w:val="none"/>
                <w:lang w:val="en-US" w:eastAsia="zh-CN" w:bidi="ar-SA"/>
              </w:rPr>
              <w:t>%。</w:t>
            </w:r>
          </w:p>
          <w:p w14:paraId="245A1B92">
            <w:pPr>
              <w:keepNext/>
              <w:keepLines/>
              <w:tabs>
                <w:tab w:val="left" w:pos="0"/>
              </w:tabs>
              <w:ind w:firstLine="480" w:firstLineChars="200"/>
              <w:outlineLvl w:val="3"/>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综上所述，本项目</w:t>
            </w:r>
            <w:r>
              <w:rPr>
                <w:rFonts w:hint="default" w:ascii="Times New Roman" w:hAnsi="Times New Roman" w:eastAsia="宋体" w:cs="Times New Roman"/>
                <w:b w:val="0"/>
                <w:bCs w:val="0"/>
                <w:snapToGrid w:val="0"/>
                <w:color w:val="auto"/>
                <w:kern w:val="0"/>
                <w:sz w:val="24"/>
                <w:szCs w:val="24"/>
                <w:highlight w:val="none"/>
                <w:lang w:val="en-US" w:eastAsia="zh-CN" w:bidi="ar-SA"/>
              </w:rPr>
              <w:t>塑料颗粒生产线熔融</w:t>
            </w:r>
            <w:r>
              <w:rPr>
                <w:rFonts w:hint="eastAsia" w:cs="Times New Roman"/>
                <w:b w:val="0"/>
                <w:bCs w:val="0"/>
                <w:snapToGrid w:val="0"/>
                <w:color w:val="auto"/>
                <w:kern w:val="0"/>
                <w:sz w:val="24"/>
                <w:szCs w:val="24"/>
                <w:highlight w:val="none"/>
                <w:lang w:val="en-US" w:eastAsia="zh-CN" w:bidi="ar-SA"/>
              </w:rPr>
              <w:t>造粒</w:t>
            </w:r>
            <w:r>
              <w:rPr>
                <w:rFonts w:hint="eastAsia" w:ascii="Times New Roman" w:hAnsi="Times New Roman" w:eastAsia="宋体" w:cs="Times New Roman"/>
                <w:b w:val="0"/>
                <w:bCs w:val="0"/>
                <w:snapToGrid w:val="0"/>
                <w:color w:val="auto"/>
                <w:kern w:val="0"/>
                <w:sz w:val="24"/>
                <w:szCs w:val="24"/>
                <w:highlight w:val="none"/>
                <w:lang w:val="en-US" w:eastAsia="zh-CN" w:bidi="ar-SA"/>
              </w:rPr>
              <w:t>挤出过程产生的</w:t>
            </w:r>
            <w:r>
              <w:rPr>
                <w:rFonts w:hint="default" w:ascii="Times New Roman" w:hAnsi="Times New Roman" w:eastAsia="宋体" w:cs="Times New Roman"/>
                <w:b w:val="0"/>
                <w:bCs w:val="0"/>
                <w:snapToGrid w:val="0"/>
                <w:color w:val="auto"/>
                <w:kern w:val="0"/>
                <w:sz w:val="24"/>
                <w:szCs w:val="24"/>
                <w:highlight w:val="none"/>
                <w:lang w:val="en-US" w:eastAsia="zh-CN" w:bidi="ar-SA"/>
              </w:rPr>
              <w:t>颗粒物及非甲烷总烃</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经过</w:t>
            </w:r>
            <w:r>
              <w:rPr>
                <w:rFonts w:hint="eastAsia" w:cs="Times New Roman"/>
                <w:i w:val="0"/>
                <w:iCs w:val="0"/>
                <w:caps w:val="0"/>
                <w:color w:val="auto"/>
                <w:spacing w:val="0"/>
                <w:sz w:val="24"/>
                <w:szCs w:val="24"/>
                <w:highlight w:val="none"/>
                <w:shd w:val="clear" w:color="auto" w:fill="FFFFFF"/>
                <w:lang w:val="en-US" w:eastAsia="zh-CN"/>
              </w:rPr>
              <w:t>电捕焦油+气旋混动喷淋+干式过滤+活性炭吸附脱附+催化燃烧+活性炭吸附</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处理后经</w:t>
            </w:r>
            <w:r>
              <w:rPr>
                <w:rFonts w:hint="eastAsia" w:cs="Times New Roman"/>
                <w:i w:val="0"/>
                <w:iCs w:val="0"/>
                <w:caps w:val="0"/>
                <w:color w:val="auto"/>
                <w:spacing w:val="0"/>
                <w:sz w:val="24"/>
                <w:szCs w:val="24"/>
                <w:highlight w:val="none"/>
                <w:shd w:val="clear" w:color="auto" w:fill="FFFFFF"/>
                <w:lang w:val="en-US" w:eastAsia="zh-CN"/>
              </w:rPr>
              <w:t>15m</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高排气筒DA00</w:t>
            </w:r>
            <w:r>
              <w:rPr>
                <w:rFonts w:hint="eastAsia" w:cs="Times New Roman"/>
                <w:i w:val="0"/>
                <w:iCs w:val="0"/>
                <w:caps w:val="0"/>
                <w:color w:val="auto"/>
                <w:spacing w:val="0"/>
                <w:sz w:val="24"/>
                <w:szCs w:val="24"/>
                <w:highlight w:val="none"/>
                <w:shd w:val="clear" w:color="auto" w:fill="FFFFFF"/>
                <w:lang w:val="en-US" w:eastAsia="zh-CN"/>
              </w:rPr>
              <w:t>2</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排放</w:t>
            </w:r>
            <w:r>
              <w:rPr>
                <w:rFonts w:hint="default" w:ascii="Times New Roman" w:hAnsi="Times New Roman" w:eastAsia="宋体" w:cs="Times New Roman"/>
                <w:color w:val="auto"/>
                <w:sz w:val="24"/>
                <w:szCs w:val="24"/>
                <w:highlight w:val="none"/>
                <w:lang w:eastAsia="zh-CN"/>
              </w:rPr>
              <w:t>是可行的。</w:t>
            </w:r>
          </w:p>
          <w:p w14:paraId="46F1CB36">
            <w:pPr>
              <w:pStyle w:val="119"/>
              <w:keepNext w:val="0"/>
              <w:keepLines w:val="0"/>
              <w:suppressLineNumbers w:val="0"/>
              <w:bidi w:val="0"/>
              <w:spacing w:before="0" w:beforeAutospacing="0" w:after="0" w:afterAutospacing="0"/>
              <w:ind w:left="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4</w:t>
            </w:r>
            <w:r>
              <w:rPr>
                <w:rFonts w:hint="eastAsia" w:cs="Times New Roman"/>
                <w:color w:val="auto"/>
                <w:highlight w:val="none"/>
                <w:lang w:val="en-US" w:eastAsia="zh-CN"/>
              </w:rPr>
              <w:t>-7</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eastAsia="zh-CN"/>
              </w:rPr>
              <w:t>本项目拟采取废气防治措施一览表</w:t>
            </w:r>
          </w:p>
          <w:tbl>
            <w:tblPr>
              <w:tblStyle w:val="49"/>
              <w:tblW w:w="48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71"/>
              <w:gridCol w:w="1670"/>
              <w:gridCol w:w="4231"/>
              <w:gridCol w:w="2042"/>
            </w:tblGrid>
            <w:tr w14:paraId="2937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0" w:hRule="atLeast"/>
                <w:jc w:val="center"/>
              </w:trPr>
              <w:tc>
                <w:tcPr>
                  <w:tcW w:w="594" w:type="pct"/>
                  <w:tcBorders>
                    <w:tl2br w:val="nil"/>
                    <w:tr2bl w:val="nil"/>
                  </w:tcBorders>
                  <w:tcMar>
                    <w:left w:w="57" w:type="dxa"/>
                    <w:right w:w="57" w:type="dxa"/>
                  </w:tcMar>
                  <w:vAlign w:val="center"/>
                </w:tcPr>
                <w:p w14:paraId="6AB138EF">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lang w:eastAsia="zh-CN"/>
                    </w:rPr>
                    <w:t>污染源</w:t>
                  </w:r>
                </w:p>
              </w:tc>
              <w:tc>
                <w:tcPr>
                  <w:tcW w:w="926" w:type="pct"/>
                  <w:tcBorders>
                    <w:tl2br w:val="nil"/>
                    <w:tr2bl w:val="nil"/>
                  </w:tcBorders>
                  <w:vAlign w:val="center"/>
                </w:tcPr>
                <w:p w14:paraId="6C892113">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lang w:eastAsia="zh-CN"/>
                    </w:rPr>
                    <w:t>治理措施</w:t>
                  </w:r>
                </w:p>
              </w:tc>
              <w:tc>
                <w:tcPr>
                  <w:tcW w:w="2346" w:type="pct"/>
                  <w:tcBorders>
                    <w:tl2br w:val="nil"/>
                    <w:tr2bl w:val="nil"/>
                  </w:tcBorders>
                  <w:vAlign w:val="center"/>
                </w:tcPr>
                <w:p w14:paraId="01CDEE10">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lang w:eastAsia="zh-CN"/>
                    </w:rPr>
                    <w:t>是否可行技术</w:t>
                  </w:r>
                </w:p>
              </w:tc>
              <w:tc>
                <w:tcPr>
                  <w:tcW w:w="1132" w:type="pct"/>
                  <w:tcBorders>
                    <w:tl2br w:val="nil"/>
                    <w:tr2bl w:val="nil"/>
                  </w:tcBorders>
                  <w:vAlign w:val="center"/>
                </w:tcPr>
                <w:p w14:paraId="57C32D4E">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lang w:val="en-US" w:eastAsia="zh-CN"/>
                    </w:rPr>
                    <w:t>本项目</w:t>
                  </w:r>
                </w:p>
              </w:tc>
            </w:tr>
            <w:tr w14:paraId="1061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6" w:hRule="atLeast"/>
                <w:jc w:val="center"/>
              </w:trPr>
              <w:tc>
                <w:tcPr>
                  <w:tcW w:w="594" w:type="pct"/>
                  <w:tcBorders>
                    <w:tl2br w:val="nil"/>
                    <w:tr2bl w:val="nil"/>
                  </w:tcBorders>
                  <w:tcMar>
                    <w:left w:w="57" w:type="dxa"/>
                    <w:right w:w="57" w:type="dxa"/>
                  </w:tcMar>
                  <w:vAlign w:val="center"/>
                </w:tcPr>
                <w:p w14:paraId="5AA90599">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val="en-US" w:eastAsia="zh-CN"/>
                    </w:rPr>
                    <w:t>干法</w:t>
                  </w:r>
                  <w:r>
                    <w:rPr>
                      <w:rFonts w:hint="default" w:ascii="Times New Roman" w:hAnsi="Times New Roman" w:eastAsia="宋体" w:cs="Times New Roman"/>
                      <w:b w:val="0"/>
                      <w:bCs/>
                      <w:color w:val="auto"/>
                      <w:highlight w:val="none"/>
                      <w:lang w:eastAsia="zh-CN"/>
                    </w:rPr>
                    <w:t>破碎粉尘</w:t>
                  </w:r>
                </w:p>
              </w:tc>
              <w:tc>
                <w:tcPr>
                  <w:tcW w:w="926" w:type="pct"/>
                  <w:tcBorders>
                    <w:tl2br w:val="nil"/>
                    <w:tr2bl w:val="nil"/>
                  </w:tcBorders>
                  <w:vAlign w:val="center"/>
                </w:tcPr>
                <w:p w14:paraId="25B3F348">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布袋除尘</w:t>
                  </w:r>
                </w:p>
              </w:tc>
              <w:tc>
                <w:tcPr>
                  <w:tcW w:w="2346" w:type="pct"/>
                  <w:tcBorders>
                    <w:tl2br w:val="nil"/>
                    <w:tr2bl w:val="nil"/>
                  </w:tcBorders>
                  <w:vAlign w:val="center"/>
                </w:tcPr>
                <w:p w14:paraId="6DFC6FD5">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是。</w:t>
                  </w:r>
                </w:p>
                <w:p w14:paraId="70305A51">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 xml:space="preserve">根据《排污许可证申请与核发技术规范 </w:t>
                  </w:r>
                  <w:r>
                    <w:rPr>
                      <w:rFonts w:hint="eastAsia" w:ascii="Times New Roman" w:eastAsia="宋体" w:cs="Times New Roman"/>
                      <w:b w:val="0"/>
                      <w:bCs/>
                      <w:color w:val="auto"/>
                      <w:highlight w:val="none"/>
                      <w:lang w:val="en-US" w:eastAsia="zh-CN"/>
                    </w:rPr>
                    <w:t>废</w:t>
                  </w:r>
                  <w:r>
                    <w:rPr>
                      <w:rFonts w:hint="default" w:ascii="Times New Roman" w:hAnsi="Times New Roman" w:eastAsia="宋体" w:cs="Times New Roman"/>
                      <w:b w:val="0"/>
                      <w:bCs/>
                      <w:color w:val="auto"/>
                      <w:highlight w:val="none"/>
                      <w:lang w:val="en-US" w:eastAsia="zh-CN"/>
                    </w:rPr>
                    <w:t>弃资源加工工业（HJ1034-2019）》中附录A 表A.1，废塑料破碎工艺产生的颗粒物推荐处理工艺为喷淋降尘、布袋除尘。</w:t>
                  </w:r>
                </w:p>
              </w:tc>
              <w:tc>
                <w:tcPr>
                  <w:tcW w:w="1132" w:type="pct"/>
                  <w:tcBorders>
                    <w:tl2br w:val="nil"/>
                    <w:tr2bl w:val="nil"/>
                  </w:tcBorders>
                  <w:vAlign w:val="center"/>
                </w:tcPr>
                <w:p w14:paraId="58C65A08">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采取布袋除尘，可行。</w:t>
                  </w:r>
                </w:p>
              </w:tc>
            </w:tr>
            <w:tr w14:paraId="26C9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6" w:hRule="atLeast"/>
                <w:jc w:val="center"/>
              </w:trPr>
              <w:tc>
                <w:tcPr>
                  <w:tcW w:w="594" w:type="pct"/>
                  <w:tcBorders>
                    <w:tl2br w:val="nil"/>
                    <w:tr2bl w:val="nil"/>
                  </w:tcBorders>
                  <w:tcMar>
                    <w:left w:w="57" w:type="dxa"/>
                    <w:right w:w="57" w:type="dxa"/>
                  </w:tcMar>
                  <w:vAlign w:val="center"/>
                </w:tcPr>
                <w:p w14:paraId="63078780">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造粒废气</w:t>
                  </w:r>
                </w:p>
              </w:tc>
              <w:tc>
                <w:tcPr>
                  <w:tcW w:w="926" w:type="pct"/>
                  <w:tcBorders>
                    <w:tl2br w:val="nil"/>
                    <w:tr2bl w:val="nil"/>
                  </w:tcBorders>
                  <w:vAlign w:val="center"/>
                </w:tcPr>
                <w:p w14:paraId="1CC2BB4E">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ascii="Times New Roman" w:eastAsia="宋体" w:cs="Times New Roman"/>
                      <w:b w:val="0"/>
                      <w:bCs/>
                      <w:color w:val="auto"/>
                      <w:highlight w:val="none"/>
                      <w:lang w:val="en-US" w:eastAsia="zh-CN"/>
                    </w:rPr>
                    <w:t>电捕焦油+气旋混动喷淋+干式过滤+活性炭吸附脱附+催化燃烧+活性炭吸附</w:t>
                  </w:r>
                </w:p>
              </w:tc>
              <w:tc>
                <w:tcPr>
                  <w:tcW w:w="2346" w:type="pct"/>
                  <w:tcBorders>
                    <w:tl2br w:val="nil"/>
                    <w:tr2bl w:val="nil"/>
                  </w:tcBorders>
                  <w:vAlign w:val="center"/>
                </w:tcPr>
                <w:p w14:paraId="2B2CABEF">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rPr>
                    <w:t xml:space="preserve">根据《排污许可证申请与核发技术规范 </w:t>
                  </w:r>
                  <w:r>
                    <w:rPr>
                      <w:rFonts w:hint="default" w:ascii="Times New Roman" w:hAnsi="Times New Roman" w:eastAsia="宋体" w:cs="Times New Roman"/>
                      <w:b w:val="0"/>
                      <w:bCs/>
                      <w:color w:val="auto"/>
                      <w:highlight w:val="none"/>
                      <w:lang w:val="en-US" w:eastAsia="zh-CN"/>
                    </w:rPr>
                    <w:t>废</w:t>
                  </w:r>
                  <w:r>
                    <w:rPr>
                      <w:rFonts w:hint="default" w:ascii="Times New Roman" w:hAnsi="Times New Roman" w:eastAsia="宋体" w:cs="Times New Roman"/>
                      <w:b w:val="0"/>
                      <w:bCs/>
                      <w:color w:val="auto"/>
                      <w:highlight w:val="none"/>
                    </w:rPr>
                    <w:t>弃资源加工工业（HJ1034-2019）》中附录A 表A.1，气旋混动喷淋为处理颗粒物的可行技术，活性炭吸附和催化燃烧为处理非甲烷总烃的可性技术。</w:t>
                  </w:r>
                </w:p>
              </w:tc>
              <w:tc>
                <w:tcPr>
                  <w:tcW w:w="1132" w:type="pct"/>
                  <w:tcBorders>
                    <w:tl2br w:val="nil"/>
                    <w:tr2bl w:val="nil"/>
                  </w:tcBorders>
                  <w:vAlign w:val="center"/>
                </w:tcPr>
                <w:p w14:paraId="14847710">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可行</w:t>
                  </w:r>
                </w:p>
              </w:tc>
            </w:tr>
            <w:tr w14:paraId="2B85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13" w:hRule="atLeast"/>
                <w:jc w:val="center"/>
              </w:trPr>
              <w:tc>
                <w:tcPr>
                  <w:tcW w:w="594" w:type="pct"/>
                  <w:tcBorders>
                    <w:tl2br w:val="nil"/>
                    <w:tr2bl w:val="nil"/>
                  </w:tcBorders>
                  <w:tcMar>
                    <w:left w:w="57" w:type="dxa"/>
                    <w:right w:w="57" w:type="dxa"/>
                  </w:tcMar>
                  <w:vAlign w:val="center"/>
                </w:tcPr>
                <w:p w14:paraId="5B258349">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油烟</w:t>
                  </w:r>
                </w:p>
              </w:tc>
              <w:tc>
                <w:tcPr>
                  <w:tcW w:w="926" w:type="pct"/>
                  <w:tcBorders>
                    <w:tl2br w:val="nil"/>
                    <w:tr2bl w:val="nil"/>
                  </w:tcBorders>
                  <w:vAlign w:val="center"/>
                </w:tcPr>
                <w:p w14:paraId="7E063A77">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油烟净化器</w:t>
                  </w:r>
                </w:p>
              </w:tc>
              <w:tc>
                <w:tcPr>
                  <w:tcW w:w="2346" w:type="pct"/>
                  <w:tcBorders>
                    <w:tl2br w:val="nil"/>
                    <w:tr2bl w:val="nil"/>
                  </w:tcBorders>
                  <w:vAlign w:val="center"/>
                </w:tcPr>
                <w:p w14:paraId="61FCBDFB">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是。</w:t>
                  </w:r>
                  <w:r>
                    <w:rPr>
                      <w:rFonts w:hint="default" w:ascii="Times New Roman" w:hAnsi="Times New Roman" w:eastAsia="宋体" w:cs="Times New Roman"/>
                      <w:b w:val="0"/>
                      <w:bCs/>
                      <w:color w:val="auto"/>
                      <w:highlight w:val="none"/>
                      <w:lang w:val="en-US" w:eastAsia="zh-CN"/>
                    </w:rPr>
                    <w:t>《饮食业油烟排放标准》（GB 18483–2001）</w:t>
                  </w:r>
                  <w:r>
                    <w:rPr>
                      <w:rFonts w:hint="eastAsia" w:eastAsia="宋体" w:cs="Times New Roman"/>
                      <w:b w:val="0"/>
                      <w:bCs/>
                      <w:color w:val="auto"/>
                      <w:highlight w:val="none"/>
                      <w:lang w:val="en-US" w:eastAsia="zh-CN"/>
                    </w:rPr>
                    <w:t>净化效率≥75%</w:t>
                  </w:r>
                </w:p>
              </w:tc>
              <w:tc>
                <w:tcPr>
                  <w:tcW w:w="1132" w:type="pct"/>
                  <w:tcBorders>
                    <w:tl2br w:val="nil"/>
                    <w:tr2bl w:val="nil"/>
                  </w:tcBorders>
                  <w:vAlign w:val="center"/>
                </w:tcPr>
                <w:p w14:paraId="6FCB5429">
                  <w:pPr>
                    <w:pStyle w:val="97"/>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highlight w:val="none"/>
                      <w:lang w:val="en-US" w:eastAsia="zh-CN"/>
                    </w:rPr>
                  </w:pPr>
                  <w:r>
                    <w:rPr>
                      <w:rFonts w:hint="eastAsia" w:eastAsia="宋体" w:cs="Times New Roman"/>
                      <w:b w:val="0"/>
                      <w:bCs/>
                      <w:color w:val="auto"/>
                      <w:highlight w:val="none"/>
                      <w:lang w:val="en-US" w:eastAsia="zh-CN"/>
                    </w:rPr>
                    <w:t>可行</w:t>
                  </w:r>
                </w:p>
              </w:tc>
            </w:tr>
          </w:tbl>
          <w:p w14:paraId="333CA374">
            <w:pPr>
              <w:adjustRightInd w:val="0"/>
              <w:ind w:firstLine="480" w:firstLineChars="200"/>
              <w:contextualSpacing/>
              <w:jc w:val="left"/>
              <w:rPr>
                <w:color w:val="auto"/>
                <w:highlight w:val="none"/>
              </w:rPr>
            </w:pPr>
            <w:r>
              <w:rPr>
                <w:color w:val="auto"/>
                <w:highlight w:val="none"/>
              </w:rPr>
              <w:t>（3）无组织排放控制要求</w:t>
            </w:r>
          </w:p>
          <w:p w14:paraId="06622381">
            <w:pPr>
              <w:adjustRightInd w:val="0"/>
              <w:ind w:firstLine="480" w:firstLineChars="200"/>
              <w:contextualSpacing/>
              <w:jc w:val="left"/>
              <w:rPr>
                <w:color w:val="auto"/>
                <w:highlight w:val="none"/>
              </w:rPr>
            </w:pPr>
            <w:r>
              <w:rPr>
                <w:color w:val="auto"/>
                <w:highlight w:val="none"/>
              </w:rPr>
              <w:t>根据《排污许可证申请与核发技术规范 废弃资源加工工业》（HJ 034—2019）的要求，建议对本项目无组织排放废气控制提出以下要求∶</w:t>
            </w:r>
          </w:p>
          <w:p w14:paraId="00D2D339">
            <w:pPr>
              <w:adjustRightInd w:val="0"/>
              <w:ind w:firstLine="480" w:firstLineChars="200"/>
              <w:contextualSpacing/>
              <w:jc w:val="left"/>
              <w:rPr>
                <w:rFonts w:hint="default" w:eastAsia="宋体"/>
                <w:color w:val="auto"/>
                <w:highlight w:val="none"/>
                <w:lang w:val="en-US" w:eastAsia="zh-CN"/>
              </w:rPr>
            </w:pPr>
            <w:r>
              <w:rPr>
                <w:color w:val="auto"/>
                <w:highlight w:val="none"/>
              </w:rPr>
              <w:t>a）</w:t>
            </w:r>
            <w:r>
              <w:rPr>
                <w:rFonts w:hint="eastAsia"/>
                <w:color w:val="auto"/>
                <w:highlight w:val="none"/>
                <w:lang w:val="en-US" w:eastAsia="zh-CN"/>
              </w:rPr>
              <w:t>破碎车间加强有组织废气收集，配备高效除尘设施。</w:t>
            </w:r>
          </w:p>
          <w:p w14:paraId="67CD07A1">
            <w:pPr>
              <w:adjustRightInd w:val="0"/>
              <w:ind w:firstLine="480" w:firstLineChars="200"/>
              <w:contextualSpacing/>
              <w:jc w:val="left"/>
              <w:rPr>
                <w:color w:val="auto"/>
                <w:highlight w:val="none"/>
              </w:rPr>
            </w:pPr>
            <w:r>
              <w:rPr>
                <w:rFonts w:hint="eastAsia"/>
                <w:color w:val="auto"/>
                <w:highlight w:val="none"/>
                <w:lang w:val="en-US" w:eastAsia="zh-CN"/>
              </w:rPr>
              <w:t>b）造粒</w:t>
            </w:r>
            <w:r>
              <w:rPr>
                <w:color w:val="auto"/>
                <w:highlight w:val="none"/>
              </w:rPr>
              <w:t>工序加强设备的密闭性，</w:t>
            </w:r>
            <w:r>
              <w:rPr>
                <w:rFonts w:hint="eastAsia"/>
                <w:color w:val="auto"/>
                <w:highlight w:val="none"/>
                <w:lang w:val="en-US" w:eastAsia="zh-CN"/>
              </w:rPr>
              <w:t>配备密闭罩，控制工艺过程温度，</w:t>
            </w:r>
            <w:r>
              <w:rPr>
                <w:color w:val="auto"/>
                <w:highlight w:val="none"/>
              </w:rPr>
              <w:t>配备</w:t>
            </w:r>
            <w:r>
              <w:rPr>
                <w:rFonts w:hint="eastAsia"/>
                <w:color w:val="auto"/>
                <w:highlight w:val="none"/>
                <w:lang w:val="en-US" w:eastAsia="zh-CN"/>
              </w:rPr>
              <w:t>废气</w:t>
            </w:r>
            <w:r>
              <w:rPr>
                <w:color w:val="auto"/>
                <w:highlight w:val="none"/>
              </w:rPr>
              <w:t>收集和处理设施。</w:t>
            </w:r>
          </w:p>
          <w:p w14:paraId="7C28C440">
            <w:pPr>
              <w:adjustRightInd w:val="0"/>
              <w:ind w:firstLine="480" w:firstLineChars="200"/>
              <w:contextualSpacing/>
              <w:jc w:val="left"/>
              <w:rPr>
                <w:color w:val="auto"/>
                <w:highlight w:val="none"/>
              </w:rPr>
            </w:pPr>
            <w:r>
              <w:rPr>
                <w:rFonts w:hint="eastAsia"/>
                <w:color w:val="auto"/>
                <w:highlight w:val="none"/>
                <w:lang w:val="en-US" w:eastAsia="zh-CN"/>
              </w:rPr>
              <w:t>c</w:t>
            </w:r>
            <w:r>
              <w:rPr>
                <w:color w:val="auto"/>
                <w:highlight w:val="none"/>
              </w:rPr>
              <w:t>）优化生产周期，减少原辅料、产品等的转运次数和周转量。延长装置连续运行时间，减少停产检修次数。</w:t>
            </w:r>
          </w:p>
          <w:p w14:paraId="27FA02C6">
            <w:pPr>
              <w:adjustRightInd w:val="0"/>
              <w:ind w:firstLine="480" w:firstLineChars="200"/>
              <w:contextualSpacing/>
              <w:jc w:val="left"/>
              <w:rPr>
                <w:color w:val="auto"/>
                <w:highlight w:val="none"/>
              </w:rPr>
            </w:pPr>
            <w:r>
              <w:rPr>
                <w:color w:val="auto"/>
                <w:highlight w:val="none"/>
              </w:rPr>
              <w:t>通过上述无组织排放控制措施后，项目的无组织排放的</w:t>
            </w:r>
            <w:r>
              <w:rPr>
                <w:rFonts w:hint="eastAsia"/>
                <w:color w:val="auto"/>
                <w:highlight w:val="none"/>
                <w:lang w:val="en-US" w:eastAsia="zh-CN"/>
              </w:rPr>
              <w:t>颗粒物</w:t>
            </w:r>
            <w:r>
              <w:rPr>
                <w:color w:val="auto"/>
                <w:highlight w:val="none"/>
              </w:rPr>
              <w:t>、非甲烷总烃和</w:t>
            </w:r>
            <w:r>
              <w:rPr>
                <w:rFonts w:hint="eastAsia"/>
                <w:color w:val="auto"/>
                <w:highlight w:val="none"/>
                <w:lang w:val="en-US" w:eastAsia="zh-CN"/>
              </w:rPr>
              <w:t>臭气浓度</w:t>
            </w:r>
            <w:r>
              <w:rPr>
                <w:color w:val="auto"/>
                <w:highlight w:val="none"/>
              </w:rPr>
              <w:t>外环境的影响较小。</w:t>
            </w:r>
          </w:p>
          <w:p w14:paraId="31C6E51B">
            <w:pPr>
              <w:keepNext/>
              <w:keepLines/>
              <w:tabs>
                <w:tab w:val="left" w:pos="0"/>
              </w:tabs>
              <w:ind w:firstLine="480" w:firstLineChars="200"/>
              <w:outlineLvl w:val="3"/>
              <w:rPr>
                <w:b/>
                <w:bCs/>
                <w:color w:val="auto"/>
                <w:szCs w:val="28"/>
                <w:highlight w:val="none"/>
              </w:rPr>
            </w:pPr>
            <w:r>
              <w:rPr>
                <w:b/>
                <w:bCs/>
                <w:color w:val="auto"/>
                <w:szCs w:val="28"/>
                <w:highlight w:val="none"/>
              </w:rPr>
              <w:t>3、达标情况分析</w:t>
            </w:r>
          </w:p>
          <w:p w14:paraId="6FCF93E0">
            <w:pPr>
              <w:ind w:firstLine="480" w:firstLineChars="200"/>
              <w:rPr>
                <w:rFonts w:hint="default" w:eastAsia="宋体"/>
                <w:color w:val="auto"/>
                <w:highlight w:val="none"/>
                <w:lang w:val="en-US" w:eastAsia="zh-CN"/>
              </w:rPr>
            </w:pPr>
            <w:r>
              <w:rPr>
                <w:rFonts w:hint="eastAsia"/>
                <w:color w:val="auto"/>
                <w:highlight w:val="none"/>
                <w:lang w:val="en-US" w:eastAsia="zh-CN"/>
              </w:rPr>
              <w:t>本项目废气主要为破碎粉尘和造粒废气，主要污染物为颗粒物、非甲烷总烃、臭气浓度。</w:t>
            </w:r>
            <w:r>
              <w:rPr>
                <w:rFonts w:hint="eastAsia"/>
                <w:color w:val="auto"/>
                <w:kern w:val="0"/>
                <w:highlight w:val="none"/>
                <w:lang w:val="en-US" w:eastAsia="zh-CN"/>
              </w:rPr>
              <w:t>破碎粉尘经布袋除尘器处理后</w:t>
            </w:r>
            <w:r>
              <w:rPr>
                <w:rFonts w:hint="eastAsia"/>
                <w:color w:val="auto"/>
                <w:highlight w:val="none"/>
              </w:rPr>
              <w:t>经</w:t>
            </w:r>
            <w:r>
              <w:rPr>
                <w:rFonts w:hint="eastAsia"/>
                <w:color w:val="auto"/>
                <w:highlight w:val="none"/>
                <w:lang w:eastAsia="zh-CN"/>
              </w:rPr>
              <w:t>15m</w:t>
            </w:r>
            <w:r>
              <w:rPr>
                <w:rFonts w:hint="eastAsia"/>
                <w:color w:val="auto"/>
                <w:highlight w:val="none"/>
              </w:rPr>
              <w:t>高排气筒DA00</w:t>
            </w:r>
            <w:r>
              <w:rPr>
                <w:rFonts w:hint="eastAsia"/>
                <w:color w:val="auto"/>
                <w:highlight w:val="none"/>
                <w:lang w:val="en-US" w:eastAsia="zh-CN"/>
              </w:rPr>
              <w:t>1</w:t>
            </w:r>
            <w:r>
              <w:rPr>
                <w:color w:val="auto"/>
                <w:highlight w:val="none"/>
              </w:rPr>
              <w:t>排放</w:t>
            </w:r>
            <w:r>
              <w:rPr>
                <w:rFonts w:hint="eastAsia"/>
                <w:color w:val="auto"/>
                <w:highlight w:val="none"/>
                <w:lang w:eastAsia="zh-CN"/>
              </w:rPr>
              <w:t>，</w:t>
            </w:r>
            <w:r>
              <w:rPr>
                <w:color w:val="auto"/>
                <w:highlight w:val="none"/>
              </w:rPr>
              <w:t>处理后</w:t>
            </w:r>
            <w:r>
              <w:rPr>
                <w:rFonts w:hint="eastAsia"/>
                <w:color w:val="auto"/>
                <w:highlight w:val="none"/>
                <w:lang w:val="en-US" w:eastAsia="zh-CN"/>
              </w:rPr>
              <w:t>废气</w:t>
            </w:r>
            <w:r>
              <w:rPr>
                <w:color w:val="auto"/>
                <w:highlight w:val="none"/>
              </w:rPr>
              <w:t>颗粒物排放满足</w:t>
            </w:r>
            <w:r>
              <w:rPr>
                <w:rFonts w:hint="eastAsia"/>
                <w:color w:val="auto"/>
                <w:highlight w:val="none"/>
              </w:rPr>
              <w:t>《合成树脂工业污染物排放标准》(GB31572-2015) 及其 2024 年修改单中表 5 大气污染物特别排放限值</w:t>
            </w:r>
            <w:r>
              <w:rPr>
                <w:rFonts w:hint="eastAsia"/>
                <w:color w:val="auto"/>
                <w:highlight w:val="none"/>
                <w:lang w:val="en-US" w:eastAsia="zh-CN"/>
              </w:rPr>
              <w:t>要求</w:t>
            </w:r>
            <w:r>
              <w:rPr>
                <w:rFonts w:hint="eastAsia"/>
                <w:color w:val="auto"/>
                <w:highlight w:val="none"/>
                <w:lang w:eastAsia="zh-CN"/>
              </w:rPr>
              <w:t>。</w:t>
            </w:r>
            <w:r>
              <w:rPr>
                <w:rFonts w:hint="eastAsia"/>
                <w:color w:val="auto"/>
                <w:kern w:val="0"/>
                <w:highlight w:val="none"/>
                <w:lang w:val="en-US" w:eastAsia="zh-CN"/>
              </w:rPr>
              <w:t>造粒废气</w:t>
            </w:r>
            <w:r>
              <w:rPr>
                <w:color w:val="auto"/>
                <w:highlight w:val="none"/>
              </w:rPr>
              <w:t>经</w:t>
            </w:r>
            <w:r>
              <w:rPr>
                <w:rFonts w:hint="eastAsia"/>
                <w:color w:val="auto"/>
                <w:kern w:val="2"/>
                <w:highlight w:val="none"/>
                <w:lang w:eastAsia="zh-CN"/>
              </w:rPr>
              <w:t>电捕焦油+气旋混动喷淋+干式过滤+活性炭吸附脱附+催化燃烧+活性炭吸附</w:t>
            </w:r>
            <w:r>
              <w:rPr>
                <w:color w:val="auto"/>
                <w:highlight w:val="none"/>
              </w:rPr>
              <w:t>处理后</w:t>
            </w:r>
            <w:r>
              <w:rPr>
                <w:rFonts w:hint="eastAsia"/>
                <w:color w:val="auto"/>
                <w:highlight w:val="none"/>
              </w:rPr>
              <w:t>经</w:t>
            </w:r>
            <w:r>
              <w:rPr>
                <w:rFonts w:hint="eastAsia"/>
                <w:color w:val="auto"/>
                <w:highlight w:val="none"/>
                <w:lang w:eastAsia="zh-CN"/>
              </w:rPr>
              <w:t>15m</w:t>
            </w:r>
            <w:r>
              <w:rPr>
                <w:rFonts w:hint="eastAsia"/>
                <w:color w:val="auto"/>
                <w:highlight w:val="none"/>
              </w:rPr>
              <w:t>高排气筒DA00</w:t>
            </w:r>
            <w:r>
              <w:rPr>
                <w:rFonts w:hint="eastAsia"/>
                <w:color w:val="auto"/>
                <w:highlight w:val="none"/>
                <w:lang w:val="en-US" w:eastAsia="zh-CN"/>
              </w:rPr>
              <w:t>2</w:t>
            </w:r>
            <w:r>
              <w:rPr>
                <w:color w:val="auto"/>
                <w:highlight w:val="none"/>
              </w:rPr>
              <w:t>排放，</w:t>
            </w:r>
            <w:r>
              <w:rPr>
                <w:rFonts w:hint="eastAsia"/>
                <w:color w:val="auto"/>
                <w:highlight w:val="none"/>
                <w:lang w:val="en-US" w:eastAsia="zh-CN"/>
              </w:rPr>
              <w:t>处理后颗粒物、非甲烷总烃满足</w:t>
            </w:r>
            <w:r>
              <w:rPr>
                <w:rFonts w:hint="eastAsia"/>
                <w:color w:val="auto"/>
                <w:kern w:val="2"/>
                <w:highlight w:val="none"/>
              </w:rPr>
              <w:t>《合成树脂工业污染物排放标准》(GB31572-2015) 及其 2024 年修改单中表 5 大气污染物特别排放限值</w:t>
            </w:r>
            <w:r>
              <w:rPr>
                <w:rFonts w:hint="eastAsia"/>
                <w:color w:val="auto"/>
                <w:kern w:val="2"/>
                <w:highlight w:val="none"/>
                <w:lang w:val="en-US" w:eastAsia="zh-CN"/>
              </w:rPr>
              <w:t>要求</w:t>
            </w:r>
            <w:r>
              <w:rPr>
                <w:rFonts w:hint="eastAsia"/>
                <w:color w:val="auto"/>
                <w:kern w:val="2"/>
                <w:highlight w:val="none"/>
                <w:lang w:eastAsia="zh-CN"/>
              </w:rPr>
              <w:t>，</w:t>
            </w:r>
            <w:r>
              <w:rPr>
                <w:rFonts w:hint="eastAsia"/>
                <w:color w:val="auto"/>
                <w:kern w:val="2"/>
                <w:highlight w:val="none"/>
                <w:lang w:val="en-US" w:eastAsia="zh-CN"/>
              </w:rPr>
              <w:t>臭气浓度满足《恶臭污染物排放标准》（GB14554-93）表2污染物排放标准值要求。</w:t>
            </w:r>
          </w:p>
          <w:p w14:paraId="3DA5CB1A">
            <w:pPr>
              <w:ind w:firstLine="480" w:firstLineChars="200"/>
              <w:rPr>
                <w:rFonts w:hint="default" w:eastAsia="宋体"/>
                <w:color w:val="auto"/>
                <w:highlight w:val="none"/>
                <w:lang w:val="en-US" w:eastAsia="zh-CN"/>
              </w:rPr>
            </w:pPr>
            <w:r>
              <w:rPr>
                <w:rFonts w:hint="eastAsia"/>
                <w:color w:val="auto"/>
                <w:highlight w:val="none"/>
                <w:lang w:val="en-US" w:eastAsia="zh-CN"/>
              </w:rPr>
              <w:t>厂界颗粒物、非甲烷总烃满足《合成树脂工业污染物排放标准》(GB31572-2015) 及其 2024 年修改单中表9企业边界大气污染物浓度限值要求，臭气浓度满足</w:t>
            </w:r>
            <w:r>
              <w:rPr>
                <w:rFonts w:hint="eastAsia"/>
                <w:color w:val="auto"/>
                <w:kern w:val="2"/>
                <w:highlight w:val="none"/>
              </w:rPr>
              <w:t>《恶臭污染物排放标准》(GB14554-93)表1二级标准中“新改扩建”限值要求</w:t>
            </w:r>
            <w:r>
              <w:rPr>
                <w:rFonts w:hint="eastAsia"/>
                <w:color w:val="auto"/>
                <w:kern w:val="2"/>
                <w:highlight w:val="none"/>
                <w:lang w:eastAsia="zh-CN"/>
              </w:rPr>
              <w:t>。</w:t>
            </w:r>
            <w:r>
              <w:rPr>
                <w:rFonts w:hint="eastAsia"/>
                <w:color w:val="auto"/>
                <w:highlight w:val="none"/>
                <w:lang w:val="en-US" w:eastAsia="zh-CN"/>
              </w:rPr>
              <w:t>厂内非甲烷总烃（NMHC）满足广东省《固定污染源挥发性有机物综合排放标准》（DB44/2367-2022）中表3厂区内VOCs无组织排放限值要求。</w:t>
            </w:r>
          </w:p>
          <w:p w14:paraId="619EC01E">
            <w:pPr>
              <w:pStyle w:val="20"/>
              <w:numPr>
                <w:ilvl w:val="3"/>
                <w:numId w:val="0"/>
              </w:numPr>
              <w:ind w:firstLine="480" w:firstLineChars="200"/>
              <w:rPr>
                <w:b w:val="0"/>
                <w:bCs w:val="0"/>
                <w:color w:val="auto"/>
                <w:highlight w:val="none"/>
              </w:rPr>
            </w:pPr>
            <w:r>
              <w:rPr>
                <w:b w:val="0"/>
                <w:bCs w:val="0"/>
                <w:color w:val="auto"/>
                <w:highlight w:val="none"/>
              </w:rPr>
              <w:t>综上所述，本项目运营期产生的废气采取上述处理措施处理后均能达标排放，不会对本项目所在区域的大气环境产生不利影响。</w:t>
            </w:r>
          </w:p>
          <w:p w14:paraId="6373E3FF">
            <w:pPr>
              <w:pStyle w:val="20"/>
              <w:numPr>
                <w:ilvl w:val="3"/>
                <w:numId w:val="0"/>
              </w:numPr>
              <w:ind w:firstLine="480" w:firstLineChars="200"/>
              <w:rPr>
                <w:color w:val="auto"/>
                <w:szCs w:val="24"/>
                <w:highlight w:val="none"/>
              </w:rPr>
            </w:pPr>
            <w:r>
              <w:rPr>
                <w:color w:val="auto"/>
                <w:szCs w:val="24"/>
                <w:highlight w:val="none"/>
              </w:rPr>
              <w:t>非正常排放源核算</w:t>
            </w:r>
          </w:p>
          <w:p w14:paraId="78AC4B85">
            <w:pPr>
              <w:adjustRightInd w:val="0"/>
              <w:ind w:firstLine="480" w:firstLineChars="200"/>
              <w:contextualSpacing/>
              <w:jc w:val="left"/>
              <w:rPr>
                <w:color w:val="auto"/>
                <w:highlight w:val="none"/>
              </w:rPr>
            </w:pPr>
            <w:r>
              <w:rPr>
                <w:color w:val="auto"/>
                <w:highlight w:val="none"/>
              </w:rPr>
              <w:t>非正常排放情况考虑</w:t>
            </w:r>
            <w:r>
              <w:rPr>
                <w:rFonts w:hint="eastAsia"/>
                <w:color w:val="auto"/>
                <w:highlight w:val="none"/>
                <w:lang w:val="en-US" w:eastAsia="zh-CN"/>
              </w:rPr>
              <w:t>废气处理</w:t>
            </w:r>
            <w:r>
              <w:rPr>
                <w:color w:val="auto"/>
                <w:highlight w:val="none"/>
              </w:rPr>
              <w:t>设施发生故障，</w:t>
            </w:r>
            <w:r>
              <w:rPr>
                <w:rFonts w:hint="eastAsia"/>
                <w:color w:val="auto"/>
                <w:highlight w:val="none"/>
                <w:lang w:val="en-US" w:eastAsia="zh-CN"/>
              </w:rPr>
              <w:t>如布袋除尘器破裂、过滤器失效、电捕器故障、催化剂失效等情况</w:t>
            </w:r>
            <w:r>
              <w:rPr>
                <w:color w:val="auto"/>
                <w:highlight w:val="none"/>
              </w:rPr>
              <w:t>，处理效率仅为</w:t>
            </w:r>
            <w:r>
              <w:rPr>
                <w:rFonts w:hint="eastAsia"/>
                <w:color w:val="auto"/>
                <w:highlight w:val="none"/>
                <w:lang w:val="en-US" w:eastAsia="zh-CN"/>
              </w:rPr>
              <w:t>25</w:t>
            </w:r>
            <w:r>
              <w:rPr>
                <w:color w:val="auto"/>
                <w:highlight w:val="none"/>
              </w:rPr>
              <w:t>%。非正常排放时间按1h计算，非正常排放量核算见表4-</w:t>
            </w:r>
            <w:r>
              <w:rPr>
                <w:rFonts w:hint="eastAsia"/>
                <w:color w:val="auto"/>
                <w:highlight w:val="none"/>
              </w:rPr>
              <w:t>8</w:t>
            </w:r>
            <w:r>
              <w:rPr>
                <w:color w:val="auto"/>
                <w:highlight w:val="none"/>
              </w:rPr>
              <w:t>。</w:t>
            </w:r>
          </w:p>
          <w:p w14:paraId="0723F2E7">
            <w:pPr>
              <w:pStyle w:val="119"/>
              <w:rPr>
                <w:color w:val="auto"/>
                <w:highlight w:val="none"/>
              </w:rPr>
            </w:pPr>
            <w:r>
              <w:rPr>
                <w:color w:val="auto"/>
                <w:highlight w:val="none"/>
              </w:rPr>
              <w:t>表4-</w:t>
            </w:r>
            <w:r>
              <w:rPr>
                <w:rFonts w:hint="eastAsia"/>
                <w:color w:val="auto"/>
                <w:highlight w:val="none"/>
              </w:rPr>
              <w:t xml:space="preserve">8 </w:t>
            </w:r>
            <w:r>
              <w:rPr>
                <w:color w:val="auto"/>
                <w:highlight w:val="none"/>
              </w:rPr>
              <w:t>项目废气污染物非正常排放核算表</w:t>
            </w:r>
          </w:p>
          <w:tbl>
            <w:tblPr>
              <w:tblStyle w:val="49"/>
              <w:tblW w:w="92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0"/>
              <w:gridCol w:w="823"/>
              <w:gridCol w:w="894"/>
              <w:gridCol w:w="1292"/>
              <w:gridCol w:w="1219"/>
              <w:gridCol w:w="1035"/>
              <w:gridCol w:w="1009"/>
              <w:gridCol w:w="956"/>
              <w:gridCol w:w="794"/>
              <w:gridCol w:w="781"/>
            </w:tblGrid>
            <w:tr w14:paraId="5B08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9"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634BD7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443"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8D2E84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污染源</w:t>
                  </w:r>
                </w:p>
              </w:tc>
              <w:tc>
                <w:tcPr>
                  <w:tcW w:w="48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5F1EB0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非正常排放原因</w:t>
                  </w:r>
                </w:p>
              </w:tc>
              <w:tc>
                <w:tcPr>
                  <w:tcW w:w="695"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CCE900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w:t>
                  </w:r>
                </w:p>
              </w:tc>
              <w:tc>
                <w:tcPr>
                  <w:tcW w:w="65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445890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非正常排放浓度</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557"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17F678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非正常排放速率</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kg/h</w:t>
                  </w:r>
                  <w:r>
                    <w:rPr>
                      <w:rFonts w:hint="eastAsia" w:ascii="宋体" w:hAnsi="宋体" w:eastAsia="宋体" w:cs="宋体"/>
                      <w:b/>
                      <w:bCs/>
                      <w:i w:val="0"/>
                      <w:iCs w:val="0"/>
                      <w:color w:val="auto"/>
                      <w:kern w:val="0"/>
                      <w:sz w:val="21"/>
                      <w:szCs w:val="21"/>
                      <w:highlight w:val="none"/>
                      <w:u w:val="none"/>
                      <w:lang w:val="en-US" w:eastAsia="zh-CN" w:bidi="ar"/>
                    </w:rPr>
                    <w:t>）</w:t>
                  </w:r>
                </w:p>
              </w:tc>
              <w:tc>
                <w:tcPr>
                  <w:tcW w:w="543"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E6ADAA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单次持续时间</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c>
                <w:tcPr>
                  <w:tcW w:w="514"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42DF7F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排放量</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（t/a）</w:t>
                  </w:r>
                </w:p>
              </w:tc>
              <w:tc>
                <w:tcPr>
                  <w:tcW w:w="427"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FA9F28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年发生频次</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次</w:t>
                  </w:r>
                </w:p>
              </w:tc>
              <w:tc>
                <w:tcPr>
                  <w:tcW w:w="42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F1AEEF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应对措施</w:t>
                  </w:r>
                </w:p>
              </w:tc>
            </w:tr>
            <w:tr w14:paraId="3325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A671C0A">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443"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76A4F5">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48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5F54E68">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69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B6DDD9">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6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E9FC66">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557"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F77398">
                  <w:pPr>
                    <w:spacing w:line="240" w:lineRule="auto"/>
                    <w:jc w:val="center"/>
                    <w:rPr>
                      <w:rFonts w:hint="eastAsia" w:ascii="宋体" w:hAnsi="宋体" w:eastAsia="宋体" w:cs="宋体"/>
                      <w:b/>
                      <w:bCs/>
                      <w:i w:val="0"/>
                      <w:iCs w:val="0"/>
                      <w:color w:val="auto"/>
                      <w:sz w:val="21"/>
                      <w:szCs w:val="21"/>
                      <w:highlight w:val="none"/>
                      <w:u w:val="none"/>
                    </w:rPr>
                  </w:pPr>
                </w:p>
              </w:tc>
              <w:tc>
                <w:tcPr>
                  <w:tcW w:w="543"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EBCF57">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514"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3E3EF6">
                  <w:pPr>
                    <w:spacing w:line="240" w:lineRule="auto"/>
                    <w:jc w:val="center"/>
                    <w:rPr>
                      <w:rFonts w:hint="eastAsia" w:ascii="宋体" w:hAnsi="宋体" w:eastAsia="宋体" w:cs="宋体"/>
                      <w:b/>
                      <w:bCs/>
                      <w:i w:val="0"/>
                      <w:iCs w:val="0"/>
                      <w:color w:val="auto"/>
                      <w:sz w:val="21"/>
                      <w:szCs w:val="21"/>
                      <w:highlight w:val="none"/>
                      <w:u w:val="none"/>
                    </w:rPr>
                  </w:pPr>
                </w:p>
              </w:tc>
              <w:tc>
                <w:tcPr>
                  <w:tcW w:w="427"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ED10A7">
                  <w:pPr>
                    <w:spacing w:line="240" w:lineRule="auto"/>
                    <w:jc w:val="center"/>
                    <w:rPr>
                      <w:rFonts w:hint="default" w:ascii="Times New Roman" w:hAnsi="Times New Roman" w:eastAsia="宋体" w:cs="Times New Roman"/>
                      <w:b/>
                      <w:bCs/>
                      <w:i w:val="0"/>
                      <w:iCs w:val="0"/>
                      <w:color w:val="auto"/>
                      <w:sz w:val="21"/>
                      <w:szCs w:val="21"/>
                      <w:highlight w:val="none"/>
                      <w:u w:val="none"/>
                    </w:rPr>
                  </w:pPr>
                </w:p>
              </w:tc>
              <w:tc>
                <w:tcPr>
                  <w:tcW w:w="4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5E3EAF1">
                  <w:pPr>
                    <w:spacing w:line="240" w:lineRule="auto"/>
                    <w:jc w:val="center"/>
                    <w:rPr>
                      <w:rFonts w:hint="default" w:ascii="Times New Roman" w:hAnsi="Times New Roman" w:eastAsia="宋体" w:cs="Times New Roman"/>
                      <w:b/>
                      <w:bCs/>
                      <w:i w:val="0"/>
                      <w:iCs w:val="0"/>
                      <w:color w:val="auto"/>
                      <w:sz w:val="21"/>
                      <w:szCs w:val="21"/>
                      <w:highlight w:val="none"/>
                      <w:u w:val="none"/>
                    </w:rPr>
                  </w:pPr>
                </w:p>
              </w:tc>
            </w:tr>
            <w:tr w14:paraId="43A0A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9" w:type="pct"/>
                  <w:tcBorders>
                    <w:top w:val="nil"/>
                    <w:left w:val="single" w:color="000000" w:sz="8" w:space="0"/>
                    <w:bottom w:val="single" w:color="000000" w:sz="8" w:space="0"/>
                    <w:right w:val="single" w:color="000000" w:sz="8" w:space="0"/>
                  </w:tcBorders>
                  <w:shd w:val="clear" w:color="auto" w:fill="auto"/>
                  <w:vAlign w:val="center"/>
                </w:tcPr>
                <w:p w14:paraId="58A8C87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w:t>
                  </w:r>
                </w:p>
              </w:tc>
              <w:tc>
                <w:tcPr>
                  <w:tcW w:w="443" w:type="pct"/>
                  <w:tcBorders>
                    <w:top w:val="nil"/>
                    <w:left w:val="single" w:color="000000" w:sz="8" w:space="0"/>
                    <w:bottom w:val="single" w:color="000000" w:sz="8" w:space="0"/>
                    <w:right w:val="single" w:color="000000" w:sz="8" w:space="0"/>
                  </w:tcBorders>
                  <w:shd w:val="clear" w:color="auto" w:fill="auto"/>
                  <w:vAlign w:val="center"/>
                </w:tcPr>
                <w:p w14:paraId="56BED520">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破碎粉尘</w:t>
                  </w:r>
                </w:p>
              </w:tc>
              <w:tc>
                <w:tcPr>
                  <w:tcW w:w="481" w:type="pct"/>
                  <w:tcBorders>
                    <w:top w:val="nil"/>
                    <w:left w:val="single" w:color="000000" w:sz="8" w:space="0"/>
                    <w:bottom w:val="single" w:color="000000" w:sz="8" w:space="0"/>
                    <w:right w:val="single" w:color="000000" w:sz="8" w:space="0"/>
                  </w:tcBorders>
                  <w:shd w:val="clear" w:color="auto" w:fill="auto"/>
                  <w:vAlign w:val="center"/>
                </w:tcPr>
                <w:p w14:paraId="02AD0A6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废气设施故障</w:t>
                  </w:r>
                </w:p>
              </w:tc>
              <w:tc>
                <w:tcPr>
                  <w:tcW w:w="695" w:type="pct"/>
                  <w:tcBorders>
                    <w:top w:val="nil"/>
                    <w:left w:val="single" w:color="000000" w:sz="8" w:space="0"/>
                    <w:bottom w:val="single" w:color="000000" w:sz="8" w:space="0"/>
                    <w:right w:val="single" w:color="000000" w:sz="8" w:space="0"/>
                  </w:tcBorders>
                  <w:shd w:val="clear" w:color="auto" w:fill="auto"/>
                  <w:vAlign w:val="center"/>
                </w:tcPr>
                <w:p w14:paraId="4961B10A">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颗粒物</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5584E2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202.6 </w:t>
                  </w:r>
                </w:p>
              </w:tc>
              <w:tc>
                <w:tcPr>
                  <w:tcW w:w="1035" w:type="dxa"/>
                  <w:tcBorders>
                    <w:top w:val="nil"/>
                    <w:left w:val="single" w:color="000000" w:sz="8" w:space="0"/>
                    <w:bottom w:val="single" w:color="000000" w:sz="8" w:space="0"/>
                    <w:right w:val="single" w:color="000000" w:sz="8" w:space="0"/>
                  </w:tcBorders>
                  <w:shd w:val="clear" w:color="auto" w:fill="auto"/>
                  <w:vAlign w:val="center"/>
                </w:tcPr>
                <w:p w14:paraId="6D8015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1.620 </w:t>
                  </w:r>
                </w:p>
              </w:tc>
              <w:tc>
                <w:tcPr>
                  <w:tcW w:w="1009" w:type="dxa"/>
                  <w:tcBorders>
                    <w:top w:val="nil"/>
                    <w:left w:val="single" w:color="000000" w:sz="8" w:space="0"/>
                    <w:bottom w:val="single" w:color="000000" w:sz="8" w:space="0"/>
                    <w:right w:val="single" w:color="000000" w:sz="8" w:space="0"/>
                  </w:tcBorders>
                  <w:shd w:val="clear" w:color="auto" w:fill="auto"/>
                  <w:vAlign w:val="center"/>
                </w:tcPr>
                <w:p w14:paraId="340E47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 </w:t>
                  </w:r>
                </w:p>
              </w:tc>
              <w:tc>
                <w:tcPr>
                  <w:tcW w:w="956" w:type="dxa"/>
                  <w:tcBorders>
                    <w:top w:val="nil"/>
                    <w:left w:val="single" w:color="000000" w:sz="8" w:space="0"/>
                    <w:bottom w:val="single" w:color="000000" w:sz="8" w:space="0"/>
                    <w:right w:val="single" w:color="000000" w:sz="8" w:space="0"/>
                  </w:tcBorders>
                  <w:shd w:val="clear" w:color="auto" w:fill="auto"/>
                  <w:vAlign w:val="center"/>
                </w:tcPr>
                <w:p w14:paraId="717897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0.002 </w:t>
                  </w:r>
                </w:p>
              </w:tc>
              <w:tc>
                <w:tcPr>
                  <w:tcW w:w="794" w:type="dxa"/>
                  <w:tcBorders>
                    <w:top w:val="nil"/>
                    <w:left w:val="single" w:color="000000" w:sz="8" w:space="0"/>
                    <w:bottom w:val="single" w:color="000000" w:sz="8" w:space="0"/>
                    <w:right w:val="single" w:color="000000" w:sz="8" w:space="0"/>
                  </w:tcBorders>
                  <w:shd w:val="clear" w:color="auto" w:fill="auto"/>
                  <w:vAlign w:val="center"/>
                </w:tcPr>
                <w:p w14:paraId="396026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20" w:type="pct"/>
                  <w:vMerge w:val="restart"/>
                  <w:tcBorders>
                    <w:top w:val="nil"/>
                    <w:left w:val="single" w:color="000000" w:sz="8" w:space="0"/>
                    <w:right w:val="single" w:color="000000" w:sz="8" w:space="0"/>
                  </w:tcBorders>
                  <w:shd w:val="clear" w:color="auto" w:fill="auto"/>
                  <w:vAlign w:val="center"/>
                </w:tcPr>
                <w:p w14:paraId="2C4BED0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立即停止作业</w:t>
                  </w:r>
                </w:p>
              </w:tc>
            </w:tr>
            <w:tr w14:paraId="3018E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9" w:type="pct"/>
                  <w:vMerge w:val="restart"/>
                  <w:tcBorders>
                    <w:top w:val="nil"/>
                    <w:left w:val="single" w:color="000000" w:sz="8" w:space="0"/>
                    <w:bottom w:val="single" w:color="000000" w:sz="8" w:space="0"/>
                    <w:right w:val="single" w:color="000000" w:sz="8" w:space="0"/>
                  </w:tcBorders>
                  <w:shd w:val="clear" w:color="auto" w:fill="auto"/>
                  <w:vAlign w:val="center"/>
                </w:tcPr>
                <w:p w14:paraId="7208087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2</w:t>
                  </w:r>
                </w:p>
              </w:tc>
              <w:tc>
                <w:tcPr>
                  <w:tcW w:w="443" w:type="pct"/>
                  <w:vMerge w:val="restart"/>
                  <w:tcBorders>
                    <w:top w:val="nil"/>
                    <w:left w:val="single" w:color="000000" w:sz="8" w:space="0"/>
                    <w:bottom w:val="single" w:color="000000" w:sz="8" w:space="0"/>
                    <w:right w:val="single" w:color="000000" w:sz="8" w:space="0"/>
                  </w:tcBorders>
                  <w:shd w:val="clear" w:color="auto" w:fill="auto"/>
                  <w:vAlign w:val="center"/>
                </w:tcPr>
                <w:p w14:paraId="3F69EA8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造粒废气</w:t>
                  </w:r>
                </w:p>
              </w:tc>
              <w:tc>
                <w:tcPr>
                  <w:tcW w:w="481" w:type="pct"/>
                  <w:vMerge w:val="restart"/>
                  <w:tcBorders>
                    <w:top w:val="nil"/>
                    <w:left w:val="single" w:color="000000" w:sz="8" w:space="0"/>
                    <w:bottom w:val="single" w:color="000000" w:sz="8" w:space="0"/>
                    <w:right w:val="single" w:color="000000" w:sz="8" w:space="0"/>
                  </w:tcBorders>
                  <w:shd w:val="clear" w:color="auto" w:fill="auto"/>
                  <w:vAlign w:val="center"/>
                </w:tcPr>
                <w:p w14:paraId="01CDC8B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废气设施故障</w:t>
                  </w:r>
                </w:p>
              </w:tc>
              <w:tc>
                <w:tcPr>
                  <w:tcW w:w="695" w:type="pct"/>
                  <w:tcBorders>
                    <w:top w:val="nil"/>
                    <w:left w:val="single" w:color="000000" w:sz="8" w:space="0"/>
                    <w:bottom w:val="single" w:color="000000" w:sz="8" w:space="0"/>
                    <w:right w:val="single" w:color="000000" w:sz="8" w:space="0"/>
                  </w:tcBorders>
                  <w:shd w:val="clear" w:color="auto" w:fill="auto"/>
                  <w:vAlign w:val="center"/>
                </w:tcPr>
                <w:p w14:paraId="330D47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552D80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2.9 </w:t>
                  </w:r>
                </w:p>
              </w:tc>
              <w:tc>
                <w:tcPr>
                  <w:tcW w:w="1035" w:type="dxa"/>
                  <w:tcBorders>
                    <w:top w:val="nil"/>
                    <w:left w:val="single" w:color="000000" w:sz="8" w:space="0"/>
                    <w:bottom w:val="single" w:color="000000" w:sz="8" w:space="0"/>
                    <w:right w:val="single" w:color="000000" w:sz="8" w:space="0"/>
                  </w:tcBorders>
                  <w:shd w:val="clear" w:color="auto" w:fill="auto"/>
                  <w:vAlign w:val="center"/>
                </w:tcPr>
                <w:p w14:paraId="15ED89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0.173 </w:t>
                  </w:r>
                </w:p>
              </w:tc>
              <w:tc>
                <w:tcPr>
                  <w:tcW w:w="1009" w:type="dxa"/>
                  <w:tcBorders>
                    <w:top w:val="nil"/>
                    <w:left w:val="single" w:color="000000" w:sz="8" w:space="0"/>
                    <w:bottom w:val="single" w:color="000000" w:sz="8" w:space="0"/>
                    <w:right w:val="single" w:color="000000" w:sz="8" w:space="0"/>
                  </w:tcBorders>
                  <w:shd w:val="clear" w:color="auto" w:fill="auto"/>
                  <w:vAlign w:val="center"/>
                </w:tcPr>
                <w:p w14:paraId="46114B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 </w:t>
                  </w:r>
                </w:p>
              </w:tc>
              <w:tc>
                <w:tcPr>
                  <w:tcW w:w="956" w:type="dxa"/>
                  <w:tcBorders>
                    <w:top w:val="nil"/>
                    <w:left w:val="single" w:color="000000" w:sz="8" w:space="0"/>
                    <w:bottom w:val="single" w:color="000000" w:sz="8" w:space="0"/>
                    <w:right w:val="single" w:color="000000" w:sz="8" w:space="0"/>
                  </w:tcBorders>
                  <w:shd w:val="clear" w:color="auto" w:fill="auto"/>
                  <w:vAlign w:val="center"/>
                </w:tcPr>
                <w:p w14:paraId="2B4D20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0.0002 </w:t>
                  </w:r>
                </w:p>
              </w:tc>
              <w:tc>
                <w:tcPr>
                  <w:tcW w:w="794" w:type="dxa"/>
                  <w:tcBorders>
                    <w:top w:val="nil"/>
                    <w:left w:val="single" w:color="000000" w:sz="8" w:space="0"/>
                    <w:bottom w:val="single" w:color="000000" w:sz="8" w:space="0"/>
                    <w:right w:val="single" w:color="000000" w:sz="8" w:space="0"/>
                  </w:tcBorders>
                  <w:shd w:val="clear" w:color="auto" w:fill="auto"/>
                  <w:vAlign w:val="center"/>
                </w:tcPr>
                <w:p w14:paraId="1B072C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20" w:type="pct"/>
                  <w:vMerge w:val="continue"/>
                  <w:tcBorders>
                    <w:left w:val="single" w:color="000000" w:sz="8" w:space="0"/>
                    <w:right w:val="single" w:color="000000" w:sz="8" w:space="0"/>
                  </w:tcBorders>
                  <w:shd w:val="clear" w:color="auto" w:fill="auto"/>
                  <w:vAlign w:val="center"/>
                </w:tcPr>
                <w:p w14:paraId="41A603A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p>
              </w:tc>
            </w:tr>
            <w:tr w14:paraId="31AC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9" w:type="pct"/>
                  <w:vMerge w:val="continue"/>
                  <w:tcBorders>
                    <w:top w:val="nil"/>
                    <w:left w:val="single" w:color="000000" w:sz="8" w:space="0"/>
                    <w:bottom w:val="single" w:color="000000" w:sz="8" w:space="0"/>
                    <w:right w:val="single" w:color="000000" w:sz="8" w:space="0"/>
                  </w:tcBorders>
                  <w:shd w:val="clear" w:color="auto" w:fill="auto"/>
                  <w:vAlign w:val="center"/>
                </w:tcPr>
                <w:p w14:paraId="060D70C9">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43" w:type="pct"/>
                  <w:vMerge w:val="continue"/>
                  <w:tcBorders>
                    <w:top w:val="nil"/>
                    <w:left w:val="single" w:color="000000" w:sz="8" w:space="0"/>
                    <w:bottom w:val="single" w:color="000000" w:sz="8" w:space="0"/>
                    <w:right w:val="single" w:color="000000" w:sz="8" w:space="0"/>
                  </w:tcBorders>
                  <w:shd w:val="clear" w:color="auto" w:fill="auto"/>
                  <w:vAlign w:val="center"/>
                </w:tcPr>
                <w:p w14:paraId="3492AF6B">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81" w:type="pct"/>
                  <w:vMerge w:val="continue"/>
                  <w:tcBorders>
                    <w:top w:val="nil"/>
                    <w:left w:val="single" w:color="000000" w:sz="8" w:space="0"/>
                    <w:bottom w:val="single" w:color="000000" w:sz="8" w:space="0"/>
                    <w:right w:val="single" w:color="000000" w:sz="8" w:space="0"/>
                  </w:tcBorders>
                  <w:shd w:val="clear" w:color="auto" w:fill="auto"/>
                  <w:vAlign w:val="center"/>
                </w:tcPr>
                <w:p w14:paraId="260A569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95" w:type="pct"/>
                  <w:tcBorders>
                    <w:top w:val="nil"/>
                    <w:left w:val="single" w:color="000000" w:sz="8" w:space="0"/>
                    <w:bottom w:val="single" w:color="000000" w:sz="8" w:space="0"/>
                    <w:right w:val="single" w:color="000000" w:sz="8" w:space="0"/>
                  </w:tcBorders>
                  <w:shd w:val="clear" w:color="auto" w:fill="auto"/>
                  <w:vAlign w:val="center"/>
                </w:tcPr>
                <w:p w14:paraId="12E8F5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05DEB4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23.8 </w:t>
                  </w:r>
                </w:p>
              </w:tc>
              <w:tc>
                <w:tcPr>
                  <w:tcW w:w="1035" w:type="dxa"/>
                  <w:tcBorders>
                    <w:top w:val="nil"/>
                    <w:left w:val="single" w:color="000000" w:sz="8" w:space="0"/>
                    <w:bottom w:val="single" w:color="000000" w:sz="8" w:space="0"/>
                    <w:right w:val="single" w:color="000000" w:sz="8" w:space="0"/>
                  </w:tcBorders>
                  <w:shd w:val="clear" w:color="auto" w:fill="auto"/>
                  <w:vAlign w:val="center"/>
                </w:tcPr>
                <w:p w14:paraId="09C761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1.428 </w:t>
                  </w:r>
                </w:p>
              </w:tc>
              <w:tc>
                <w:tcPr>
                  <w:tcW w:w="1009" w:type="dxa"/>
                  <w:tcBorders>
                    <w:top w:val="nil"/>
                    <w:left w:val="single" w:color="000000" w:sz="8" w:space="0"/>
                    <w:bottom w:val="single" w:color="000000" w:sz="8" w:space="0"/>
                    <w:right w:val="single" w:color="000000" w:sz="8" w:space="0"/>
                  </w:tcBorders>
                  <w:shd w:val="clear" w:color="auto" w:fill="auto"/>
                  <w:vAlign w:val="center"/>
                </w:tcPr>
                <w:p w14:paraId="316316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 </w:t>
                  </w:r>
                </w:p>
              </w:tc>
              <w:tc>
                <w:tcPr>
                  <w:tcW w:w="956" w:type="dxa"/>
                  <w:tcBorders>
                    <w:top w:val="nil"/>
                    <w:left w:val="single" w:color="000000" w:sz="8" w:space="0"/>
                    <w:bottom w:val="single" w:color="000000" w:sz="8" w:space="0"/>
                    <w:right w:val="single" w:color="000000" w:sz="8" w:space="0"/>
                  </w:tcBorders>
                  <w:shd w:val="clear" w:color="auto" w:fill="auto"/>
                  <w:vAlign w:val="center"/>
                </w:tcPr>
                <w:p w14:paraId="4D7200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0.001 </w:t>
                  </w:r>
                </w:p>
              </w:tc>
              <w:tc>
                <w:tcPr>
                  <w:tcW w:w="794" w:type="dxa"/>
                  <w:tcBorders>
                    <w:top w:val="nil"/>
                    <w:left w:val="single" w:color="000000" w:sz="8" w:space="0"/>
                    <w:bottom w:val="single" w:color="000000" w:sz="8" w:space="0"/>
                    <w:right w:val="single" w:color="000000" w:sz="8" w:space="0"/>
                  </w:tcBorders>
                  <w:shd w:val="clear" w:color="auto" w:fill="auto"/>
                  <w:vAlign w:val="center"/>
                </w:tcPr>
                <w:p w14:paraId="467724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20" w:type="pct"/>
                  <w:vMerge w:val="continue"/>
                  <w:tcBorders>
                    <w:left w:val="single" w:color="000000" w:sz="8" w:space="0"/>
                    <w:right w:val="single" w:color="000000" w:sz="8" w:space="0"/>
                  </w:tcBorders>
                  <w:shd w:val="clear" w:color="auto" w:fill="auto"/>
                  <w:vAlign w:val="center"/>
                </w:tcPr>
                <w:p w14:paraId="71C50829">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626E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9" w:type="pct"/>
                  <w:vMerge w:val="continue"/>
                  <w:tcBorders>
                    <w:top w:val="nil"/>
                    <w:left w:val="single" w:color="000000" w:sz="8" w:space="0"/>
                    <w:bottom w:val="single" w:color="000000" w:sz="8" w:space="0"/>
                    <w:right w:val="single" w:color="000000" w:sz="8" w:space="0"/>
                  </w:tcBorders>
                  <w:shd w:val="clear" w:color="auto" w:fill="auto"/>
                  <w:vAlign w:val="center"/>
                </w:tcPr>
                <w:p w14:paraId="1926115E">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43" w:type="pct"/>
                  <w:vMerge w:val="continue"/>
                  <w:tcBorders>
                    <w:top w:val="nil"/>
                    <w:left w:val="single" w:color="000000" w:sz="8" w:space="0"/>
                    <w:bottom w:val="single" w:color="000000" w:sz="8" w:space="0"/>
                    <w:right w:val="single" w:color="000000" w:sz="8" w:space="0"/>
                  </w:tcBorders>
                  <w:shd w:val="clear" w:color="auto" w:fill="auto"/>
                  <w:vAlign w:val="center"/>
                </w:tcPr>
                <w:p w14:paraId="1BBF60F1">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481" w:type="pct"/>
                  <w:vMerge w:val="continue"/>
                  <w:tcBorders>
                    <w:top w:val="nil"/>
                    <w:left w:val="single" w:color="000000" w:sz="8" w:space="0"/>
                    <w:bottom w:val="single" w:color="000000" w:sz="8" w:space="0"/>
                    <w:right w:val="single" w:color="000000" w:sz="8" w:space="0"/>
                  </w:tcBorders>
                  <w:shd w:val="clear" w:color="auto" w:fill="auto"/>
                  <w:vAlign w:val="center"/>
                </w:tcPr>
                <w:p w14:paraId="70DBB909">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95" w:type="pct"/>
                  <w:tcBorders>
                    <w:top w:val="nil"/>
                    <w:left w:val="single" w:color="000000" w:sz="8" w:space="0"/>
                    <w:bottom w:val="single" w:color="000000" w:sz="8" w:space="0"/>
                    <w:right w:val="single" w:color="000000" w:sz="8" w:space="0"/>
                  </w:tcBorders>
                  <w:shd w:val="clear" w:color="auto" w:fill="auto"/>
                  <w:vAlign w:val="center"/>
                </w:tcPr>
                <w:p w14:paraId="3D64E7B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68A6A4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035" w:type="dxa"/>
                  <w:tcBorders>
                    <w:top w:val="nil"/>
                    <w:left w:val="single" w:color="000000" w:sz="8" w:space="0"/>
                    <w:bottom w:val="single" w:color="000000" w:sz="8" w:space="0"/>
                    <w:right w:val="single" w:color="000000" w:sz="8" w:space="0"/>
                  </w:tcBorders>
                  <w:shd w:val="clear" w:color="auto" w:fill="auto"/>
                  <w:vAlign w:val="center"/>
                </w:tcPr>
                <w:p w14:paraId="3E6BA3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009" w:type="dxa"/>
                  <w:tcBorders>
                    <w:top w:val="nil"/>
                    <w:left w:val="single" w:color="000000" w:sz="8" w:space="0"/>
                    <w:bottom w:val="single" w:color="000000" w:sz="8" w:space="0"/>
                    <w:right w:val="single" w:color="000000" w:sz="8" w:space="0"/>
                  </w:tcBorders>
                  <w:shd w:val="clear" w:color="auto" w:fill="auto"/>
                  <w:vAlign w:val="center"/>
                </w:tcPr>
                <w:p w14:paraId="3FE8FB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 </w:t>
                  </w:r>
                </w:p>
              </w:tc>
              <w:tc>
                <w:tcPr>
                  <w:tcW w:w="956" w:type="dxa"/>
                  <w:tcBorders>
                    <w:top w:val="nil"/>
                    <w:left w:val="single" w:color="000000" w:sz="8" w:space="0"/>
                    <w:bottom w:val="single" w:color="000000" w:sz="8" w:space="0"/>
                    <w:right w:val="single" w:color="000000" w:sz="8" w:space="0"/>
                  </w:tcBorders>
                  <w:shd w:val="clear" w:color="auto" w:fill="auto"/>
                  <w:vAlign w:val="center"/>
                </w:tcPr>
                <w:p w14:paraId="594E9A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794" w:type="dxa"/>
                  <w:tcBorders>
                    <w:top w:val="nil"/>
                    <w:left w:val="single" w:color="000000" w:sz="8" w:space="0"/>
                    <w:bottom w:val="single" w:color="000000" w:sz="8" w:space="0"/>
                    <w:right w:val="single" w:color="000000" w:sz="8" w:space="0"/>
                  </w:tcBorders>
                  <w:shd w:val="clear" w:color="auto" w:fill="auto"/>
                  <w:vAlign w:val="center"/>
                </w:tcPr>
                <w:p w14:paraId="68440D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20" w:type="pct"/>
                  <w:vMerge w:val="continue"/>
                  <w:tcBorders>
                    <w:left w:val="single" w:color="000000" w:sz="8" w:space="0"/>
                    <w:bottom w:val="single" w:color="000000" w:sz="8" w:space="0"/>
                    <w:right w:val="single" w:color="000000" w:sz="8" w:space="0"/>
                  </w:tcBorders>
                  <w:shd w:val="clear" w:color="auto" w:fill="auto"/>
                  <w:vAlign w:val="center"/>
                </w:tcPr>
                <w:p w14:paraId="704558C2">
                  <w:pPr>
                    <w:spacing w:line="240" w:lineRule="auto"/>
                    <w:jc w:val="center"/>
                    <w:rPr>
                      <w:rFonts w:hint="default" w:ascii="Times New Roman" w:hAnsi="Times New Roman" w:eastAsia="宋体" w:cs="Times New Roman"/>
                      <w:i w:val="0"/>
                      <w:iCs w:val="0"/>
                      <w:color w:val="auto"/>
                      <w:sz w:val="21"/>
                      <w:szCs w:val="21"/>
                      <w:highlight w:val="none"/>
                      <w:u w:val="none"/>
                    </w:rPr>
                  </w:pPr>
                </w:p>
              </w:tc>
            </w:tr>
          </w:tbl>
          <w:p w14:paraId="0D31A95E">
            <w:pPr>
              <w:pStyle w:val="119"/>
              <w:rPr>
                <w:color w:val="auto"/>
                <w:highlight w:val="none"/>
              </w:rPr>
            </w:pPr>
          </w:p>
          <w:p w14:paraId="0851FD8A">
            <w:pPr>
              <w:pStyle w:val="119"/>
              <w:rPr>
                <w:color w:val="auto"/>
                <w:highlight w:val="none"/>
              </w:rPr>
            </w:pPr>
          </w:p>
          <w:p w14:paraId="349C4CB6">
            <w:pPr>
              <w:widowControl/>
              <w:adjustRightInd w:val="0"/>
              <w:snapToGrid w:val="0"/>
              <w:ind w:left="480" w:leftChars="200"/>
              <w:jc w:val="left"/>
              <w:rPr>
                <w:color w:val="auto"/>
                <w:highlight w:val="none"/>
              </w:rPr>
            </w:pPr>
            <w:r>
              <w:rPr>
                <w:color w:val="auto"/>
                <w:highlight w:val="none"/>
              </w:rPr>
              <w:t>本项目大气污染物的治理、排放情况见表4-</w:t>
            </w:r>
            <w:r>
              <w:rPr>
                <w:rFonts w:hint="eastAsia"/>
                <w:color w:val="auto"/>
                <w:highlight w:val="none"/>
              </w:rPr>
              <w:t>9至</w:t>
            </w:r>
            <w:r>
              <w:rPr>
                <w:color w:val="auto"/>
                <w:highlight w:val="none"/>
              </w:rPr>
              <w:t>表4-1</w:t>
            </w:r>
            <w:r>
              <w:rPr>
                <w:rFonts w:hint="eastAsia"/>
                <w:color w:val="auto"/>
                <w:highlight w:val="none"/>
              </w:rPr>
              <w:t>1</w:t>
            </w:r>
            <w:r>
              <w:rPr>
                <w:color w:val="auto"/>
                <w:highlight w:val="none"/>
              </w:rPr>
              <w:t>。</w:t>
            </w:r>
          </w:p>
        </w:tc>
      </w:tr>
    </w:tbl>
    <w:p w14:paraId="7395E2A9">
      <w:pPr>
        <w:keepNext/>
        <w:keepLines/>
        <w:tabs>
          <w:tab w:val="left" w:pos="0"/>
        </w:tabs>
        <w:rPr>
          <w:color w:val="auto"/>
          <w:highlight w:val="none"/>
        </w:rPr>
      </w:pPr>
    </w:p>
    <w:p w14:paraId="293B7D5A">
      <w:pPr>
        <w:pStyle w:val="18"/>
        <w:numPr>
          <w:ilvl w:val="0"/>
          <w:numId w:val="0"/>
        </w:numPr>
        <w:rPr>
          <w:rFonts w:cs="Times New Roman"/>
          <w:color w:val="auto"/>
          <w:highlight w:val="none"/>
        </w:rPr>
        <w:sectPr>
          <w:pgSz w:w="11906" w:h="16838"/>
          <w:pgMar w:top="1440" w:right="1080" w:bottom="1440" w:left="1080" w:header="851" w:footer="680" w:gutter="0"/>
          <w:pgNumType w:fmt="numberInDash"/>
          <w:cols w:space="720" w:num="1"/>
          <w:docGrid w:type="linesAndChars" w:linePitch="312" w:charSpace="0"/>
        </w:sectPr>
      </w:pPr>
    </w:p>
    <w:tbl>
      <w:tblPr>
        <w:tblStyle w:val="50"/>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552"/>
      </w:tblGrid>
      <w:tr w14:paraId="0848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8" w:hRule="atLeast"/>
        </w:trPr>
        <w:tc>
          <w:tcPr>
            <w:tcW w:w="448" w:type="dxa"/>
            <w:vAlign w:val="center"/>
          </w:tcPr>
          <w:p w14:paraId="3F1D2600">
            <w:pPr>
              <w:jc w:val="center"/>
              <w:rPr>
                <w:color w:val="auto"/>
                <w:highlight w:val="none"/>
              </w:rPr>
            </w:pPr>
            <w:r>
              <w:rPr>
                <w:rFonts w:hint="eastAsia"/>
                <w:b/>
                <w:bCs/>
                <w:color w:val="auto"/>
                <w:highlight w:val="none"/>
              </w:rPr>
              <w:t>运营期环境影响和保护措施</w:t>
            </w:r>
          </w:p>
        </w:tc>
        <w:tc>
          <w:tcPr>
            <w:tcW w:w="13552" w:type="dxa"/>
          </w:tcPr>
          <w:p w14:paraId="709B0A87">
            <w:pPr>
              <w:pStyle w:val="2"/>
              <w:tabs>
                <w:tab w:val="left" w:pos="0"/>
              </w:tabs>
              <w:ind w:firstLine="40"/>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表4-</w:t>
            </w:r>
            <w:r>
              <w:rPr>
                <w:rFonts w:hint="eastAsia" w:ascii="Times New Roman" w:cs="Times New Roman"/>
                <w:b/>
                <w:bCs/>
                <w:color w:val="auto"/>
                <w:sz w:val="21"/>
                <w:szCs w:val="21"/>
                <w:highlight w:val="none"/>
              </w:rPr>
              <w:t>9 项目废气产排污节点、污染物及污染治理设施情况一览表</w:t>
            </w:r>
          </w:p>
          <w:tbl>
            <w:tblPr>
              <w:tblStyle w:val="5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08"/>
              <w:gridCol w:w="1252"/>
              <w:gridCol w:w="629"/>
              <w:gridCol w:w="799"/>
              <w:gridCol w:w="514"/>
              <w:gridCol w:w="1017"/>
              <w:gridCol w:w="1217"/>
              <w:gridCol w:w="1168"/>
              <w:gridCol w:w="799"/>
              <w:gridCol w:w="874"/>
              <w:gridCol w:w="903"/>
              <w:gridCol w:w="943"/>
              <w:gridCol w:w="666"/>
              <w:gridCol w:w="746"/>
              <w:gridCol w:w="1378"/>
            </w:tblGrid>
            <w:tr w14:paraId="6068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53" w:type="pct"/>
                  <w:vMerge w:val="restart"/>
                  <w:vAlign w:val="center"/>
                </w:tcPr>
                <w:p w14:paraId="4C83C7A2">
                  <w:pPr>
                    <w:spacing w:line="240" w:lineRule="auto"/>
                    <w:jc w:val="center"/>
                    <w:rPr>
                      <w:b/>
                      <w:bCs/>
                      <w:color w:val="auto"/>
                      <w:sz w:val="21"/>
                      <w:szCs w:val="21"/>
                      <w:highlight w:val="none"/>
                    </w:rPr>
                  </w:pPr>
                  <w:r>
                    <w:rPr>
                      <w:b/>
                      <w:bCs/>
                      <w:color w:val="auto"/>
                      <w:sz w:val="21"/>
                      <w:szCs w:val="21"/>
                      <w:highlight w:val="none"/>
                    </w:rPr>
                    <w:t>序号</w:t>
                  </w:r>
                </w:p>
              </w:tc>
              <w:tc>
                <w:tcPr>
                  <w:tcW w:w="470" w:type="pct"/>
                  <w:vMerge w:val="restart"/>
                  <w:vAlign w:val="center"/>
                </w:tcPr>
                <w:p w14:paraId="59ECAF2A">
                  <w:pPr>
                    <w:spacing w:line="240" w:lineRule="auto"/>
                    <w:jc w:val="center"/>
                    <w:rPr>
                      <w:b/>
                      <w:bCs/>
                      <w:color w:val="auto"/>
                      <w:sz w:val="21"/>
                      <w:szCs w:val="21"/>
                      <w:highlight w:val="none"/>
                    </w:rPr>
                  </w:pPr>
                  <w:r>
                    <w:rPr>
                      <w:b/>
                      <w:bCs/>
                      <w:color w:val="auto"/>
                      <w:sz w:val="21"/>
                      <w:szCs w:val="21"/>
                      <w:highlight w:val="none"/>
                    </w:rPr>
                    <w:t>位置</w:t>
                  </w:r>
                </w:p>
              </w:tc>
              <w:tc>
                <w:tcPr>
                  <w:tcW w:w="236" w:type="pct"/>
                  <w:vMerge w:val="restart"/>
                  <w:vAlign w:val="center"/>
                </w:tcPr>
                <w:p w14:paraId="626D677C">
                  <w:pPr>
                    <w:spacing w:line="240" w:lineRule="auto"/>
                    <w:jc w:val="center"/>
                    <w:rPr>
                      <w:b/>
                      <w:bCs/>
                      <w:color w:val="auto"/>
                      <w:sz w:val="21"/>
                      <w:szCs w:val="21"/>
                      <w:highlight w:val="none"/>
                    </w:rPr>
                  </w:pPr>
                  <w:r>
                    <w:rPr>
                      <w:b/>
                      <w:bCs/>
                      <w:color w:val="auto"/>
                      <w:sz w:val="21"/>
                      <w:szCs w:val="21"/>
                      <w:highlight w:val="none"/>
                    </w:rPr>
                    <w:t>产污环节</w:t>
                  </w:r>
                </w:p>
              </w:tc>
              <w:tc>
                <w:tcPr>
                  <w:tcW w:w="300" w:type="pct"/>
                  <w:vMerge w:val="restart"/>
                  <w:vAlign w:val="center"/>
                </w:tcPr>
                <w:p w14:paraId="078B18D2">
                  <w:pPr>
                    <w:spacing w:line="240" w:lineRule="auto"/>
                    <w:jc w:val="center"/>
                    <w:rPr>
                      <w:b/>
                      <w:bCs/>
                      <w:color w:val="auto"/>
                      <w:sz w:val="21"/>
                      <w:szCs w:val="21"/>
                      <w:highlight w:val="none"/>
                    </w:rPr>
                  </w:pPr>
                  <w:r>
                    <w:rPr>
                      <w:b/>
                      <w:bCs/>
                      <w:color w:val="auto"/>
                      <w:sz w:val="21"/>
                      <w:szCs w:val="21"/>
                      <w:highlight w:val="none"/>
                    </w:rPr>
                    <w:t>污染物种类</w:t>
                  </w:r>
                </w:p>
              </w:tc>
              <w:tc>
                <w:tcPr>
                  <w:tcW w:w="193" w:type="pct"/>
                  <w:vMerge w:val="restart"/>
                  <w:vAlign w:val="center"/>
                </w:tcPr>
                <w:p w14:paraId="3861286A">
                  <w:pPr>
                    <w:spacing w:line="240" w:lineRule="auto"/>
                    <w:jc w:val="center"/>
                    <w:rPr>
                      <w:b/>
                      <w:bCs/>
                      <w:color w:val="auto"/>
                      <w:sz w:val="21"/>
                      <w:szCs w:val="21"/>
                      <w:highlight w:val="none"/>
                    </w:rPr>
                  </w:pPr>
                  <w:r>
                    <w:rPr>
                      <w:b/>
                      <w:bCs/>
                      <w:color w:val="auto"/>
                      <w:sz w:val="21"/>
                      <w:szCs w:val="21"/>
                      <w:highlight w:val="none"/>
                    </w:rPr>
                    <w:t>排放形式</w:t>
                  </w:r>
                </w:p>
              </w:tc>
              <w:tc>
                <w:tcPr>
                  <w:tcW w:w="1906" w:type="pct"/>
                  <w:gridSpan w:val="5"/>
                  <w:vAlign w:val="center"/>
                </w:tcPr>
                <w:p w14:paraId="241CCD6D">
                  <w:pPr>
                    <w:spacing w:line="240" w:lineRule="auto"/>
                    <w:jc w:val="center"/>
                    <w:rPr>
                      <w:b/>
                      <w:bCs/>
                      <w:color w:val="auto"/>
                      <w:sz w:val="21"/>
                      <w:szCs w:val="21"/>
                      <w:highlight w:val="none"/>
                    </w:rPr>
                  </w:pPr>
                  <w:r>
                    <w:rPr>
                      <w:b/>
                      <w:bCs/>
                      <w:color w:val="auto"/>
                      <w:sz w:val="21"/>
                      <w:szCs w:val="21"/>
                      <w:highlight w:val="none"/>
                    </w:rPr>
                    <w:t>污染防治设施</w:t>
                  </w:r>
                </w:p>
              </w:tc>
              <w:tc>
                <w:tcPr>
                  <w:tcW w:w="339" w:type="pct"/>
                  <w:vMerge w:val="restart"/>
                  <w:vAlign w:val="center"/>
                </w:tcPr>
                <w:p w14:paraId="24085107">
                  <w:pPr>
                    <w:spacing w:line="240" w:lineRule="auto"/>
                    <w:jc w:val="center"/>
                    <w:rPr>
                      <w:b/>
                      <w:bCs/>
                      <w:color w:val="auto"/>
                      <w:sz w:val="21"/>
                      <w:szCs w:val="21"/>
                      <w:highlight w:val="none"/>
                    </w:rPr>
                  </w:pPr>
                  <w:r>
                    <w:rPr>
                      <w:b/>
                      <w:bCs/>
                      <w:color w:val="auto"/>
                      <w:sz w:val="21"/>
                      <w:szCs w:val="21"/>
                      <w:highlight w:val="none"/>
                    </w:rPr>
                    <w:t>有组织排放编号</w:t>
                  </w:r>
                </w:p>
              </w:tc>
              <w:tc>
                <w:tcPr>
                  <w:tcW w:w="354" w:type="pct"/>
                  <w:vMerge w:val="restart"/>
                  <w:vAlign w:val="center"/>
                </w:tcPr>
                <w:p w14:paraId="598A4BB3">
                  <w:pPr>
                    <w:spacing w:line="240" w:lineRule="auto"/>
                    <w:jc w:val="center"/>
                    <w:rPr>
                      <w:b/>
                      <w:bCs/>
                      <w:color w:val="auto"/>
                      <w:sz w:val="21"/>
                      <w:szCs w:val="21"/>
                      <w:highlight w:val="none"/>
                    </w:rPr>
                  </w:pPr>
                  <w:r>
                    <w:rPr>
                      <w:b/>
                      <w:bCs/>
                      <w:color w:val="auto"/>
                      <w:sz w:val="21"/>
                      <w:szCs w:val="21"/>
                      <w:highlight w:val="none"/>
                    </w:rPr>
                    <w:t>有组织排放口名称</w:t>
                  </w:r>
                </w:p>
              </w:tc>
              <w:tc>
                <w:tcPr>
                  <w:tcW w:w="250" w:type="pct"/>
                  <w:vMerge w:val="restart"/>
                  <w:vAlign w:val="center"/>
                </w:tcPr>
                <w:p w14:paraId="24992A50">
                  <w:pPr>
                    <w:spacing w:line="240" w:lineRule="auto"/>
                    <w:jc w:val="center"/>
                    <w:rPr>
                      <w:b/>
                      <w:bCs/>
                      <w:color w:val="auto"/>
                      <w:sz w:val="21"/>
                      <w:szCs w:val="21"/>
                      <w:highlight w:val="none"/>
                    </w:rPr>
                  </w:pPr>
                  <w:r>
                    <w:rPr>
                      <w:b/>
                      <w:bCs/>
                      <w:color w:val="auto"/>
                      <w:sz w:val="21"/>
                      <w:szCs w:val="21"/>
                      <w:highlight w:val="none"/>
                    </w:rPr>
                    <w:t>排放口设置是否符合要求</w:t>
                  </w:r>
                </w:p>
              </w:tc>
              <w:tc>
                <w:tcPr>
                  <w:tcW w:w="280" w:type="pct"/>
                  <w:vMerge w:val="restart"/>
                  <w:vAlign w:val="center"/>
                </w:tcPr>
                <w:p w14:paraId="759300CB">
                  <w:pPr>
                    <w:spacing w:line="240" w:lineRule="auto"/>
                    <w:jc w:val="center"/>
                    <w:rPr>
                      <w:b/>
                      <w:bCs/>
                      <w:color w:val="auto"/>
                      <w:sz w:val="21"/>
                      <w:szCs w:val="21"/>
                      <w:highlight w:val="none"/>
                    </w:rPr>
                  </w:pPr>
                  <w:r>
                    <w:rPr>
                      <w:b/>
                      <w:bCs/>
                      <w:color w:val="auto"/>
                      <w:sz w:val="21"/>
                      <w:szCs w:val="21"/>
                      <w:highlight w:val="none"/>
                    </w:rPr>
                    <w:t>排放口类型</w:t>
                  </w:r>
                </w:p>
              </w:tc>
              <w:tc>
                <w:tcPr>
                  <w:tcW w:w="517" w:type="pct"/>
                  <w:vMerge w:val="restart"/>
                  <w:vAlign w:val="center"/>
                </w:tcPr>
                <w:p w14:paraId="1A3E037D">
                  <w:pPr>
                    <w:spacing w:line="240" w:lineRule="auto"/>
                    <w:jc w:val="center"/>
                    <w:rPr>
                      <w:b/>
                      <w:bCs/>
                      <w:color w:val="auto"/>
                      <w:sz w:val="21"/>
                      <w:szCs w:val="21"/>
                      <w:highlight w:val="none"/>
                    </w:rPr>
                  </w:pPr>
                  <w:r>
                    <w:rPr>
                      <w:b/>
                      <w:bCs/>
                      <w:color w:val="auto"/>
                      <w:sz w:val="21"/>
                      <w:szCs w:val="21"/>
                      <w:highlight w:val="none"/>
                    </w:rPr>
                    <w:t>其他信息</w:t>
                  </w:r>
                </w:p>
              </w:tc>
            </w:tr>
            <w:tr w14:paraId="7A26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53" w:type="pct"/>
                  <w:vMerge w:val="continue"/>
                  <w:vAlign w:val="center"/>
                </w:tcPr>
                <w:p w14:paraId="7EB76A44">
                  <w:pPr>
                    <w:spacing w:line="240" w:lineRule="auto"/>
                    <w:jc w:val="center"/>
                    <w:rPr>
                      <w:b/>
                      <w:bCs/>
                      <w:color w:val="auto"/>
                      <w:sz w:val="21"/>
                      <w:szCs w:val="21"/>
                      <w:highlight w:val="none"/>
                    </w:rPr>
                  </w:pPr>
                </w:p>
              </w:tc>
              <w:tc>
                <w:tcPr>
                  <w:tcW w:w="470" w:type="pct"/>
                  <w:vMerge w:val="continue"/>
                  <w:vAlign w:val="center"/>
                </w:tcPr>
                <w:p w14:paraId="7125D840">
                  <w:pPr>
                    <w:spacing w:line="240" w:lineRule="auto"/>
                    <w:jc w:val="center"/>
                    <w:rPr>
                      <w:b/>
                      <w:bCs/>
                      <w:color w:val="auto"/>
                      <w:sz w:val="21"/>
                      <w:szCs w:val="21"/>
                      <w:highlight w:val="none"/>
                    </w:rPr>
                  </w:pPr>
                </w:p>
              </w:tc>
              <w:tc>
                <w:tcPr>
                  <w:tcW w:w="236" w:type="pct"/>
                  <w:vMerge w:val="continue"/>
                  <w:vAlign w:val="center"/>
                </w:tcPr>
                <w:p w14:paraId="7A98A31C">
                  <w:pPr>
                    <w:spacing w:line="240" w:lineRule="auto"/>
                    <w:jc w:val="center"/>
                    <w:rPr>
                      <w:b/>
                      <w:bCs/>
                      <w:color w:val="auto"/>
                      <w:sz w:val="21"/>
                      <w:szCs w:val="21"/>
                      <w:highlight w:val="none"/>
                    </w:rPr>
                  </w:pPr>
                </w:p>
              </w:tc>
              <w:tc>
                <w:tcPr>
                  <w:tcW w:w="300" w:type="pct"/>
                  <w:vMerge w:val="continue"/>
                  <w:vAlign w:val="center"/>
                </w:tcPr>
                <w:p w14:paraId="00A830B4">
                  <w:pPr>
                    <w:spacing w:line="240" w:lineRule="auto"/>
                    <w:jc w:val="center"/>
                    <w:rPr>
                      <w:b/>
                      <w:bCs/>
                      <w:color w:val="auto"/>
                      <w:sz w:val="21"/>
                      <w:szCs w:val="21"/>
                      <w:highlight w:val="none"/>
                    </w:rPr>
                  </w:pPr>
                </w:p>
              </w:tc>
              <w:tc>
                <w:tcPr>
                  <w:tcW w:w="193" w:type="pct"/>
                  <w:vMerge w:val="continue"/>
                  <w:vAlign w:val="center"/>
                </w:tcPr>
                <w:p w14:paraId="0F4C7521">
                  <w:pPr>
                    <w:spacing w:line="240" w:lineRule="auto"/>
                    <w:jc w:val="center"/>
                    <w:rPr>
                      <w:b/>
                      <w:bCs/>
                      <w:color w:val="auto"/>
                      <w:sz w:val="21"/>
                      <w:szCs w:val="21"/>
                      <w:highlight w:val="none"/>
                    </w:rPr>
                  </w:pPr>
                </w:p>
              </w:tc>
              <w:tc>
                <w:tcPr>
                  <w:tcW w:w="381" w:type="pct"/>
                  <w:vAlign w:val="center"/>
                </w:tcPr>
                <w:p w14:paraId="2CE03838">
                  <w:pPr>
                    <w:spacing w:line="240" w:lineRule="auto"/>
                    <w:jc w:val="center"/>
                    <w:rPr>
                      <w:b/>
                      <w:bCs/>
                      <w:color w:val="auto"/>
                      <w:sz w:val="21"/>
                      <w:szCs w:val="21"/>
                      <w:highlight w:val="none"/>
                    </w:rPr>
                  </w:pPr>
                  <w:r>
                    <w:rPr>
                      <w:b/>
                      <w:bCs/>
                      <w:color w:val="auto"/>
                      <w:sz w:val="21"/>
                      <w:szCs w:val="21"/>
                      <w:highlight w:val="none"/>
                    </w:rPr>
                    <w:t>污染防治设施编号</w:t>
                  </w:r>
                </w:p>
              </w:tc>
              <w:tc>
                <w:tcPr>
                  <w:tcW w:w="457" w:type="pct"/>
                  <w:vAlign w:val="center"/>
                </w:tcPr>
                <w:p w14:paraId="0827E08D">
                  <w:pPr>
                    <w:spacing w:line="240" w:lineRule="auto"/>
                    <w:jc w:val="center"/>
                    <w:rPr>
                      <w:b/>
                      <w:bCs/>
                      <w:color w:val="auto"/>
                      <w:sz w:val="21"/>
                      <w:szCs w:val="21"/>
                      <w:highlight w:val="none"/>
                    </w:rPr>
                  </w:pPr>
                  <w:r>
                    <w:rPr>
                      <w:b/>
                      <w:bCs/>
                      <w:color w:val="auto"/>
                      <w:sz w:val="21"/>
                      <w:szCs w:val="21"/>
                      <w:highlight w:val="none"/>
                    </w:rPr>
                    <w:t>污染防治设施名称</w:t>
                  </w:r>
                </w:p>
              </w:tc>
              <w:tc>
                <w:tcPr>
                  <w:tcW w:w="438" w:type="pct"/>
                  <w:vAlign w:val="center"/>
                </w:tcPr>
                <w:p w14:paraId="02CBD515">
                  <w:pPr>
                    <w:spacing w:line="240" w:lineRule="auto"/>
                    <w:jc w:val="center"/>
                    <w:rPr>
                      <w:b/>
                      <w:bCs/>
                      <w:color w:val="auto"/>
                      <w:sz w:val="21"/>
                      <w:szCs w:val="21"/>
                      <w:highlight w:val="none"/>
                    </w:rPr>
                  </w:pPr>
                  <w:r>
                    <w:rPr>
                      <w:b/>
                      <w:bCs/>
                      <w:color w:val="auto"/>
                      <w:sz w:val="21"/>
                      <w:szCs w:val="21"/>
                      <w:highlight w:val="none"/>
                    </w:rPr>
                    <w:t>污染防治设施工艺</w:t>
                  </w:r>
                </w:p>
              </w:tc>
              <w:tc>
                <w:tcPr>
                  <w:tcW w:w="300" w:type="pct"/>
                  <w:vAlign w:val="center"/>
                </w:tcPr>
                <w:p w14:paraId="5190BC38">
                  <w:pPr>
                    <w:spacing w:line="240" w:lineRule="auto"/>
                    <w:jc w:val="center"/>
                    <w:rPr>
                      <w:b/>
                      <w:bCs/>
                      <w:color w:val="auto"/>
                      <w:sz w:val="21"/>
                      <w:szCs w:val="21"/>
                      <w:highlight w:val="none"/>
                    </w:rPr>
                  </w:pPr>
                  <w:r>
                    <w:rPr>
                      <w:b/>
                      <w:bCs/>
                      <w:color w:val="auto"/>
                      <w:sz w:val="21"/>
                      <w:szCs w:val="21"/>
                      <w:highlight w:val="none"/>
                    </w:rPr>
                    <w:t>是否为可行性技术</w:t>
                  </w:r>
                </w:p>
              </w:tc>
              <w:tc>
                <w:tcPr>
                  <w:tcW w:w="328" w:type="pct"/>
                  <w:vAlign w:val="center"/>
                </w:tcPr>
                <w:p w14:paraId="73196E10">
                  <w:pPr>
                    <w:spacing w:line="240" w:lineRule="auto"/>
                    <w:jc w:val="center"/>
                    <w:rPr>
                      <w:b/>
                      <w:bCs/>
                      <w:color w:val="auto"/>
                      <w:sz w:val="21"/>
                      <w:szCs w:val="21"/>
                      <w:highlight w:val="none"/>
                    </w:rPr>
                  </w:pPr>
                  <w:r>
                    <w:rPr>
                      <w:b/>
                      <w:bCs/>
                      <w:color w:val="auto"/>
                      <w:sz w:val="21"/>
                      <w:szCs w:val="21"/>
                      <w:highlight w:val="none"/>
                    </w:rPr>
                    <w:t>污染防治设施其他信息</w:t>
                  </w:r>
                </w:p>
              </w:tc>
              <w:tc>
                <w:tcPr>
                  <w:tcW w:w="339" w:type="pct"/>
                  <w:vMerge w:val="continue"/>
                  <w:vAlign w:val="center"/>
                </w:tcPr>
                <w:p w14:paraId="53565BB4">
                  <w:pPr>
                    <w:spacing w:line="240" w:lineRule="auto"/>
                    <w:jc w:val="center"/>
                    <w:rPr>
                      <w:b/>
                      <w:bCs/>
                      <w:color w:val="auto"/>
                      <w:sz w:val="21"/>
                      <w:szCs w:val="21"/>
                      <w:highlight w:val="none"/>
                    </w:rPr>
                  </w:pPr>
                </w:p>
              </w:tc>
              <w:tc>
                <w:tcPr>
                  <w:tcW w:w="354" w:type="pct"/>
                  <w:vMerge w:val="continue"/>
                  <w:vAlign w:val="center"/>
                </w:tcPr>
                <w:p w14:paraId="6DB074E9">
                  <w:pPr>
                    <w:spacing w:line="240" w:lineRule="auto"/>
                    <w:jc w:val="center"/>
                    <w:rPr>
                      <w:b/>
                      <w:bCs/>
                      <w:color w:val="auto"/>
                      <w:sz w:val="21"/>
                      <w:szCs w:val="21"/>
                      <w:highlight w:val="none"/>
                    </w:rPr>
                  </w:pPr>
                </w:p>
              </w:tc>
              <w:tc>
                <w:tcPr>
                  <w:tcW w:w="250" w:type="pct"/>
                  <w:vMerge w:val="continue"/>
                  <w:vAlign w:val="center"/>
                </w:tcPr>
                <w:p w14:paraId="68066E3F">
                  <w:pPr>
                    <w:spacing w:line="240" w:lineRule="auto"/>
                    <w:jc w:val="center"/>
                    <w:rPr>
                      <w:b/>
                      <w:bCs/>
                      <w:color w:val="auto"/>
                      <w:sz w:val="21"/>
                      <w:szCs w:val="21"/>
                      <w:highlight w:val="none"/>
                    </w:rPr>
                  </w:pPr>
                </w:p>
              </w:tc>
              <w:tc>
                <w:tcPr>
                  <w:tcW w:w="280" w:type="pct"/>
                  <w:vMerge w:val="continue"/>
                  <w:vAlign w:val="center"/>
                </w:tcPr>
                <w:p w14:paraId="2902B60B">
                  <w:pPr>
                    <w:spacing w:line="240" w:lineRule="auto"/>
                    <w:jc w:val="center"/>
                    <w:rPr>
                      <w:b/>
                      <w:bCs/>
                      <w:color w:val="auto"/>
                      <w:sz w:val="21"/>
                      <w:szCs w:val="21"/>
                      <w:highlight w:val="none"/>
                    </w:rPr>
                  </w:pPr>
                </w:p>
              </w:tc>
              <w:tc>
                <w:tcPr>
                  <w:tcW w:w="517" w:type="pct"/>
                  <w:vMerge w:val="continue"/>
                  <w:vAlign w:val="center"/>
                </w:tcPr>
                <w:p w14:paraId="488B58F5">
                  <w:pPr>
                    <w:spacing w:line="240" w:lineRule="auto"/>
                    <w:jc w:val="center"/>
                    <w:rPr>
                      <w:b/>
                      <w:bCs/>
                      <w:color w:val="auto"/>
                      <w:sz w:val="21"/>
                      <w:szCs w:val="21"/>
                      <w:highlight w:val="none"/>
                    </w:rPr>
                  </w:pPr>
                </w:p>
              </w:tc>
            </w:tr>
            <w:tr w14:paraId="20E1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53" w:type="pct"/>
                  <w:vAlign w:val="center"/>
                </w:tcPr>
                <w:p w14:paraId="63AB184B">
                  <w:pPr>
                    <w:spacing w:line="240" w:lineRule="auto"/>
                    <w:jc w:val="center"/>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1</w:t>
                  </w:r>
                </w:p>
              </w:tc>
              <w:tc>
                <w:tcPr>
                  <w:tcW w:w="470" w:type="pct"/>
                  <w:shd w:val="clear" w:color="auto" w:fill="auto"/>
                  <w:vAlign w:val="center"/>
                </w:tcPr>
                <w:p w14:paraId="458B5FB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干法破碎机区</w:t>
                  </w:r>
                </w:p>
              </w:tc>
              <w:tc>
                <w:tcPr>
                  <w:tcW w:w="236" w:type="pct"/>
                  <w:shd w:val="clear" w:color="auto" w:fill="auto"/>
                  <w:vAlign w:val="center"/>
                </w:tcPr>
                <w:p w14:paraId="3A38056B">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破碎</w:t>
                  </w:r>
                </w:p>
              </w:tc>
              <w:tc>
                <w:tcPr>
                  <w:tcW w:w="300" w:type="pct"/>
                  <w:shd w:val="clear" w:color="auto" w:fill="auto"/>
                  <w:vAlign w:val="center"/>
                </w:tcPr>
                <w:p w14:paraId="6E5A18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颗粒物</w:t>
                  </w:r>
                </w:p>
              </w:tc>
              <w:tc>
                <w:tcPr>
                  <w:tcW w:w="193" w:type="pct"/>
                  <w:shd w:val="clear" w:color="auto" w:fill="auto"/>
                  <w:vAlign w:val="center"/>
                </w:tcPr>
                <w:p w14:paraId="6052B5FD">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有</w:t>
                  </w:r>
                  <w:r>
                    <w:rPr>
                      <w:rFonts w:hint="default" w:ascii="Times New Roman" w:hAnsi="Times New Roman" w:cs="Times New Roman"/>
                      <w:color w:val="auto"/>
                      <w:sz w:val="21"/>
                      <w:szCs w:val="21"/>
                      <w:highlight w:val="none"/>
                    </w:rPr>
                    <w:t>组织</w:t>
                  </w:r>
                </w:p>
              </w:tc>
              <w:tc>
                <w:tcPr>
                  <w:tcW w:w="381" w:type="pct"/>
                  <w:shd w:val="clear" w:color="auto" w:fill="auto"/>
                  <w:vAlign w:val="center"/>
                </w:tcPr>
                <w:p w14:paraId="48496B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TA001</w:t>
                  </w:r>
                </w:p>
              </w:tc>
              <w:tc>
                <w:tcPr>
                  <w:tcW w:w="457" w:type="pct"/>
                  <w:shd w:val="clear" w:color="auto" w:fill="auto"/>
                  <w:vAlign w:val="center"/>
                </w:tcPr>
                <w:p w14:paraId="3761F36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布袋除尘</w:t>
                  </w:r>
                  <w:r>
                    <w:rPr>
                      <w:rFonts w:hint="default" w:ascii="Times New Roman" w:hAnsi="Times New Roman" w:cs="Times New Roman"/>
                      <w:color w:val="auto"/>
                      <w:sz w:val="21"/>
                      <w:szCs w:val="21"/>
                      <w:highlight w:val="none"/>
                    </w:rPr>
                    <w:t>器</w:t>
                  </w:r>
                </w:p>
              </w:tc>
              <w:tc>
                <w:tcPr>
                  <w:tcW w:w="438" w:type="pct"/>
                  <w:shd w:val="clear" w:color="auto" w:fill="auto"/>
                  <w:vAlign w:val="center"/>
                </w:tcPr>
                <w:p w14:paraId="4518A8D2">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布袋</w:t>
                  </w:r>
                  <w:r>
                    <w:rPr>
                      <w:rFonts w:hint="default" w:ascii="Times New Roman" w:hAnsi="Times New Roman" w:cs="Times New Roman"/>
                      <w:color w:val="auto"/>
                      <w:sz w:val="21"/>
                      <w:szCs w:val="21"/>
                      <w:highlight w:val="none"/>
                    </w:rPr>
                    <w:t>除尘</w:t>
                  </w:r>
                </w:p>
              </w:tc>
              <w:tc>
                <w:tcPr>
                  <w:tcW w:w="300" w:type="pct"/>
                  <w:shd w:val="clear" w:color="auto" w:fill="auto"/>
                  <w:vAlign w:val="center"/>
                </w:tcPr>
                <w:p w14:paraId="5E8B37F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是</w:t>
                  </w:r>
                </w:p>
              </w:tc>
              <w:tc>
                <w:tcPr>
                  <w:tcW w:w="328" w:type="pct"/>
                  <w:shd w:val="clear" w:color="auto" w:fill="auto"/>
                  <w:vAlign w:val="center"/>
                </w:tcPr>
                <w:p w14:paraId="4A32BC0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339" w:type="pct"/>
                  <w:shd w:val="clear" w:color="auto" w:fill="auto"/>
                  <w:vAlign w:val="center"/>
                </w:tcPr>
                <w:p w14:paraId="51598E9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DA001</w:t>
                  </w:r>
                </w:p>
              </w:tc>
              <w:tc>
                <w:tcPr>
                  <w:tcW w:w="354" w:type="pct"/>
                  <w:shd w:val="clear" w:color="auto" w:fill="auto"/>
                  <w:vAlign w:val="center"/>
                </w:tcPr>
                <w:p w14:paraId="69B394D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粉尘废气排放口</w:t>
                  </w:r>
                </w:p>
              </w:tc>
              <w:tc>
                <w:tcPr>
                  <w:tcW w:w="250" w:type="pct"/>
                  <w:shd w:val="clear" w:color="auto" w:fill="auto"/>
                  <w:vAlign w:val="center"/>
                </w:tcPr>
                <w:p w14:paraId="1BD3A00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是</w:t>
                  </w:r>
                </w:p>
              </w:tc>
              <w:tc>
                <w:tcPr>
                  <w:tcW w:w="280" w:type="pct"/>
                  <w:shd w:val="clear" w:color="auto" w:fill="auto"/>
                  <w:vAlign w:val="center"/>
                </w:tcPr>
                <w:p w14:paraId="777594C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一般排放口</w:t>
                  </w:r>
                </w:p>
              </w:tc>
              <w:tc>
                <w:tcPr>
                  <w:tcW w:w="517" w:type="pct"/>
                  <w:shd w:val="clear" w:color="auto" w:fill="auto"/>
                  <w:vAlign w:val="center"/>
                </w:tcPr>
                <w:p w14:paraId="0EB786A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排气筒高</w:t>
                  </w:r>
                  <w:r>
                    <w:rPr>
                      <w:rFonts w:hint="eastAsia" w:cs="Times New Roman"/>
                      <w:color w:val="auto"/>
                      <w:sz w:val="21"/>
                      <w:szCs w:val="22"/>
                      <w:highlight w:val="none"/>
                      <w:lang w:val="en-US" w:eastAsia="zh-CN"/>
                    </w:rPr>
                    <w:t>15m</w:t>
                  </w:r>
                  <w:r>
                    <w:rPr>
                      <w:rFonts w:hint="default" w:ascii="Times New Roman" w:hAnsi="Times New Roman" w:cs="Times New Roman"/>
                      <w:color w:val="auto"/>
                      <w:sz w:val="21"/>
                      <w:szCs w:val="21"/>
                      <w:highlight w:val="none"/>
                    </w:rPr>
                    <w:t>，内径</w:t>
                  </w:r>
                  <w:r>
                    <w:rPr>
                      <w:rFonts w:hint="eastAsia" w:cs="Times New Roman"/>
                      <w:color w:val="auto"/>
                      <w:sz w:val="21"/>
                      <w:szCs w:val="21"/>
                      <w:highlight w:val="none"/>
                      <w:lang w:val="en-US" w:eastAsia="zh-CN"/>
                    </w:rPr>
                    <w:t>0.45</w:t>
                  </w:r>
                  <w:r>
                    <w:rPr>
                      <w:rFonts w:hint="default" w:ascii="Times New Roman" w:hAnsi="Times New Roman" w:cs="Times New Roman"/>
                      <w:color w:val="auto"/>
                      <w:sz w:val="21"/>
                      <w:szCs w:val="21"/>
                      <w:highlight w:val="none"/>
                    </w:rPr>
                    <w:t>m</w:t>
                  </w:r>
                </w:p>
              </w:tc>
            </w:tr>
            <w:tr w14:paraId="02E4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53" w:type="pct"/>
                  <w:vAlign w:val="center"/>
                </w:tcPr>
                <w:p w14:paraId="692A8C7C">
                  <w:pPr>
                    <w:spacing w:line="240" w:lineRule="auto"/>
                    <w:jc w:val="center"/>
                    <w:rPr>
                      <w:color w:val="auto"/>
                      <w:sz w:val="21"/>
                      <w:szCs w:val="21"/>
                      <w:highlight w:val="none"/>
                    </w:rPr>
                  </w:pPr>
                  <w:r>
                    <w:rPr>
                      <w:rFonts w:hint="eastAsia"/>
                      <w:color w:val="auto"/>
                      <w:sz w:val="21"/>
                      <w:szCs w:val="21"/>
                      <w:highlight w:val="none"/>
                      <w:lang w:val="en-US" w:eastAsia="zh-CN"/>
                    </w:rPr>
                    <w:t>2</w:t>
                  </w:r>
                </w:p>
              </w:tc>
              <w:tc>
                <w:tcPr>
                  <w:tcW w:w="470" w:type="pct"/>
                  <w:vAlign w:val="center"/>
                </w:tcPr>
                <w:p w14:paraId="09F408B6">
                  <w:pPr>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3#厂房</w:t>
                  </w:r>
                </w:p>
              </w:tc>
              <w:tc>
                <w:tcPr>
                  <w:tcW w:w="236" w:type="pct"/>
                  <w:vAlign w:val="center"/>
                </w:tcPr>
                <w:p w14:paraId="66072AA0">
                  <w:pPr>
                    <w:spacing w:line="240" w:lineRule="auto"/>
                    <w:jc w:val="center"/>
                    <w:rPr>
                      <w:color w:val="auto"/>
                      <w:sz w:val="21"/>
                      <w:szCs w:val="21"/>
                      <w:highlight w:val="none"/>
                    </w:rPr>
                  </w:pPr>
                  <w:r>
                    <w:rPr>
                      <w:rFonts w:hint="eastAsia"/>
                      <w:color w:val="auto"/>
                      <w:sz w:val="21"/>
                      <w:szCs w:val="21"/>
                      <w:highlight w:val="none"/>
                      <w:lang w:val="en-US" w:eastAsia="zh-CN"/>
                    </w:rPr>
                    <w:t>造粒</w:t>
                  </w:r>
                </w:p>
              </w:tc>
              <w:tc>
                <w:tcPr>
                  <w:tcW w:w="300" w:type="pct"/>
                  <w:vAlign w:val="center"/>
                </w:tcPr>
                <w:p w14:paraId="25276268">
                  <w:pPr>
                    <w:spacing w:line="240" w:lineRule="auto"/>
                    <w:jc w:val="center"/>
                    <w:rPr>
                      <w:rFonts w:hint="default" w:eastAsia="宋体"/>
                      <w:color w:val="auto"/>
                      <w:sz w:val="21"/>
                      <w:szCs w:val="21"/>
                      <w:highlight w:val="none"/>
                      <w:lang w:val="en-US" w:eastAsia="zh-CN"/>
                    </w:rPr>
                  </w:pPr>
                  <w:r>
                    <w:rPr>
                      <w:color w:val="auto"/>
                      <w:sz w:val="21"/>
                      <w:szCs w:val="21"/>
                      <w:highlight w:val="none"/>
                    </w:rPr>
                    <w:t>颗粒物</w:t>
                  </w:r>
                  <w:r>
                    <w:rPr>
                      <w:rFonts w:hint="eastAsia"/>
                      <w:color w:val="auto"/>
                      <w:sz w:val="21"/>
                      <w:szCs w:val="21"/>
                      <w:highlight w:val="none"/>
                      <w:lang w:eastAsia="zh-CN"/>
                    </w:rPr>
                    <w:t>、</w:t>
                  </w:r>
                  <w:r>
                    <w:rPr>
                      <w:rFonts w:hint="eastAsia"/>
                      <w:color w:val="auto"/>
                      <w:sz w:val="21"/>
                      <w:szCs w:val="21"/>
                      <w:highlight w:val="none"/>
                      <w:lang w:val="en-US" w:eastAsia="zh-CN"/>
                    </w:rPr>
                    <w:t>非甲烷总烃、臭气浓度</w:t>
                  </w:r>
                </w:p>
              </w:tc>
              <w:tc>
                <w:tcPr>
                  <w:tcW w:w="193" w:type="pct"/>
                  <w:vAlign w:val="center"/>
                </w:tcPr>
                <w:p w14:paraId="3F62CF3B">
                  <w:pPr>
                    <w:spacing w:line="240" w:lineRule="auto"/>
                    <w:jc w:val="center"/>
                    <w:rPr>
                      <w:color w:val="auto"/>
                      <w:sz w:val="21"/>
                      <w:szCs w:val="21"/>
                      <w:highlight w:val="none"/>
                    </w:rPr>
                  </w:pPr>
                  <w:r>
                    <w:rPr>
                      <w:rFonts w:hint="eastAsia"/>
                      <w:color w:val="auto"/>
                      <w:sz w:val="21"/>
                      <w:szCs w:val="21"/>
                      <w:highlight w:val="none"/>
                    </w:rPr>
                    <w:t>有</w:t>
                  </w:r>
                  <w:r>
                    <w:rPr>
                      <w:color w:val="auto"/>
                      <w:sz w:val="21"/>
                      <w:szCs w:val="21"/>
                      <w:highlight w:val="none"/>
                    </w:rPr>
                    <w:t>组织</w:t>
                  </w:r>
                </w:p>
              </w:tc>
              <w:tc>
                <w:tcPr>
                  <w:tcW w:w="381" w:type="pct"/>
                  <w:vAlign w:val="center"/>
                </w:tcPr>
                <w:p w14:paraId="5E7C1F7D">
                  <w:pPr>
                    <w:spacing w:line="240" w:lineRule="auto"/>
                    <w:jc w:val="center"/>
                    <w:rPr>
                      <w:rFonts w:hint="eastAsia" w:eastAsia="宋体"/>
                      <w:color w:val="auto"/>
                      <w:sz w:val="21"/>
                      <w:szCs w:val="21"/>
                      <w:highlight w:val="none"/>
                      <w:lang w:eastAsia="zh-CN"/>
                    </w:rPr>
                  </w:pPr>
                  <w:r>
                    <w:rPr>
                      <w:color w:val="auto"/>
                      <w:sz w:val="21"/>
                      <w:szCs w:val="21"/>
                      <w:highlight w:val="none"/>
                    </w:rPr>
                    <w:t>TA00</w:t>
                  </w:r>
                  <w:r>
                    <w:rPr>
                      <w:rFonts w:hint="eastAsia"/>
                      <w:color w:val="auto"/>
                      <w:sz w:val="21"/>
                      <w:szCs w:val="21"/>
                      <w:highlight w:val="none"/>
                      <w:lang w:val="en-US" w:eastAsia="zh-CN"/>
                    </w:rPr>
                    <w:t>2</w:t>
                  </w:r>
                </w:p>
              </w:tc>
              <w:tc>
                <w:tcPr>
                  <w:tcW w:w="457" w:type="pct"/>
                  <w:vAlign w:val="center"/>
                </w:tcPr>
                <w:p w14:paraId="6730FD83">
                  <w:pPr>
                    <w:spacing w:line="240" w:lineRule="auto"/>
                    <w:jc w:val="center"/>
                    <w:rPr>
                      <w:rFonts w:hint="eastAsia" w:eastAsia="宋体"/>
                      <w:color w:val="auto"/>
                      <w:sz w:val="21"/>
                      <w:szCs w:val="21"/>
                      <w:highlight w:val="none"/>
                      <w:lang w:eastAsia="zh-CN"/>
                    </w:rPr>
                  </w:pPr>
                  <w:r>
                    <w:rPr>
                      <w:rFonts w:hint="eastAsia"/>
                      <w:color w:val="auto"/>
                      <w:sz w:val="21"/>
                      <w:szCs w:val="21"/>
                      <w:highlight w:val="none"/>
                      <w:lang w:eastAsia="zh-CN"/>
                    </w:rPr>
                    <w:t>电捕焦油+气旋混动喷淋+干式过滤+活性炭吸附脱附+催化燃烧+活性炭吸附</w:t>
                  </w:r>
                </w:p>
              </w:tc>
              <w:tc>
                <w:tcPr>
                  <w:tcW w:w="438" w:type="pct"/>
                  <w:vAlign w:val="center"/>
                </w:tcPr>
                <w:p w14:paraId="2A3F3EB5">
                  <w:pPr>
                    <w:spacing w:line="240" w:lineRule="auto"/>
                    <w:jc w:val="center"/>
                    <w:rPr>
                      <w:rFonts w:hint="eastAsia" w:eastAsia="宋体"/>
                      <w:color w:val="auto"/>
                      <w:sz w:val="21"/>
                      <w:szCs w:val="21"/>
                      <w:highlight w:val="none"/>
                      <w:lang w:eastAsia="zh-CN"/>
                    </w:rPr>
                  </w:pPr>
                  <w:r>
                    <w:rPr>
                      <w:rFonts w:hint="eastAsia"/>
                      <w:color w:val="auto"/>
                      <w:sz w:val="21"/>
                      <w:szCs w:val="21"/>
                      <w:highlight w:val="none"/>
                      <w:lang w:eastAsia="zh-CN"/>
                    </w:rPr>
                    <w:t>电捕焦油+气旋混动喷淋+干式过滤+活性炭吸附脱附+催化燃烧+活性炭吸附</w:t>
                  </w:r>
                </w:p>
              </w:tc>
              <w:tc>
                <w:tcPr>
                  <w:tcW w:w="300" w:type="pct"/>
                  <w:vAlign w:val="center"/>
                </w:tcPr>
                <w:p w14:paraId="7A03E1F0">
                  <w:pPr>
                    <w:spacing w:line="240" w:lineRule="auto"/>
                    <w:jc w:val="center"/>
                    <w:rPr>
                      <w:color w:val="auto"/>
                      <w:sz w:val="21"/>
                      <w:szCs w:val="21"/>
                      <w:highlight w:val="none"/>
                    </w:rPr>
                  </w:pPr>
                  <w:r>
                    <w:rPr>
                      <w:color w:val="auto"/>
                      <w:sz w:val="21"/>
                      <w:szCs w:val="21"/>
                      <w:highlight w:val="none"/>
                    </w:rPr>
                    <w:t>是</w:t>
                  </w:r>
                </w:p>
              </w:tc>
              <w:tc>
                <w:tcPr>
                  <w:tcW w:w="328" w:type="pct"/>
                  <w:vAlign w:val="center"/>
                </w:tcPr>
                <w:p w14:paraId="32C19AD3">
                  <w:pPr>
                    <w:spacing w:line="240" w:lineRule="auto"/>
                    <w:jc w:val="center"/>
                    <w:rPr>
                      <w:color w:val="auto"/>
                      <w:sz w:val="21"/>
                      <w:szCs w:val="21"/>
                      <w:highlight w:val="none"/>
                    </w:rPr>
                  </w:pPr>
                  <w:r>
                    <w:rPr>
                      <w:color w:val="auto"/>
                      <w:sz w:val="21"/>
                      <w:szCs w:val="21"/>
                      <w:highlight w:val="none"/>
                    </w:rPr>
                    <w:t>/</w:t>
                  </w:r>
                </w:p>
              </w:tc>
              <w:tc>
                <w:tcPr>
                  <w:tcW w:w="339" w:type="pct"/>
                  <w:vAlign w:val="center"/>
                </w:tcPr>
                <w:p w14:paraId="08269AA2">
                  <w:pPr>
                    <w:spacing w:line="240" w:lineRule="auto"/>
                    <w:jc w:val="center"/>
                    <w:rPr>
                      <w:rFonts w:hint="eastAsia" w:eastAsia="宋体"/>
                      <w:color w:val="auto"/>
                      <w:sz w:val="21"/>
                      <w:szCs w:val="21"/>
                      <w:highlight w:val="none"/>
                      <w:lang w:val="en-US" w:eastAsia="zh-CN"/>
                    </w:rPr>
                  </w:pPr>
                  <w:r>
                    <w:rPr>
                      <w:color w:val="auto"/>
                      <w:sz w:val="21"/>
                      <w:szCs w:val="21"/>
                      <w:highlight w:val="none"/>
                    </w:rPr>
                    <w:t>DA00</w:t>
                  </w:r>
                  <w:r>
                    <w:rPr>
                      <w:rFonts w:hint="eastAsia"/>
                      <w:color w:val="auto"/>
                      <w:sz w:val="21"/>
                      <w:szCs w:val="21"/>
                      <w:highlight w:val="none"/>
                      <w:lang w:val="en-US" w:eastAsia="zh-CN"/>
                    </w:rPr>
                    <w:t>2</w:t>
                  </w:r>
                </w:p>
              </w:tc>
              <w:tc>
                <w:tcPr>
                  <w:tcW w:w="354" w:type="pct"/>
                  <w:shd w:val="clear" w:color="auto" w:fill="auto"/>
                  <w:vAlign w:val="center"/>
                </w:tcPr>
                <w:p w14:paraId="647334E3">
                  <w:pPr>
                    <w:spacing w:line="240" w:lineRule="auto"/>
                    <w:jc w:val="center"/>
                    <w:rPr>
                      <w:color w:val="auto"/>
                      <w:sz w:val="21"/>
                      <w:szCs w:val="21"/>
                      <w:highlight w:val="none"/>
                    </w:rPr>
                  </w:pPr>
                  <w:r>
                    <w:rPr>
                      <w:rFonts w:hint="eastAsia"/>
                      <w:color w:val="auto"/>
                      <w:sz w:val="21"/>
                      <w:szCs w:val="21"/>
                      <w:highlight w:val="none"/>
                      <w:lang w:val="en-US" w:eastAsia="zh-CN"/>
                    </w:rPr>
                    <w:t>造粒</w:t>
                  </w:r>
                  <w:r>
                    <w:rPr>
                      <w:rFonts w:hint="eastAsia"/>
                      <w:color w:val="auto"/>
                      <w:sz w:val="21"/>
                      <w:szCs w:val="21"/>
                      <w:highlight w:val="none"/>
                    </w:rPr>
                    <w:t>废气排放口</w:t>
                  </w:r>
                </w:p>
              </w:tc>
              <w:tc>
                <w:tcPr>
                  <w:tcW w:w="250" w:type="pct"/>
                  <w:shd w:val="clear" w:color="auto" w:fill="auto"/>
                  <w:vAlign w:val="center"/>
                </w:tcPr>
                <w:p w14:paraId="08394809">
                  <w:pPr>
                    <w:spacing w:line="240" w:lineRule="auto"/>
                    <w:jc w:val="center"/>
                    <w:rPr>
                      <w:color w:val="auto"/>
                      <w:sz w:val="21"/>
                      <w:szCs w:val="21"/>
                      <w:highlight w:val="none"/>
                    </w:rPr>
                  </w:pPr>
                  <w:r>
                    <w:rPr>
                      <w:color w:val="auto"/>
                      <w:sz w:val="21"/>
                      <w:szCs w:val="21"/>
                      <w:highlight w:val="none"/>
                    </w:rPr>
                    <w:t>是</w:t>
                  </w:r>
                </w:p>
              </w:tc>
              <w:tc>
                <w:tcPr>
                  <w:tcW w:w="280" w:type="pct"/>
                  <w:shd w:val="clear" w:color="auto" w:fill="auto"/>
                  <w:vAlign w:val="center"/>
                </w:tcPr>
                <w:p w14:paraId="3C17CB9D">
                  <w:pPr>
                    <w:spacing w:line="240" w:lineRule="auto"/>
                    <w:jc w:val="center"/>
                    <w:rPr>
                      <w:color w:val="auto"/>
                      <w:sz w:val="21"/>
                      <w:szCs w:val="21"/>
                      <w:highlight w:val="none"/>
                    </w:rPr>
                  </w:pPr>
                  <w:r>
                    <w:rPr>
                      <w:color w:val="auto"/>
                      <w:sz w:val="21"/>
                      <w:szCs w:val="21"/>
                      <w:highlight w:val="none"/>
                    </w:rPr>
                    <w:t>一般排放口</w:t>
                  </w:r>
                </w:p>
              </w:tc>
              <w:tc>
                <w:tcPr>
                  <w:tcW w:w="517" w:type="pct"/>
                  <w:shd w:val="clear" w:color="auto" w:fill="auto"/>
                  <w:vAlign w:val="center"/>
                </w:tcPr>
                <w:p w14:paraId="63E0DAC3">
                  <w:pPr>
                    <w:spacing w:line="240" w:lineRule="auto"/>
                    <w:jc w:val="center"/>
                    <w:rPr>
                      <w:color w:val="auto"/>
                      <w:sz w:val="21"/>
                      <w:szCs w:val="21"/>
                      <w:highlight w:val="none"/>
                    </w:rPr>
                  </w:pPr>
                  <w:r>
                    <w:rPr>
                      <w:color w:val="auto"/>
                      <w:sz w:val="21"/>
                      <w:szCs w:val="21"/>
                      <w:highlight w:val="none"/>
                    </w:rPr>
                    <w:t>排气筒高</w:t>
                  </w:r>
                  <w:r>
                    <w:rPr>
                      <w:rFonts w:hint="eastAsia"/>
                      <w:color w:val="auto"/>
                      <w:sz w:val="21"/>
                      <w:szCs w:val="22"/>
                      <w:highlight w:val="none"/>
                      <w:lang w:eastAsia="zh-CN"/>
                    </w:rPr>
                    <w:t>15m</w:t>
                  </w:r>
                  <w:r>
                    <w:rPr>
                      <w:color w:val="auto"/>
                      <w:sz w:val="21"/>
                      <w:szCs w:val="21"/>
                      <w:highlight w:val="none"/>
                    </w:rPr>
                    <w:t>，内径</w:t>
                  </w:r>
                  <w:r>
                    <w:rPr>
                      <w:rFonts w:hint="eastAsia"/>
                      <w:color w:val="auto"/>
                      <w:sz w:val="21"/>
                      <w:szCs w:val="21"/>
                      <w:highlight w:val="none"/>
                      <w:lang w:val="en-US" w:eastAsia="zh-CN"/>
                    </w:rPr>
                    <w:t>1.2</w:t>
                  </w:r>
                  <w:r>
                    <w:rPr>
                      <w:color w:val="auto"/>
                      <w:sz w:val="21"/>
                      <w:szCs w:val="21"/>
                      <w:highlight w:val="none"/>
                    </w:rPr>
                    <w:t>m</w:t>
                  </w:r>
                </w:p>
              </w:tc>
            </w:tr>
            <w:tr w14:paraId="1198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53" w:type="pct"/>
                  <w:vAlign w:val="center"/>
                </w:tcPr>
                <w:p w14:paraId="3D90EE07">
                  <w:pPr>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470" w:type="pct"/>
                  <w:shd w:val="clear" w:color="auto" w:fill="auto"/>
                  <w:vAlign w:val="center"/>
                </w:tcPr>
                <w:p w14:paraId="1EAF5B8B">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食堂</w:t>
                  </w:r>
                </w:p>
              </w:tc>
              <w:tc>
                <w:tcPr>
                  <w:tcW w:w="236" w:type="pct"/>
                  <w:shd w:val="clear" w:color="auto" w:fill="auto"/>
                  <w:vAlign w:val="center"/>
                </w:tcPr>
                <w:p w14:paraId="4DCE793B">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烹饪</w:t>
                  </w:r>
                </w:p>
              </w:tc>
              <w:tc>
                <w:tcPr>
                  <w:tcW w:w="300" w:type="pct"/>
                  <w:shd w:val="clear" w:color="auto" w:fill="auto"/>
                  <w:vAlign w:val="center"/>
                </w:tcPr>
                <w:p w14:paraId="19BBEBB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油烟</w:t>
                  </w:r>
                </w:p>
              </w:tc>
              <w:tc>
                <w:tcPr>
                  <w:tcW w:w="193" w:type="pct"/>
                  <w:shd w:val="clear" w:color="auto" w:fill="auto"/>
                  <w:vAlign w:val="center"/>
                </w:tcPr>
                <w:p w14:paraId="3B60234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有组织</w:t>
                  </w:r>
                </w:p>
              </w:tc>
              <w:tc>
                <w:tcPr>
                  <w:tcW w:w="381" w:type="pct"/>
                  <w:shd w:val="clear" w:color="auto" w:fill="auto"/>
                  <w:vAlign w:val="center"/>
                </w:tcPr>
                <w:p w14:paraId="16DC461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TA003</w:t>
                  </w:r>
                </w:p>
              </w:tc>
              <w:tc>
                <w:tcPr>
                  <w:tcW w:w="457" w:type="pct"/>
                  <w:shd w:val="clear" w:color="auto" w:fill="auto"/>
                  <w:vAlign w:val="center"/>
                </w:tcPr>
                <w:p w14:paraId="6EBAB81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静电油烟净化器</w:t>
                  </w:r>
                </w:p>
              </w:tc>
              <w:tc>
                <w:tcPr>
                  <w:tcW w:w="438" w:type="pct"/>
                  <w:shd w:val="clear" w:color="auto" w:fill="auto"/>
                  <w:vAlign w:val="center"/>
                </w:tcPr>
                <w:p w14:paraId="6E8FE554">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静电除油</w:t>
                  </w:r>
                </w:p>
              </w:tc>
              <w:tc>
                <w:tcPr>
                  <w:tcW w:w="300" w:type="pct"/>
                  <w:shd w:val="clear" w:color="auto" w:fill="auto"/>
                  <w:vAlign w:val="center"/>
                </w:tcPr>
                <w:p w14:paraId="021223F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28" w:type="pct"/>
                  <w:shd w:val="clear" w:color="auto" w:fill="auto"/>
                  <w:vAlign w:val="center"/>
                </w:tcPr>
                <w:p w14:paraId="598B2E8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339" w:type="pct"/>
                  <w:shd w:val="clear" w:color="auto" w:fill="auto"/>
                  <w:vAlign w:val="center"/>
                </w:tcPr>
                <w:p w14:paraId="4777EF6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DA003</w:t>
                  </w:r>
                </w:p>
              </w:tc>
              <w:tc>
                <w:tcPr>
                  <w:tcW w:w="354" w:type="pct"/>
                  <w:shd w:val="clear" w:color="auto" w:fill="auto"/>
                  <w:vAlign w:val="center"/>
                </w:tcPr>
                <w:p w14:paraId="45FE54B4">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食堂油烟排放口</w:t>
                  </w:r>
                </w:p>
              </w:tc>
              <w:tc>
                <w:tcPr>
                  <w:tcW w:w="250" w:type="pct"/>
                  <w:shd w:val="clear" w:color="auto" w:fill="auto"/>
                  <w:vAlign w:val="center"/>
                </w:tcPr>
                <w:p w14:paraId="48BA6AB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280" w:type="pct"/>
                  <w:shd w:val="clear" w:color="auto" w:fill="auto"/>
                  <w:vAlign w:val="center"/>
                </w:tcPr>
                <w:p w14:paraId="6FC907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一般排放口</w:t>
                  </w:r>
                </w:p>
              </w:tc>
              <w:tc>
                <w:tcPr>
                  <w:tcW w:w="517" w:type="pct"/>
                  <w:shd w:val="clear" w:color="auto" w:fill="auto"/>
                  <w:vAlign w:val="center"/>
                </w:tcPr>
                <w:p w14:paraId="65E088E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排气筒高15m，内径0.5m</w:t>
                  </w:r>
                </w:p>
              </w:tc>
            </w:tr>
          </w:tbl>
          <w:p w14:paraId="1FF501C6">
            <w:pPr>
              <w:pStyle w:val="2"/>
              <w:tabs>
                <w:tab w:val="left" w:pos="0"/>
              </w:tabs>
              <w:ind w:firstLine="4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表4-1</w:t>
            </w:r>
            <w:r>
              <w:rPr>
                <w:rFonts w:hint="eastAsia" w:ascii="Times New Roman" w:hAnsi="Times New Roman" w:cs="Times New Roman"/>
                <w:b/>
                <w:bCs/>
                <w:color w:val="auto"/>
                <w:sz w:val="21"/>
                <w:szCs w:val="21"/>
                <w:highlight w:val="none"/>
              </w:rPr>
              <w:t>0 废气排放口基本情况表</w:t>
            </w:r>
          </w:p>
          <w:tbl>
            <w:tblPr>
              <w:tblStyle w:val="49"/>
              <w:tblW w:w="13336" w:type="dxa"/>
              <w:jc w:val="center"/>
              <w:tblLayout w:type="fixed"/>
              <w:tblCellMar>
                <w:top w:w="0" w:type="dxa"/>
                <w:left w:w="108" w:type="dxa"/>
                <w:bottom w:w="0" w:type="dxa"/>
                <w:right w:w="108" w:type="dxa"/>
              </w:tblCellMar>
            </w:tblPr>
            <w:tblGrid>
              <w:gridCol w:w="2824"/>
              <w:gridCol w:w="1165"/>
              <w:gridCol w:w="1852"/>
              <w:gridCol w:w="1116"/>
              <w:gridCol w:w="1567"/>
              <w:gridCol w:w="867"/>
              <w:gridCol w:w="3945"/>
            </w:tblGrid>
            <w:tr w14:paraId="5EF8E38E">
              <w:tblPrEx>
                <w:tblCellMar>
                  <w:top w:w="0" w:type="dxa"/>
                  <w:left w:w="108" w:type="dxa"/>
                  <w:bottom w:w="0" w:type="dxa"/>
                  <w:right w:w="108" w:type="dxa"/>
                </w:tblCellMar>
              </w:tblPrEx>
              <w:trPr>
                <w:trHeight w:val="90" w:hRule="atLeast"/>
                <w:jc w:val="center"/>
              </w:trPr>
              <w:tc>
                <w:tcPr>
                  <w:tcW w:w="2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79D63">
                  <w:pPr>
                    <w:widowControl/>
                    <w:spacing w:line="276" w:lineRule="auto"/>
                    <w:jc w:val="center"/>
                    <w:textAlignment w:val="center"/>
                    <w:rPr>
                      <w:b/>
                      <w:bCs/>
                      <w:color w:val="auto"/>
                      <w:sz w:val="21"/>
                      <w:szCs w:val="21"/>
                      <w:highlight w:val="none"/>
                    </w:rPr>
                  </w:pPr>
                  <w:r>
                    <w:rPr>
                      <w:b/>
                      <w:bCs/>
                      <w:color w:val="auto"/>
                      <w:kern w:val="0"/>
                      <w:sz w:val="21"/>
                      <w:szCs w:val="21"/>
                      <w:highlight w:val="none"/>
                    </w:rPr>
                    <w:t>编号及名称</w:t>
                  </w:r>
                </w:p>
              </w:tc>
              <w:tc>
                <w:tcPr>
                  <w:tcW w:w="105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8C2691">
                  <w:pPr>
                    <w:widowControl/>
                    <w:spacing w:line="276" w:lineRule="auto"/>
                    <w:jc w:val="center"/>
                    <w:textAlignment w:val="center"/>
                    <w:rPr>
                      <w:b/>
                      <w:bCs/>
                      <w:color w:val="auto"/>
                      <w:sz w:val="21"/>
                      <w:szCs w:val="21"/>
                      <w:highlight w:val="none"/>
                    </w:rPr>
                  </w:pPr>
                  <w:r>
                    <w:rPr>
                      <w:b/>
                      <w:bCs/>
                      <w:color w:val="auto"/>
                      <w:kern w:val="0"/>
                      <w:sz w:val="21"/>
                      <w:szCs w:val="21"/>
                      <w:highlight w:val="none"/>
                    </w:rPr>
                    <w:t>基本情况</w:t>
                  </w:r>
                </w:p>
              </w:tc>
            </w:tr>
            <w:tr w14:paraId="5E58E79E">
              <w:tblPrEx>
                <w:tblCellMar>
                  <w:top w:w="0" w:type="dxa"/>
                  <w:left w:w="108" w:type="dxa"/>
                  <w:bottom w:w="0" w:type="dxa"/>
                  <w:right w:w="108" w:type="dxa"/>
                </w:tblCellMar>
              </w:tblPrEx>
              <w:trPr>
                <w:trHeight w:val="90" w:hRule="atLeast"/>
                <w:jc w:val="center"/>
              </w:trPr>
              <w:tc>
                <w:tcPr>
                  <w:tcW w:w="2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098DC">
                  <w:pPr>
                    <w:widowControl/>
                    <w:spacing w:line="276" w:lineRule="auto"/>
                    <w:jc w:val="center"/>
                    <w:rPr>
                      <w:b/>
                      <w:bCs/>
                      <w:color w:val="auto"/>
                      <w:sz w:val="21"/>
                      <w:szCs w:val="21"/>
                      <w:highlight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D614">
                  <w:pPr>
                    <w:widowControl/>
                    <w:spacing w:line="276" w:lineRule="auto"/>
                    <w:jc w:val="center"/>
                    <w:textAlignment w:val="center"/>
                    <w:rPr>
                      <w:b/>
                      <w:bCs/>
                      <w:color w:val="auto"/>
                      <w:sz w:val="21"/>
                      <w:szCs w:val="21"/>
                      <w:highlight w:val="none"/>
                    </w:rPr>
                  </w:pPr>
                  <w:r>
                    <w:rPr>
                      <w:b/>
                      <w:bCs/>
                      <w:color w:val="auto"/>
                      <w:kern w:val="0"/>
                      <w:sz w:val="21"/>
                      <w:szCs w:val="21"/>
                      <w:highlight w:val="none"/>
                    </w:rPr>
                    <w:t>高度（m）</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5FEE">
                  <w:pPr>
                    <w:widowControl/>
                    <w:spacing w:line="276" w:lineRule="auto"/>
                    <w:jc w:val="center"/>
                    <w:textAlignment w:val="center"/>
                    <w:rPr>
                      <w:b/>
                      <w:bCs/>
                      <w:color w:val="auto"/>
                      <w:sz w:val="21"/>
                      <w:szCs w:val="21"/>
                      <w:highlight w:val="none"/>
                    </w:rPr>
                  </w:pPr>
                  <w:r>
                    <w:rPr>
                      <w:b/>
                      <w:bCs/>
                      <w:color w:val="auto"/>
                      <w:kern w:val="0"/>
                      <w:sz w:val="21"/>
                      <w:szCs w:val="21"/>
                      <w:highlight w:val="none"/>
                    </w:rPr>
                    <w:t>排气筒内径（m）</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C63A">
                  <w:pPr>
                    <w:widowControl/>
                    <w:spacing w:line="276" w:lineRule="auto"/>
                    <w:jc w:val="center"/>
                    <w:textAlignment w:val="center"/>
                    <w:rPr>
                      <w:b/>
                      <w:bCs/>
                      <w:color w:val="auto"/>
                      <w:sz w:val="21"/>
                      <w:szCs w:val="21"/>
                      <w:highlight w:val="none"/>
                    </w:rPr>
                  </w:pPr>
                  <w:r>
                    <w:rPr>
                      <w:b/>
                      <w:bCs/>
                      <w:color w:val="auto"/>
                      <w:kern w:val="0"/>
                      <w:sz w:val="21"/>
                      <w:szCs w:val="21"/>
                      <w:highlight w:val="none"/>
                    </w:rPr>
                    <w:t>温度/℃</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60F3">
                  <w:pPr>
                    <w:widowControl/>
                    <w:spacing w:line="276" w:lineRule="auto"/>
                    <w:jc w:val="center"/>
                    <w:textAlignment w:val="center"/>
                    <w:rPr>
                      <w:b/>
                      <w:bCs/>
                      <w:color w:val="auto"/>
                      <w:sz w:val="21"/>
                      <w:szCs w:val="21"/>
                      <w:highlight w:val="none"/>
                    </w:rPr>
                  </w:pPr>
                  <w:r>
                    <w:rPr>
                      <w:b/>
                      <w:bCs/>
                      <w:color w:val="auto"/>
                      <w:kern w:val="0"/>
                      <w:sz w:val="21"/>
                      <w:szCs w:val="21"/>
                      <w:highlight w:val="none"/>
                    </w:rPr>
                    <w:t>出口流速(m/s)</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76E7">
                  <w:pPr>
                    <w:widowControl/>
                    <w:spacing w:line="276" w:lineRule="auto"/>
                    <w:jc w:val="center"/>
                    <w:textAlignment w:val="center"/>
                    <w:rPr>
                      <w:b/>
                      <w:bCs/>
                      <w:color w:val="auto"/>
                      <w:sz w:val="21"/>
                      <w:szCs w:val="21"/>
                      <w:highlight w:val="none"/>
                    </w:rPr>
                  </w:pPr>
                  <w:r>
                    <w:rPr>
                      <w:b/>
                      <w:bCs/>
                      <w:color w:val="auto"/>
                      <w:kern w:val="0"/>
                      <w:sz w:val="21"/>
                      <w:szCs w:val="21"/>
                      <w:highlight w:val="none"/>
                    </w:rPr>
                    <w:t>类型</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E534">
                  <w:pPr>
                    <w:widowControl/>
                    <w:spacing w:line="276" w:lineRule="auto"/>
                    <w:jc w:val="center"/>
                    <w:textAlignment w:val="center"/>
                    <w:rPr>
                      <w:b/>
                      <w:bCs/>
                      <w:color w:val="auto"/>
                      <w:sz w:val="21"/>
                      <w:szCs w:val="21"/>
                      <w:highlight w:val="none"/>
                    </w:rPr>
                  </w:pPr>
                  <w:r>
                    <w:rPr>
                      <w:b/>
                      <w:bCs/>
                      <w:color w:val="auto"/>
                      <w:kern w:val="0"/>
                      <w:sz w:val="21"/>
                      <w:szCs w:val="21"/>
                      <w:highlight w:val="none"/>
                    </w:rPr>
                    <w:t>地理坐标</w:t>
                  </w:r>
                </w:p>
              </w:tc>
            </w:tr>
            <w:tr w14:paraId="04CB225A">
              <w:tblPrEx>
                <w:tblCellMar>
                  <w:top w:w="0" w:type="dxa"/>
                  <w:left w:w="108" w:type="dxa"/>
                  <w:bottom w:w="0" w:type="dxa"/>
                  <w:right w:w="108" w:type="dxa"/>
                </w:tblCellMar>
              </w:tblPrEx>
              <w:trPr>
                <w:trHeight w:val="90" w:hRule="atLeast"/>
                <w:jc w:val="center"/>
              </w:trPr>
              <w:tc>
                <w:tcPr>
                  <w:tcW w:w="2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D3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破碎</w:t>
                  </w:r>
                  <w:r>
                    <w:rPr>
                      <w:rFonts w:hint="default" w:ascii="Times New Roman" w:hAnsi="Times New Roman" w:eastAsia="宋体" w:cs="Times New Roman"/>
                      <w:i w:val="0"/>
                      <w:iCs w:val="0"/>
                      <w:color w:val="auto"/>
                      <w:kern w:val="0"/>
                      <w:sz w:val="21"/>
                      <w:szCs w:val="21"/>
                      <w:highlight w:val="none"/>
                      <w:u w:val="none"/>
                      <w:lang w:val="en-US" w:eastAsia="zh-CN"/>
                    </w:rPr>
                    <w:t>废气排放口DA001</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2A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C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0.45</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B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25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0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14</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1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点源</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15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E113°24′28.041″,N25°9′13.555″</w:t>
                  </w:r>
                </w:p>
              </w:tc>
            </w:tr>
            <w:tr w14:paraId="27C659DA">
              <w:tblPrEx>
                <w:tblCellMar>
                  <w:top w:w="0" w:type="dxa"/>
                  <w:left w:w="108" w:type="dxa"/>
                  <w:bottom w:w="0" w:type="dxa"/>
                  <w:right w:w="108" w:type="dxa"/>
                </w:tblCellMar>
              </w:tblPrEx>
              <w:trPr>
                <w:trHeight w:val="90" w:hRule="atLeast"/>
                <w:jc w:val="center"/>
              </w:trPr>
              <w:tc>
                <w:tcPr>
                  <w:tcW w:w="2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B600">
                  <w:pPr>
                    <w:widowControl/>
                    <w:spacing w:line="276" w:lineRule="auto"/>
                    <w:jc w:val="center"/>
                    <w:textAlignment w:val="center"/>
                    <w:rPr>
                      <w:rFonts w:hint="eastAsia" w:eastAsia="宋体"/>
                      <w:color w:val="auto"/>
                      <w:sz w:val="21"/>
                      <w:szCs w:val="21"/>
                      <w:highlight w:val="none"/>
                      <w:lang w:eastAsia="zh-CN"/>
                    </w:rPr>
                  </w:pPr>
                  <w:r>
                    <w:rPr>
                      <w:rFonts w:hint="eastAsia"/>
                      <w:color w:val="auto"/>
                      <w:kern w:val="0"/>
                      <w:sz w:val="21"/>
                      <w:szCs w:val="21"/>
                      <w:highlight w:val="none"/>
                      <w:lang w:val="en-US" w:eastAsia="zh-CN"/>
                    </w:rPr>
                    <w:t>造粒</w:t>
                  </w:r>
                  <w:r>
                    <w:rPr>
                      <w:color w:val="auto"/>
                      <w:kern w:val="0"/>
                      <w:sz w:val="21"/>
                      <w:szCs w:val="21"/>
                      <w:highlight w:val="none"/>
                    </w:rPr>
                    <w:t>废气排放口DA00</w:t>
                  </w:r>
                  <w:r>
                    <w:rPr>
                      <w:rFonts w:hint="eastAsia"/>
                      <w:color w:val="auto"/>
                      <w:kern w:val="0"/>
                      <w:sz w:val="21"/>
                      <w:szCs w:val="21"/>
                      <w:highlight w:val="none"/>
                      <w:lang w:val="en-US" w:eastAsia="zh-CN"/>
                    </w:rPr>
                    <w:t>2</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59C4">
                  <w:pPr>
                    <w:widowControl/>
                    <w:spacing w:line="276" w:lineRule="auto"/>
                    <w:jc w:val="center"/>
                    <w:textAlignment w:val="center"/>
                    <w:rPr>
                      <w:color w:val="auto"/>
                      <w:sz w:val="21"/>
                      <w:szCs w:val="21"/>
                      <w:highlight w:val="none"/>
                    </w:rPr>
                  </w:pPr>
                  <w:r>
                    <w:rPr>
                      <w:color w:val="auto"/>
                      <w:kern w:val="0"/>
                      <w:sz w:val="21"/>
                      <w:szCs w:val="21"/>
                      <w:highlight w:val="none"/>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EA3C">
                  <w:pPr>
                    <w:widowControl/>
                    <w:spacing w:line="276" w:lineRule="auto"/>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rPr>
                    <w:t>1.2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7298">
                  <w:pPr>
                    <w:widowControl/>
                    <w:spacing w:line="276" w:lineRule="auto"/>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rPr>
                    <w:t>50</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5D59">
                  <w:pPr>
                    <w:widowControl/>
                    <w:spacing w:line="276" w:lineRule="auto"/>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rPr>
                    <w:t>14</w:t>
                  </w:r>
                  <w:r>
                    <w:rPr>
                      <w:rFonts w:hint="eastAsia"/>
                      <w:color w:val="auto"/>
                      <w:kern w:val="0"/>
                      <w:sz w:val="21"/>
                      <w:szCs w:val="21"/>
                      <w:highlight w:val="none"/>
                      <w:lang w:val="en-US" w:eastAsia="zh-CN"/>
                    </w:rPr>
                    <w:t>.74</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2D95">
                  <w:pPr>
                    <w:widowControl/>
                    <w:spacing w:line="276" w:lineRule="auto"/>
                    <w:jc w:val="center"/>
                    <w:textAlignment w:val="center"/>
                    <w:rPr>
                      <w:color w:val="auto"/>
                      <w:sz w:val="21"/>
                      <w:szCs w:val="21"/>
                      <w:highlight w:val="none"/>
                    </w:rPr>
                  </w:pPr>
                  <w:r>
                    <w:rPr>
                      <w:color w:val="auto"/>
                      <w:kern w:val="0"/>
                      <w:sz w:val="21"/>
                      <w:szCs w:val="21"/>
                      <w:highlight w:val="none"/>
                    </w:rPr>
                    <w:t>点源</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637C">
                  <w:pPr>
                    <w:widowControl/>
                    <w:spacing w:line="276" w:lineRule="auto"/>
                    <w:jc w:val="center"/>
                    <w:textAlignment w:val="center"/>
                    <w:rPr>
                      <w:color w:val="auto"/>
                      <w:sz w:val="21"/>
                      <w:szCs w:val="21"/>
                      <w:highlight w:val="none"/>
                    </w:rPr>
                  </w:pPr>
                  <w:r>
                    <w:rPr>
                      <w:rFonts w:hint="eastAsia"/>
                      <w:color w:val="auto"/>
                      <w:kern w:val="0"/>
                      <w:sz w:val="21"/>
                      <w:szCs w:val="21"/>
                      <w:highlight w:val="none"/>
                    </w:rPr>
                    <w:t>E113°24′32.327″,</w:t>
                  </w:r>
                  <w:r>
                    <w:rPr>
                      <w:rFonts w:hint="eastAsia"/>
                      <w:color w:val="auto"/>
                      <w:kern w:val="0"/>
                      <w:sz w:val="21"/>
                      <w:szCs w:val="21"/>
                      <w:highlight w:val="none"/>
                      <w:lang w:val="en-US" w:eastAsia="zh-CN"/>
                    </w:rPr>
                    <w:t>N</w:t>
                  </w:r>
                  <w:r>
                    <w:rPr>
                      <w:rFonts w:hint="eastAsia"/>
                      <w:color w:val="auto"/>
                      <w:kern w:val="0"/>
                      <w:sz w:val="21"/>
                      <w:szCs w:val="21"/>
                      <w:highlight w:val="none"/>
                    </w:rPr>
                    <w:t>25°9′13.367″</w:t>
                  </w:r>
                </w:p>
              </w:tc>
            </w:tr>
            <w:tr w14:paraId="5FAC8272">
              <w:tblPrEx>
                <w:tblCellMar>
                  <w:top w:w="0" w:type="dxa"/>
                  <w:left w:w="108" w:type="dxa"/>
                  <w:bottom w:w="0" w:type="dxa"/>
                  <w:right w:w="108" w:type="dxa"/>
                </w:tblCellMar>
              </w:tblPrEx>
              <w:trPr>
                <w:trHeight w:val="90" w:hRule="atLeast"/>
                <w:jc w:val="center"/>
              </w:trPr>
              <w:tc>
                <w:tcPr>
                  <w:tcW w:w="2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0E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shd w:val="clear" w:color="auto" w:fill="auto"/>
                      <w:lang w:val="en-US" w:eastAsia="zh-CN"/>
                    </w:rPr>
                    <w:t>食堂油烟废气排放口DA003</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7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shd w:val="clear" w:color="auto" w:fill="auto"/>
                      <w:lang w:val="en-US" w:eastAsia="zh-CN"/>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00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shd w:val="clear" w:color="auto" w:fill="auto"/>
                      <w:lang w:val="en-US" w:eastAsia="zh-CN"/>
                    </w:rPr>
                    <w:t>0.5</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8D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shd w:val="clear" w:color="auto" w:fill="auto"/>
                      <w:lang w:val="en-US" w:eastAsia="zh-CN"/>
                    </w:rPr>
                    <w:t>60</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03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shd w:val="clear" w:color="auto" w:fill="auto"/>
                      <w:lang w:val="en-US" w:eastAsia="zh-CN"/>
                    </w:rPr>
                    <w:t>11.3</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1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rPr>
                    <w:t>点源</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4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both"/>
                    <w:textAlignment w:val="center"/>
                    <w:rPr>
                      <w:rFonts w:hint="eastAsia" w:ascii="Times New Roman" w:hAnsi="Times New Roman" w:eastAsia="宋体" w:cs="Times New Roman"/>
                      <w:i w:val="0"/>
                      <w:iCs w:val="0"/>
                      <w:color w:val="auto"/>
                      <w:kern w:val="0"/>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E113°24′32.907″,N25°9′15.988″</w:t>
                  </w:r>
                </w:p>
              </w:tc>
            </w:tr>
            <w:tr w14:paraId="785CA4FF">
              <w:tblPrEx>
                <w:tblCellMar>
                  <w:top w:w="0" w:type="dxa"/>
                  <w:left w:w="108" w:type="dxa"/>
                  <w:bottom w:w="0" w:type="dxa"/>
                  <w:right w:w="108" w:type="dxa"/>
                </w:tblCellMar>
              </w:tblPrEx>
              <w:trPr>
                <w:trHeight w:val="359" w:hRule="atLeast"/>
                <w:jc w:val="center"/>
              </w:trPr>
              <w:tc>
                <w:tcPr>
                  <w:tcW w:w="13336"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E4310">
                  <w:pPr>
                    <w:widowControl/>
                    <w:spacing w:line="276" w:lineRule="auto"/>
                    <w:jc w:val="left"/>
                    <w:textAlignment w:val="center"/>
                    <w:rPr>
                      <w:color w:val="auto"/>
                      <w:sz w:val="21"/>
                      <w:szCs w:val="21"/>
                      <w:highlight w:val="none"/>
                    </w:rPr>
                  </w:pPr>
                  <w:r>
                    <w:rPr>
                      <w:color w:val="auto"/>
                      <w:kern w:val="0"/>
                      <w:sz w:val="21"/>
                      <w:szCs w:val="21"/>
                      <w:highlight w:val="none"/>
                    </w:rPr>
                    <w:t>注：根据《大气污染物治理工程技术导则》（HJ2000-2010），排气筒的出口直径应根据出口流速确定，流速宜取15m/s左右。因此，本项目排气筒规格的设置均符合要求。</w:t>
                  </w:r>
                </w:p>
              </w:tc>
            </w:tr>
            <w:tr w14:paraId="23727EE7">
              <w:tblPrEx>
                <w:tblCellMar>
                  <w:top w:w="0" w:type="dxa"/>
                  <w:left w:w="108" w:type="dxa"/>
                  <w:bottom w:w="0" w:type="dxa"/>
                  <w:right w:w="108" w:type="dxa"/>
                </w:tblCellMar>
              </w:tblPrEx>
              <w:trPr>
                <w:trHeight w:val="359" w:hRule="atLeast"/>
                <w:jc w:val="center"/>
              </w:trPr>
              <w:tc>
                <w:tcPr>
                  <w:tcW w:w="13336"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0419">
                  <w:pPr>
                    <w:widowControl/>
                    <w:spacing w:line="276" w:lineRule="auto"/>
                    <w:jc w:val="center"/>
                    <w:rPr>
                      <w:color w:val="auto"/>
                      <w:sz w:val="21"/>
                      <w:szCs w:val="21"/>
                      <w:highlight w:val="none"/>
                    </w:rPr>
                  </w:pPr>
                </w:p>
              </w:tc>
            </w:tr>
          </w:tbl>
          <w:p w14:paraId="69E7C185">
            <w:pPr>
              <w:pStyle w:val="2"/>
              <w:tabs>
                <w:tab w:val="left" w:pos="0"/>
              </w:tabs>
              <w:ind w:firstLine="40"/>
              <w:jc w:val="center"/>
              <w:rPr>
                <w:rFonts w:hint="eastAsia" w:ascii="Times New Roman" w:cs="Times New Roman"/>
                <w:b/>
                <w:bCs/>
                <w:color w:val="auto"/>
                <w:sz w:val="21"/>
                <w:szCs w:val="21"/>
                <w:highlight w:val="none"/>
                <w:lang w:val="en-US" w:eastAsia="zh-CN"/>
              </w:rPr>
            </w:pPr>
            <w:r>
              <w:rPr>
                <w:rFonts w:ascii="Times New Roman" w:cs="Times New Roman"/>
                <w:b/>
                <w:bCs/>
                <w:color w:val="auto"/>
                <w:sz w:val="21"/>
                <w:szCs w:val="21"/>
                <w:highlight w:val="none"/>
              </w:rPr>
              <w:t>表4-1</w:t>
            </w:r>
            <w:r>
              <w:rPr>
                <w:rFonts w:hint="eastAsia" w:ascii="Times New Roman" w:cs="Times New Roman"/>
                <w:b/>
                <w:bCs/>
                <w:color w:val="auto"/>
                <w:sz w:val="21"/>
                <w:szCs w:val="21"/>
                <w:highlight w:val="none"/>
              </w:rPr>
              <w:t>1 项目废气年产排量情况一览表</w:t>
            </w:r>
            <w:r>
              <w:rPr>
                <w:rFonts w:hint="eastAsia" w:ascii="Times New Roman" w:cs="Times New Roman"/>
                <w:b/>
                <w:bCs/>
                <w:color w:val="auto"/>
                <w:sz w:val="21"/>
                <w:szCs w:val="21"/>
                <w:highlight w:val="none"/>
                <w:lang w:val="en-US" w:eastAsia="zh-CN"/>
              </w:rPr>
              <w:t xml:space="preserve"> </w:t>
            </w:r>
          </w:p>
          <w:tbl>
            <w:tblPr>
              <w:tblStyle w:val="49"/>
              <w:tblW w:w="132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650"/>
              <w:gridCol w:w="1267"/>
              <w:gridCol w:w="1050"/>
              <w:gridCol w:w="1000"/>
              <w:gridCol w:w="783"/>
              <w:gridCol w:w="921"/>
              <w:gridCol w:w="616"/>
              <w:gridCol w:w="1650"/>
              <w:gridCol w:w="567"/>
              <w:gridCol w:w="917"/>
              <w:gridCol w:w="929"/>
              <w:gridCol w:w="900"/>
              <w:gridCol w:w="750"/>
              <w:gridCol w:w="514"/>
            </w:tblGrid>
            <w:tr w14:paraId="5C6B6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6B1ED9">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产排污环节</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0EB68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排放形式</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81182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污染物种类</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B1716CB">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污染物产生情况</w:t>
                  </w:r>
                </w:p>
              </w:tc>
              <w:tc>
                <w:tcPr>
                  <w:tcW w:w="1767"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937BF2E">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治理设施基本情况</w:t>
                  </w:r>
                </w:p>
              </w:tc>
              <w:tc>
                <w:tcPr>
                  <w:tcW w:w="975"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DB1B86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污染物排放情况</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8D900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排放时间（</w:t>
                  </w:r>
                  <w:r>
                    <w:rPr>
                      <w:rFonts w:hint="default" w:ascii="Times New Roman" w:hAnsi="Times New Roman" w:eastAsia="宋体" w:cs="Times New Roman"/>
                      <w:b/>
                      <w:bCs/>
                      <w:i w:val="0"/>
                      <w:iCs w:val="0"/>
                      <w:color w:val="auto"/>
                      <w:kern w:val="0"/>
                      <w:sz w:val="21"/>
                      <w:szCs w:val="21"/>
                      <w:highlight w:val="none"/>
                      <w:u w:val="none"/>
                      <w:lang w:val="en-US" w:eastAsia="zh-CN" w:bidi="ar"/>
                    </w:rPr>
                    <w:t>h</w:t>
                  </w:r>
                  <w:r>
                    <w:rPr>
                      <w:rFonts w:hint="eastAsia" w:ascii="宋体" w:hAnsi="宋体" w:eastAsia="宋体" w:cs="宋体"/>
                      <w:b/>
                      <w:bCs/>
                      <w:i w:val="0"/>
                      <w:iCs w:val="0"/>
                      <w:color w:val="auto"/>
                      <w:kern w:val="0"/>
                      <w:sz w:val="21"/>
                      <w:szCs w:val="21"/>
                      <w:highlight w:val="none"/>
                      <w:u w:val="none"/>
                      <w:lang w:val="en-US" w:eastAsia="zh-CN" w:bidi="ar"/>
                    </w:rPr>
                    <w:t>）</w:t>
                  </w:r>
                </w:p>
              </w:tc>
            </w:tr>
            <w:tr w14:paraId="1662E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1"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B0FB88">
                  <w:pPr>
                    <w:spacing w:line="240" w:lineRule="auto"/>
                    <w:jc w:val="center"/>
                    <w:rPr>
                      <w:rFonts w:hint="eastAsia" w:ascii="宋体" w:hAnsi="宋体" w:eastAsia="宋体" w:cs="宋体"/>
                      <w:b/>
                      <w:bCs/>
                      <w:i w:val="0"/>
                      <w:iCs w:val="0"/>
                      <w:color w:val="auto"/>
                      <w:sz w:val="21"/>
                      <w:szCs w:val="21"/>
                      <w:highlight w:val="none"/>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BF1D35">
                  <w:pPr>
                    <w:spacing w:line="240" w:lineRule="auto"/>
                    <w:jc w:val="center"/>
                    <w:rPr>
                      <w:rFonts w:hint="eastAsia" w:ascii="宋体" w:hAnsi="宋体" w:eastAsia="宋体" w:cs="宋体"/>
                      <w:b/>
                      <w:bCs/>
                      <w:i w:val="0"/>
                      <w:iCs w:val="0"/>
                      <w:color w:val="auto"/>
                      <w:sz w:val="21"/>
                      <w:szCs w:val="21"/>
                      <w:highlight w:val="none"/>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37A1FE">
                  <w:pPr>
                    <w:spacing w:line="240" w:lineRule="auto"/>
                    <w:jc w:val="center"/>
                    <w:rPr>
                      <w:rFonts w:hint="eastAsia" w:ascii="宋体" w:hAnsi="宋体" w:eastAsia="宋体" w:cs="宋体"/>
                      <w:b/>
                      <w:bCs/>
                      <w:i w:val="0"/>
                      <w:iCs w:val="0"/>
                      <w:color w:val="auto"/>
                      <w:sz w:val="21"/>
                      <w:szCs w:val="21"/>
                      <w:highlight w:val="none"/>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0F242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产生浓度（</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6469FA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产生速率（kg/h）</w:t>
                  </w:r>
                </w:p>
              </w:tc>
              <w:tc>
                <w:tcPr>
                  <w:tcW w:w="29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11E84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348"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90524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处理能力（</w:t>
                  </w:r>
                  <w:r>
                    <w:rPr>
                      <w:rFonts w:hint="default" w:ascii="Times New Roman" w:hAnsi="Times New Roman" w:eastAsia="宋体" w:cs="Times New Roman"/>
                      <w:b/>
                      <w:bCs/>
                      <w:i w:val="0"/>
                      <w:iCs w:val="0"/>
                      <w:color w:val="auto"/>
                      <w:kern w:val="0"/>
                      <w:sz w:val="21"/>
                      <w:szCs w:val="21"/>
                      <w:highlight w:val="none"/>
                      <w:u w:val="none"/>
                      <w:lang w:val="en-US" w:eastAsia="zh-CN" w:bidi="ar"/>
                    </w:rPr>
                    <w:t>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r>
                    <w:rPr>
                      <w:rFonts w:hint="eastAsia" w:ascii="宋体" w:hAnsi="宋体" w:eastAsia="宋体" w:cs="宋体"/>
                      <w:b/>
                      <w:bCs/>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86E29E">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收集效率</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C4C7B7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处理工艺</w:t>
                  </w:r>
                </w:p>
              </w:tc>
              <w:tc>
                <w:tcPr>
                  <w:tcW w:w="21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308DAE">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处理效率</w:t>
                  </w:r>
                </w:p>
              </w:tc>
              <w:tc>
                <w:tcPr>
                  <w:tcW w:w="34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D4ED2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是否为可行技术</w:t>
                  </w:r>
                </w:p>
              </w:tc>
              <w:tc>
                <w:tcPr>
                  <w:tcW w:w="351"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4C2A1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排放浓度（</w:t>
                  </w:r>
                  <w:r>
                    <w:rPr>
                      <w:rFonts w:hint="default" w:ascii="Times New Roman" w:hAnsi="Times New Roman" w:eastAsia="宋体" w:cs="Times New Roman"/>
                      <w:b/>
                      <w:bCs/>
                      <w:i w:val="0"/>
                      <w:iCs w:val="0"/>
                      <w:color w:val="auto"/>
                      <w:kern w:val="0"/>
                      <w:sz w:val="21"/>
                      <w:szCs w:val="21"/>
                      <w:highlight w:val="none"/>
                      <w:u w:val="none"/>
                      <w:lang w:val="en-US" w:eastAsia="zh-CN" w:bidi="ar"/>
                    </w:rPr>
                    <w:t>mg/m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eastAsia" w:ascii="宋体" w:hAnsi="宋体" w:eastAsia="宋体" w:cs="宋体"/>
                      <w:b/>
                      <w:bCs/>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BDD773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排放速率（kg/h）</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39E909">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r>
                    <w:rPr>
                      <w:rFonts w:hint="eastAsia" w:ascii="宋体" w:hAnsi="宋体" w:eastAsia="宋体" w:cs="宋体"/>
                      <w:b/>
                      <w:bCs/>
                      <w:i w:val="0"/>
                      <w:iCs w:val="0"/>
                      <w:color w:val="auto"/>
                      <w:kern w:val="0"/>
                      <w:sz w:val="21"/>
                      <w:szCs w:val="21"/>
                      <w:highlight w:val="none"/>
                      <w:u w:val="none"/>
                      <w:lang w:val="en-US" w:eastAsia="zh-CN" w:bidi="ar"/>
                    </w:rPr>
                    <w:t>）</w:t>
                  </w: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7BE6F1">
                  <w:pPr>
                    <w:spacing w:line="240" w:lineRule="auto"/>
                    <w:jc w:val="center"/>
                    <w:rPr>
                      <w:rFonts w:hint="eastAsia" w:ascii="宋体" w:hAnsi="宋体" w:eastAsia="宋体" w:cs="宋体"/>
                      <w:b/>
                      <w:bCs/>
                      <w:i w:val="0"/>
                      <w:iCs w:val="0"/>
                      <w:color w:val="auto"/>
                      <w:sz w:val="21"/>
                      <w:szCs w:val="21"/>
                      <w:highlight w:val="none"/>
                      <w:u w:val="none"/>
                    </w:rPr>
                  </w:pPr>
                </w:p>
              </w:tc>
            </w:tr>
            <w:tr w14:paraId="3EAB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644D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破碎粉尘DA001</w:t>
                  </w:r>
                </w:p>
              </w:tc>
              <w:tc>
                <w:tcPr>
                  <w:tcW w:w="245"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03A95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有组织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65BB9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B82F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202.6 </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70FDF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1.620 </w:t>
                  </w:r>
                </w:p>
              </w:tc>
              <w:tc>
                <w:tcPr>
                  <w:tcW w:w="29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7EAC8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12.834 </w:t>
                  </w:r>
                </w:p>
              </w:tc>
              <w:tc>
                <w:tcPr>
                  <w:tcW w:w="348"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7E44F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23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E515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62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EBE1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布袋除尘器</w:t>
                  </w:r>
                </w:p>
              </w:tc>
              <w:tc>
                <w:tcPr>
                  <w:tcW w:w="21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31C1E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95</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41A71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是</w:t>
                  </w:r>
                </w:p>
              </w:tc>
              <w:tc>
                <w:tcPr>
                  <w:tcW w:w="351"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CEBCF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10.1 </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3EDD1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0.081 </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E8B10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0.642 </w:t>
                  </w:r>
                </w:p>
              </w:tc>
              <w:tc>
                <w:tcPr>
                  <w:tcW w:w="19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A976B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343E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979C68">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DE179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C4DAB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FE7E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7333F6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0.180 </w:t>
                  </w:r>
                </w:p>
              </w:tc>
              <w:tc>
                <w:tcPr>
                  <w:tcW w:w="29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08E6C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1.426 </w:t>
                  </w:r>
                </w:p>
              </w:tc>
              <w:tc>
                <w:tcPr>
                  <w:tcW w:w="348"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5F418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0C732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62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46436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加强收集，厂房通风</w:t>
                  </w:r>
                </w:p>
              </w:tc>
              <w:tc>
                <w:tcPr>
                  <w:tcW w:w="21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9AE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5152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51"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2BAA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45A451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0.180 </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9F60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1.426 </w:t>
                  </w:r>
                </w:p>
              </w:tc>
              <w:tc>
                <w:tcPr>
                  <w:tcW w:w="194"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BBB7B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1722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238E0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造粒废气DA002</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52DAF9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97F90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6D5277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2.9 </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2E6206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0.173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31A0CA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1.371 </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8BCF92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60000</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B53743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FD0F7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电捕焦油+气旋混动喷淋+</w:t>
                  </w:r>
                  <w:r>
                    <w:rPr>
                      <w:rFonts w:hint="eastAsia" w:ascii="宋体" w:hAnsi="宋体" w:cs="宋体"/>
                      <w:i w:val="0"/>
                      <w:iCs w:val="0"/>
                      <w:color w:val="auto"/>
                      <w:kern w:val="0"/>
                      <w:sz w:val="21"/>
                      <w:szCs w:val="21"/>
                      <w:highlight w:val="none"/>
                      <w:u w:val="none"/>
                      <w:lang w:val="en-US" w:eastAsia="zh-CN" w:bidi="ar"/>
                    </w:rPr>
                    <w:t>干式过滤+活性炭吸附脱附+催化燃烧+活性炭吸附</w:t>
                  </w: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0EC03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95</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57DDCA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C38C6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0.14 </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6A53D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0.009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E4D75E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0.069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D1614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3B5E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9467A8">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1F84B49">
                  <w:pPr>
                    <w:spacing w:line="240" w:lineRule="auto"/>
                    <w:jc w:val="center"/>
                    <w:rPr>
                      <w:rFonts w:hint="eastAsia" w:ascii="宋体" w:hAnsi="宋体" w:eastAsia="宋体" w:cs="宋体"/>
                      <w:i w:val="0"/>
                      <w:iCs w:val="0"/>
                      <w:color w:val="auto"/>
                      <w:sz w:val="21"/>
                      <w:szCs w:val="21"/>
                      <w:highlight w:val="none"/>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77D7B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3F63F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23.8 </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5F8E70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1.428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1D1AEA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11.307 </w:t>
                  </w: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4BDE701">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2707E7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0B70E5">
                  <w:pPr>
                    <w:spacing w:line="240" w:lineRule="auto"/>
                    <w:jc w:val="center"/>
                    <w:rPr>
                      <w:rFonts w:hint="eastAsia" w:ascii="宋体" w:hAnsi="宋体" w:eastAsia="宋体" w:cs="宋体"/>
                      <w:i w:val="0"/>
                      <w:iCs w:val="0"/>
                      <w:color w:val="auto"/>
                      <w:sz w:val="21"/>
                      <w:szCs w:val="21"/>
                      <w:highlight w:val="none"/>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B8D90B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8</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99C186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7EA13F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4.8</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E0E856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286</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468F2B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2.262</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D187C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7560B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743A41">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7F61C07">
                  <w:pPr>
                    <w:spacing w:line="240" w:lineRule="auto"/>
                    <w:jc w:val="center"/>
                    <w:rPr>
                      <w:rFonts w:hint="eastAsia" w:ascii="宋体" w:hAnsi="宋体" w:eastAsia="宋体" w:cs="宋体"/>
                      <w:i w:val="0"/>
                      <w:iCs w:val="0"/>
                      <w:color w:val="auto"/>
                      <w:sz w:val="21"/>
                      <w:szCs w:val="21"/>
                      <w:highlight w:val="none"/>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6ADCD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D4B7C3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D6BB83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7A3FC2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816E014">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1C82835">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12E0BE">
                  <w:pPr>
                    <w:spacing w:line="240" w:lineRule="auto"/>
                    <w:jc w:val="center"/>
                    <w:rPr>
                      <w:rFonts w:hint="eastAsia" w:ascii="宋体" w:hAnsi="宋体" w:eastAsia="宋体" w:cs="宋体"/>
                      <w:i w:val="0"/>
                      <w:iCs w:val="0"/>
                      <w:color w:val="auto"/>
                      <w:sz w:val="21"/>
                      <w:szCs w:val="21"/>
                      <w:highlight w:val="none"/>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27817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E4419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C77477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3A059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22E1E1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789A5E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4840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BE429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7F5B40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FBFFE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804BB1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4E9C6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0.019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09F128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0.152 </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2429D8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7259E0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950F1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加强收集，厂房通风</w:t>
                  </w: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6FAEA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C80130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56E8B7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F4A051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0.019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FA092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0.152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0DF424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4A2C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0A4F5">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C287F87">
                  <w:pPr>
                    <w:spacing w:line="240" w:lineRule="auto"/>
                    <w:jc w:val="center"/>
                    <w:rPr>
                      <w:rFonts w:hint="eastAsia" w:ascii="宋体" w:hAnsi="宋体" w:eastAsia="宋体" w:cs="宋体"/>
                      <w:i w:val="0"/>
                      <w:iCs w:val="0"/>
                      <w:color w:val="auto"/>
                      <w:sz w:val="21"/>
                      <w:szCs w:val="21"/>
                      <w:highlight w:val="none"/>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5BBA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非甲烷总烃</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BCA7EF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AFFFB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0.159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6DCF0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1.256 </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627B61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31025A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0621A3">
                  <w:pPr>
                    <w:spacing w:line="240" w:lineRule="auto"/>
                    <w:jc w:val="center"/>
                    <w:rPr>
                      <w:rFonts w:hint="eastAsia" w:ascii="宋体" w:hAnsi="宋体" w:eastAsia="宋体" w:cs="宋体"/>
                      <w:i w:val="0"/>
                      <w:iCs w:val="0"/>
                      <w:color w:val="auto"/>
                      <w:sz w:val="21"/>
                      <w:szCs w:val="21"/>
                      <w:highlight w:val="none"/>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9FB81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88E62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B39E8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69A5D8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0.159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C087E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1.256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0BFB34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0C95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12881">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BE941E6">
                  <w:pPr>
                    <w:spacing w:line="240" w:lineRule="auto"/>
                    <w:jc w:val="center"/>
                    <w:rPr>
                      <w:rFonts w:hint="eastAsia" w:ascii="宋体" w:hAnsi="宋体" w:eastAsia="宋体" w:cs="宋体"/>
                      <w:i w:val="0"/>
                      <w:iCs w:val="0"/>
                      <w:color w:val="auto"/>
                      <w:sz w:val="21"/>
                      <w:szCs w:val="21"/>
                      <w:highlight w:val="none"/>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29A2A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臭气浓度</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F3DE46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06E80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6E4911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E2DD8F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E317F5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1D1D35">
                  <w:pPr>
                    <w:spacing w:line="240" w:lineRule="auto"/>
                    <w:jc w:val="center"/>
                    <w:rPr>
                      <w:rFonts w:hint="eastAsia" w:ascii="宋体" w:hAnsi="宋体" w:eastAsia="宋体" w:cs="宋体"/>
                      <w:i w:val="0"/>
                      <w:iCs w:val="0"/>
                      <w:color w:val="auto"/>
                      <w:sz w:val="21"/>
                      <w:szCs w:val="21"/>
                      <w:highlight w:val="none"/>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6EBC03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AA3197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EC1195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969B1A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4662C8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B3CDEB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7920</w:t>
                  </w:r>
                </w:p>
              </w:tc>
            </w:tr>
            <w:tr w14:paraId="3A2A1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5" w:type="pct"/>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1144E2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厨房油烟</w:t>
                  </w:r>
                  <w:r>
                    <w:rPr>
                      <w:rFonts w:hint="default" w:ascii="Times New Roman" w:hAnsi="Times New Roman" w:cs="Times New Roman"/>
                      <w:i w:val="0"/>
                      <w:iCs w:val="0"/>
                      <w:color w:val="auto"/>
                      <w:kern w:val="0"/>
                      <w:sz w:val="21"/>
                      <w:szCs w:val="21"/>
                      <w:highlight w:val="none"/>
                      <w:u w:val="none"/>
                      <w:lang w:val="en-US" w:eastAsia="zh-CN" w:bidi="ar"/>
                    </w:rPr>
                    <w:t>DA003</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1D4E23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有组织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FD56E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油烟</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61C0A7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 </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08446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0.0159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8909F8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0.0315</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4D421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D2386F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0B7E4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静电油烟净化装置</w:t>
                  </w: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923120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D36BA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是</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5894B2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 </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2E44C1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0.0040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CB2203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0.0079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CFEFC1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1980</w:t>
                  </w:r>
                </w:p>
              </w:tc>
            </w:tr>
            <w:tr w14:paraId="7FF7C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5" w:type="pct"/>
                  <w:vMerge w:val="continue"/>
                  <w:tcBorders>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E1A6E5">
                  <w:pPr>
                    <w:spacing w:line="240" w:lineRule="auto"/>
                    <w:jc w:val="center"/>
                    <w:rPr>
                      <w:rFonts w:hint="eastAsia" w:ascii="宋体" w:hAnsi="宋体" w:eastAsia="宋体" w:cs="宋体"/>
                      <w:i w:val="0"/>
                      <w:iCs w:val="0"/>
                      <w:color w:val="auto"/>
                      <w:sz w:val="21"/>
                      <w:szCs w:val="21"/>
                      <w:highlight w:val="none"/>
                      <w:u w:val="none"/>
                    </w:rPr>
                  </w:pP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3AEFAD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无组织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8658F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油烟</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961CB2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16447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0.0068 </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470024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0.0135</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D20F12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2265B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5E570D">
                  <w:pPr>
                    <w:spacing w:line="240" w:lineRule="auto"/>
                    <w:jc w:val="center"/>
                    <w:rPr>
                      <w:rFonts w:hint="eastAsia" w:ascii="宋体" w:hAnsi="宋体" w:eastAsia="宋体" w:cs="宋体"/>
                      <w:i w:val="0"/>
                      <w:iCs w:val="0"/>
                      <w:color w:val="auto"/>
                      <w:sz w:val="21"/>
                      <w:szCs w:val="21"/>
                      <w:highlight w:val="none"/>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A2A165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20FC25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0E448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C8272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0.0068 </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40E012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0.0135 </w:t>
                  </w:r>
                </w:p>
              </w:tc>
              <w:tc>
                <w:tcPr>
                  <w:tcW w:w="194" w:type="pct"/>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503C55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1980</w:t>
                  </w:r>
                </w:p>
              </w:tc>
            </w:tr>
          </w:tbl>
          <w:p w14:paraId="6A8CCFF2">
            <w:pPr>
              <w:pStyle w:val="20"/>
              <w:numPr>
                <w:ilvl w:val="3"/>
                <w:numId w:val="0"/>
              </w:numPr>
              <w:ind w:firstLine="480" w:firstLineChars="200"/>
              <w:rPr>
                <w:color w:val="auto"/>
                <w:highlight w:val="none"/>
              </w:rPr>
            </w:pPr>
            <w:r>
              <w:rPr>
                <w:rFonts w:hint="eastAsia"/>
                <w:color w:val="auto"/>
                <w:highlight w:val="none"/>
              </w:rPr>
              <w:t>4、监测要求</w:t>
            </w:r>
          </w:p>
          <w:p w14:paraId="749E68D7">
            <w:pPr>
              <w:adjustRightInd w:val="0"/>
              <w:ind w:firstLine="480" w:firstLineChars="200"/>
              <w:contextualSpacing/>
              <w:jc w:val="left"/>
              <w:rPr>
                <w:color w:val="auto"/>
                <w:kern w:val="0"/>
                <w:highlight w:val="none"/>
              </w:rPr>
            </w:pPr>
            <w:r>
              <w:rPr>
                <w:color w:val="auto"/>
                <w:kern w:val="0"/>
                <w:highlight w:val="none"/>
              </w:rPr>
              <w:t>对照《固定污染源排污许可分类管理名录（2019年版）》（生态环境部 第11号）可知，本项目实行排污许可简化管理；本评价参照</w:t>
            </w:r>
            <w:r>
              <w:rPr>
                <w:rFonts w:hint="default" w:ascii="Times New Roman" w:hAnsi="Times New Roman" w:eastAsia="宋体" w:cs="Times New Roman"/>
                <w:b w:val="0"/>
                <w:bCs w:val="0"/>
                <w:color w:val="auto"/>
                <w:kern w:val="2"/>
                <w:sz w:val="24"/>
                <w:szCs w:val="24"/>
                <w:highlight w:val="none"/>
                <w:lang w:val="en-US" w:eastAsia="zh-CN" w:bidi="ar-SA"/>
              </w:rPr>
              <w:t>《排污单位自行监测技术指南 总则》（HJ819-2017）</w:t>
            </w:r>
            <w:r>
              <w:rPr>
                <w:rFonts w:hint="eastAsia" w:ascii="Times New Roman" w:hAnsi="Times New Roman" w:eastAsia="宋体" w:cs="Times New Roman"/>
                <w:b w:val="0"/>
                <w:bCs w:val="0"/>
                <w:color w:val="auto"/>
                <w:kern w:val="2"/>
                <w:sz w:val="24"/>
                <w:szCs w:val="24"/>
                <w:highlight w:val="none"/>
                <w:lang w:val="en-US" w:eastAsia="zh-CN" w:bidi="ar-SA"/>
              </w:rPr>
              <w:t>、</w:t>
            </w:r>
            <w:r>
              <w:rPr>
                <w:color w:val="auto"/>
                <w:kern w:val="0"/>
                <w:highlight w:val="none"/>
              </w:rPr>
              <w:t>《排污许可证申请与核发技术规范 废弃资源加工工业》（HJ1034-2019）等要求，提出项目运营期废气自行监测计划，具体详见表4</w:t>
            </w:r>
            <w:r>
              <w:rPr>
                <w:rFonts w:hint="eastAsia"/>
                <w:color w:val="auto"/>
                <w:kern w:val="0"/>
                <w:highlight w:val="none"/>
              </w:rPr>
              <w:t>-12</w:t>
            </w:r>
            <w:r>
              <w:rPr>
                <w:color w:val="auto"/>
                <w:kern w:val="0"/>
                <w:highlight w:val="none"/>
              </w:rPr>
              <w:t>。</w:t>
            </w:r>
          </w:p>
          <w:p w14:paraId="42FF9722">
            <w:pPr>
              <w:pStyle w:val="119"/>
              <w:rPr>
                <w:color w:val="auto"/>
                <w:highlight w:val="none"/>
              </w:rPr>
            </w:pPr>
            <w:r>
              <w:rPr>
                <w:color w:val="auto"/>
                <w:highlight w:val="none"/>
              </w:rPr>
              <w:t>表4-1</w:t>
            </w:r>
            <w:r>
              <w:rPr>
                <w:rFonts w:hint="eastAsia"/>
                <w:color w:val="auto"/>
                <w:highlight w:val="none"/>
              </w:rPr>
              <w:t>2</w:t>
            </w:r>
            <w:r>
              <w:rPr>
                <w:color w:val="auto"/>
                <w:highlight w:val="none"/>
              </w:rPr>
              <w:t xml:space="preserve"> 本项目废气自行监测计划</w:t>
            </w:r>
          </w:p>
          <w:tbl>
            <w:tblPr>
              <w:tblStyle w:val="4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281"/>
              <w:gridCol w:w="1962"/>
              <w:gridCol w:w="1863"/>
              <w:gridCol w:w="6402"/>
            </w:tblGrid>
            <w:tr w14:paraId="03B9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05" w:type="pct"/>
                  <w:tcBorders>
                    <w:tl2br w:val="nil"/>
                    <w:tr2bl w:val="nil"/>
                  </w:tcBorders>
                  <w:vAlign w:val="center"/>
                </w:tcPr>
                <w:p w14:paraId="7DD5DDAB">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856" w:type="pct"/>
                  <w:tcBorders>
                    <w:tl2br w:val="nil"/>
                    <w:tr2bl w:val="nil"/>
                  </w:tcBorders>
                  <w:vAlign w:val="center"/>
                </w:tcPr>
                <w:p w14:paraId="3E82FCE0">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w:t>
                  </w:r>
                </w:p>
              </w:tc>
              <w:tc>
                <w:tcPr>
                  <w:tcW w:w="736" w:type="pct"/>
                  <w:tcBorders>
                    <w:tl2br w:val="nil"/>
                    <w:tr2bl w:val="nil"/>
                  </w:tcBorders>
                  <w:vAlign w:val="center"/>
                </w:tcPr>
                <w:p w14:paraId="3D6B4C4F">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c>
                <w:tcPr>
                  <w:tcW w:w="699" w:type="pct"/>
                  <w:tcBorders>
                    <w:tl2br w:val="nil"/>
                    <w:tr2bl w:val="nil"/>
                  </w:tcBorders>
                  <w:vAlign w:val="center"/>
                </w:tcPr>
                <w:p w14:paraId="370DD31D">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监测频次</w:t>
                  </w:r>
                </w:p>
              </w:tc>
              <w:tc>
                <w:tcPr>
                  <w:tcW w:w="2402" w:type="pct"/>
                  <w:tcBorders>
                    <w:tl2br w:val="nil"/>
                    <w:tr2bl w:val="nil"/>
                  </w:tcBorders>
                  <w:vAlign w:val="center"/>
                </w:tcPr>
                <w:p w14:paraId="3F84622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执行排放标准</w:t>
                  </w:r>
                </w:p>
              </w:tc>
            </w:tr>
            <w:tr w14:paraId="5B7B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305" w:type="pct"/>
                  <w:tcBorders>
                    <w:tl2br w:val="nil"/>
                    <w:tr2bl w:val="nil"/>
                  </w:tcBorders>
                  <w:shd w:val="clear" w:color="auto" w:fill="auto"/>
                  <w:vAlign w:val="center"/>
                </w:tcPr>
                <w:p w14:paraId="23D11480">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1</w:t>
                  </w:r>
                </w:p>
              </w:tc>
              <w:tc>
                <w:tcPr>
                  <w:tcW w:w="856" w:type="pct"/>
                  <w:tcBorders>
                    <w:tl2br w:val="nil"/>
                    <w:tr2bl w:val="nil"/>
                  </w:tcBorders>
                  <w:shd w:val="clear" w:color="auto" w:fill="auto"/>
                  <w:vAlign w:val="center"/>
                </w:tcPr>
                <w:p w14:paraId="22B0F4A7">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DA001出口</w:t>
                  </w:r>
                </w:p>
              </w:tc>
              <w:tc>
                <w:tcPr>
                  <w:tcW w:w="736" w:type="pct"/>
                  <w:tcBorders>
                    <w:tl2br w:val="nil"/>
                    <w:tr2bl w:val="nil"/>
                  </w:tcBorders>
                  <w:shd w:val="clear" w:color="auto" w:fill="auto"/>
                  <w:vAlign w:val="center"/>
                </w:tcPr>
                <w:p w14:paraId="7C55955C">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颗粒物</w:t>
                  </w:r>
                </w:p>
              </w:tc>
              <w:tc>
                <w:tcPr>
                  <w:tcW w:w="699" w:type="pct"/>
                  <w:tcBorders>
                    <w:tl2br w:val="nil"/>
                    <w:tr2bl w:val="nil"/>
                  </w:tcBorders>
                  <w:shd w:val="clear" w:color="auto" w:fill="auto"/>
                  <w:vAlign w:val="center"/>
                </w:tcPr>
                <w:p w14:paraId="17413911">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lang w:eastAsia="zh-CN"/>
                    </w:rPr>
                    <w:t>/年</w:t>
                  </w:r>
                </w:p>
              </w:tc>
              <w:tc>
                <w:tcPr>
                  <w:tcW w:w="2402" w:type="pct"/>
                  <w:tcBorders>
                    <w:tl2br w:val="nil"/>
                    <w:tr2bl w:val="nil"/>
                  </w:tcBorders>
                  <w:shd w:val="clear" w:color="auto" w:fill="auto"/>
                  <w:vAlign w:val="center"/>
                </w:tcPr>
                <w:p w14:paraId="0A89038A">
                  <w:pPr>
                    <w:pStyle w:val="9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bidi="ar-SA"/>
                    </w:rPr>
                    <w:t>《排污许可证申请与核发技术规范 废弃资源加工工业》（HJ1034-2019）表32废弃资源加工工业排污单位废气自行监测点位、监测指标及最低监测频次</w:t>
                  </w:r>
                </w:p>
              </w:tc>
            </w:tr>
            <w:tr w14:paraId="4687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05" w:type="pct"/>
                  <w:tcBorders>
                    <w:tl2br w:val="nil"/>
                    <w:tr2bl w:val="nil"/>
                  </w:tcBorders>
                  <w:shd w:val="clear" w:color="auto" w:fill="auto"/>
                  <w:vAlign w:val="center"/>
                </w:tcPr>
                <w:p w14:paraId="1EE40607">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2</w:t>
                  </w:r>
                </w:p>
              </w:tc>
              <w:tc>
                <w:tcPr>
                  <w:tcW w:w="856" w:type="pct"/>
                  <w:vMerge w:val="restart"/>
                  <w:tcBorders>
                    <w:tl2br w:val="nil"/>
                    <w:tr2bl w:val="nil"/>
                  </w:tcBorders>
                  <w:vAlign w:val="center"/>
                </w:tcPr>
                <w:p w14:paraId="51B15240">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DA00</w:t>
                  </w:r>
                  <w:r>
                    <w:rPr>
                      <w:rFonts w:hint="default" w:ascii="Times New Roman" w:hAnsi="Times New Roman" w:eastAsia="宋体"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rPr>
                    <w:t>出口</w:t>
                  </w:r>
                </w:p>
              </w:tc>
              <w:tc>
                <w:tcPr>
                  <w:tcW w:w="736" w:type="pct"/>
                  <w:tcBorders>
                    <w:tl2br w:val="nil"/>
                    <w:tr2bl w:val="nil"/>
                  </w:tcBorders>
                  <w:vAlign w:val="center"/>
                </w:tcPr>
                <w:p w14:paraId="248F499F">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颗粒物</w:t>
                  </w:r>
                </w:p>
              </w:tc>
              <w:tc>
                <w:tcPr>
                  <w:tcW w:w="699" w:type="pct"/>
                  <w:tcBorders>
                    <w:tl2br w:val="nil"/>
                    <w:tr2bl w:val="nil"/>
                  </w:tcBorders>
                  <w:vAlign w:val="center"/>
                </w:tcPr>
                <w:p w14:paraId="6812E58B">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半</w:t>
                  </w:r>
                  <w:r>
                    <w:rPr>
                      <w:rFonts w:hint="default" w:ascii="Times New Roman" w:hAnsi="Times New Roman" w:eastAsia="宋体" w:cs="Times New Roman"/>
                      <w:b w:val="0"/>
                      <w:bCs/>
                      <w:color w:val="auto"/>
                      <w:sz w:val="21"/>
                      <w:szCs w:val="21"/>
                      <w:highlight w:val="none"/>
                    </w:rPr>
                    <w:t>年</w:t>
                  </w:r>
                </w:p>
              </w:tc>
              <w:tc>
                <w:tcPr>
                  <w:tcW w:w="2402" w:type="pct"/>
                  <w:vMerge w:val="restart"/>
                  <w:tcBorders>
                    <w:tl2br w:val="nil"/>
                    <w:tr2bl w:val="nil"/>
                  </w:tcBorders>
                  <w:vAlign w:val="center"/>
                </w:tcPr>
                <w:p w14:paraId="120EE31D">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SA"/>
                    </w:rPr>
                    <w:t>《排污许可证申请与核发技术规范 废弃资源加工工业》（HJ1034-2019）表32废弃资源加工工业排污单位废气自行监测点位、监测指标及最低监测频次</w:t>
                  </w:r>
                </w:p>
              </w:tc>
            </w:tr>
            <w:tr w14:paraId="7689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305" w:type="pct"/>
                  <w:tcBorders>
                    <w:tl2br w:val="nil"/>
                    <w:tr2bl w:val="nil"/>
                  </w:tcBorders>
                  <w:shd w:val="clear" w:color="auto" w:fill="auto"/>
                  <w:vAlign w:val="center"/>
                </w:tcPr>
                <w:p w14:paraId="68A28273">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3</w:t>
                  </w:r>
                </w:p>
              </w:tc>
              <w:tc>
                <w:tcPr>
                  <w:tcW w:w="856" w:type="pct"/>
                  <w:vMerge w:val="continue"/>
                  <w:tcBorders>
                    <w:tl2br w:val="nil"/>
                    <w:tr2bl w:val="nil"/>
                  </w:tcBorders>
                  <w:vAlign w:val="center"/>
                </w:tcPr>
                <w:p w14:paraId="102AC8A3">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p>
              </w:tc>
              <w:tc>
                <w:tcPr>
                  <w:tcW w:w="736" w:type="pct"/>
                  <w:tcBorders>
                    <w:tl2br w:val="nil"/>
                    <w:tr2bl w:val="nil"/>
                  </w:tcBorders>
                  <w:vAlign w:val="center"/>
                </w:tcPr>
                <w:p w14:paraId="6729BA4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非甲烷总烃</w:t>
                  </w:r>
                </w:p>
              </w:tc>
              <w:tc>
                <w:tcPr>
                  <w:tcW w:w="699" w:type="pct"/>
                  <w:tcBorders>
                    <w:tl2br w:val="nil"/>
                    <w:tr2bl w:val="nil"/>
                  </w:tcBorders>
                  <w:vAlign w:val="center"/>
                </w:tcPr>
                <w:p w14:paraId="43A1493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半</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11C713B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r>
            <w:tr w14:paraId="0DD8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5" w:type="pct"/>
                  <w:tcBorders>
                    <w:tl2br w:val="nil"/>
                    <w:tr2bl w:val="nil"/>
                  </w:tcBorders>
                  <w:shd w:val="clear" w:color="auto" w:fill="auto"/>
                  <w:vAlign w:val="center"/>
                </w:tcPr>
                <w:p w14:paraId="7A6C2B69">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4</w:t>
                  </w:r>
                </w:p>
              </w:tc>
              <w:tc>
                <w:tcPr>
                  <w:tcW w:w="856" w:type="pct"/>
                  <w:vMerge w:val="continue"/>
                  <w:tcBorders>
                    <w:tl2br w:val="nil"/>
                    <w:tr2bl w:val="nil"/>
                  </w:tcBorders>
                  <w:shd w:val="clear" w:color="auto" w:fill="auto"/>
                  <w:vAlign w:val="center"/>
                </w:tcPr>
                <w:p w14:paraId="7D066C4E">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p>
              </w:tc>
              <w:tc>
                <w:tcPr>
                  <w:tcW w:w="736" w:type="pct"/>
                  <w:tcBorders>
                    <w:tl2br w:val="nil"/>
                    <w:tr2bl w:val="nil"/>
                  </w:tcBorders>
                  <w:shd w:val="clear" w:color="auto" w:fill="auto"/>
                  <w:vAlign w:val="center"/>
                </w:tcPr>
                <w:p w14:paraId="248761EE">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臭气浓度</w:t>
                  </w:r>
                </w:p>
              </w:tc>
              <w:tc>
                <w:tcPr>
                  <w:tcW w:w="699" w:type="pct"/>
                  <w:tcBorders>
                    <w:tl2br w:val="nil"/>
                    <w:tr2bl w:val="nil"/>
                  </w:tcBorders>
                  <w:vAlign w:val="center"/>
                </w:tcPr>
                <w:p w14:paraId="4668EB89">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半</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0F46AE1D">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r>
            <w:tr w14:paraId="0DE0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05" w:type="pct"/>
                  <w:tcBorders>
                    <w:tl2br w:val="nil"/>
                    <w:tr2bl w:val="nil"/>
                  </w:tcBorders>
                  <w:shd w:val="clear" w:color="auto" w:fill="auto"/>
                  <w:vAlign w:val="center"/>
                </w:tcPr>
                <w:p w14:paraId="79F213D4">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5</w:t>
                  </w:r>
                </w:p>
              </w:tc>
              <w:tc>
                <w:tcPr>
                  <w:tcW w:w="856" w:type="pct"/>
                  <w:tcBorders>
                    <w:tl2br w:val="nil"/>
                    <w:tr2bl w:val="nil"/>
                  </w:tcBorders>
                  <w:vAlign w:val="center"/>
                </w:tcPr>
                <w:p w14:paraId="4783AC18">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DA003出口</w:t>
                  </w:r>
                </w:p>
              </w:tc>
              <w:tc>
                <w:tcPr>
                  <w:tcW w:w="736" w:type="pct"/>
                  <w:tcBorders>
                    <w:tl2br w:val="nil"/>
                    <w:tr2bl w:val="nil"/>
                  </w:tcBorders>
                  <w:vAlign w:val="center"/>
                </w:tcPr>
                <w:p w14:paraId="226A4A2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新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油烟</w:t>
                  </w:r>
                </w:p>
              </w:tc>
              <w:tc>
                <w:tcPr>
                  <w:tcW w:w="699" w:type="pct"/>
                  <w:tcBorders>
                    <w:tl2br w:val="nil"/>
                    <w:tr2bl w:val="nil"/>
                  </w:tcBorders>
                  <w:vAlign w:val="center"/>
                </w:tcPr>
                <w:p w14:paraId="0DD9327D">
                  <w:pPr>
                    <w:pStyle w:val="64"/>
                    <w:keepNext w:val="0"/>
                    <w:keepLines w:val="0"/>
                    <w:pageBreakBefore w:val="0"/>
                    <w:kinsoku/>
                    <w:overflowPunct/>
                    <w:topLinePunct w:val="0"/>
                    <w:bidi w:val="0"/>
                    <w:spacing w:line="240" w:lineRule="auto"/>
                    <w:ind w:firstLine="0" w:firstLineChars="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tcBorders>
                    <w:tl2br w:val="nil"/>
                    <w:tr2bl w:val="nil"/>
                  </w:tcBorders>
                  <w:vAlign w:val="center"/>
                </w:tcPr>
                <w:p w14:paraId="5ACB7C6A">
                  <w:pPr>
                    <w:pStyle w:val="64"/>
                    <w:keepNext w:val="0"/>
                    <w:keepLines w:val="0"/>
                    <w:pageBreakBefore w:val="0"/>
                    <w:kinsoku/>
                    <w:overflowPunct/>
                    <w:topLinePunct w:val="0"/>
                    <w:bidi w:val="0"/>
                    <w:spacing w:line="240" w:lineRule="auto"/>
                    <w:ind w:firstLine="0" w:firstLineChars="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SA"/>
                    </w:rPr>
                    <w:t>《排污单位自行监测技术指南 总则》（HJ819-2017）</w:t>
                  </w:r>
                </w:p>
              </w:tc>
            </w:tr>
            <w:tr w14:paraId="1251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05" w:type="pct"/>
                  <w:vMerge w:val="restart"/>
                  <w:tcBorders>
                    <w:tl2br w:val="nil"/>
                    <w:tr2bl w:val="nil"/>
                  </w:tcBorders>
                  <w:vAlign w:val="center"/>
                </w:tcPr>
                <w:p w14:paraId="6C9C918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6</w:t>
                  </w:r>
                </w:p>
              </w:tc>
              <w:tc>
                <w:tcPr>
                  <w:tcW w:w="856" w:type="pct"/>
                  <w:vMerge w:val="restart"/>
                  <w:tcBorders>
                    <w:tl2br w:val="nil"/>
                    <w:tr2bl w:val="nil"/>
                  </w:tcBorders>
                  <w:vAlign w:val="center"/>
                </w:tcPr>
                <w:p w14:paraId="4329A89E">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厂界上风向1个点位、下风向3个点位</w:t>
                  </w:r>
                </w:p>
              </w:tc>
              <w:tc>
                <w:tcPr>
                  <w:tcW w:w="736" w:type="pct"/>
                  <w:tcBorders>
                    <w:tl2br w:val="nil"/>
                    <w:tr2bl w:val="nil"/>
                  </w:tcBorders>
                  <w:vAlign w:val="center"/>
                </w:tcPr>
                <w:p w14:paraId="4E9E0ED2">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颗粒物</w:t>
                  </w:r>
                </w:p>
              </w:tc>
              <w:tc>
                <w:tcPr>
                  <w:tcW w:w="699" w:type="pct"/>
                  <w:tcBorders>
                    <w:tl2br w:val="nil"/>
                    <w:tr2bl w:val="nil"/>
                  </w:tcBorders>
                  <w:vAlign w:val="center"/>
                </w:tcPr>
                <w:p w14:paraId="51D76959">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restart"/>
                  <w:tcBorders>
                    <w:tl2br w:val="nil"/>
                    <w:tr2bl w:val="nil"/>
                  </w:tcBorders>
                  <w:vAlign w:val="center"/>
                </w:tcPr>
                <w:p w14:paraId="37B28165">
                  <w:pPr>
                    <w:pStyle w:val="45"/>
                    <w:keepNext w:val="0"/>
                    <w:keepLines w:val="0"/>
                    <w:pageBreakBefore w:val="0"/>
                    <w:kinsoku/>
                    <w:overflowPunct/>
                    <w:topLinePunct w:val="0"/>
                    <w:autoSpaceDE w:val="0"/>
                    <w:autoSpaceDN w:val="0"/>
                    <w:bidi w:val="0"/>
                    <w:adjustRightInd w:val="0"/>
                    <w:spacing w:before="0" w:beforeAutospacing="0" w:after="0" w:afterAutospacing="0"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SA"/>
                    </w:rPr>
                    <w:t>《排污许可证申请与核发技术规范 废弃资源加工工业》（HJ1034-2019）</w:t>
                  </w:r>
                  <w:r>
                    <w:rPr>
                      <w:rFonts w:hint="default" w:ascii="Times New Roman" w:hAnsi="Times New Roman" w:eastAsia="宋体" w:cs="Times New Roman"/>
                      <w:bCs/>
                      <w:color w:val="auto"/>
                      <w:sz w:val="21"/>
                      <w:szCs w:val="21"/>
                      <w:highlight w:val="none"/>
                    </w:rPr>
                    <w:t>表33 废弃资源加工工业排污单位无组织废气排放监测点位、监测指标及最低监测频次</w:t>
                  </w:r>
                </w:p>
              </w:tc>
            </w:tr>
            <w:tr w14:paraId="119F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5" w:type="pct"/>
                  <w:vMerge w:val="continue"/>
                  <w:tcBorders>
                    <w:tl2br w:val="nil"/>
                    <w:tr2bl w:val="nil"/>
                  </w:tcBorders>
                  <w:vAlign w:val="center"/>
                </w:tcPr>
                <w:p w14:paraId="47D32A6A">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856" w:type="pct"/>
                  <w:vMerge w:val="continue"/>
                  <w:tcBorders>
                    <w:tl2br w:val="nil"/>
                    <w:tr2bl w:val="nil"/>
                  </w:tcBorders>
                  <w:vAlign w:val="center"/>
                </w:tcPr>
                <w:p w14:paraId="6222755A">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736" w:type="pct"/>
                  <w:tcBorders>
                    <w:tl2br w:val="nil"/>
                    <w:tr2bl w:val="nil"/>
                  </w:tcBorders>
                  <w:vAlign w:val="center"/>
                </w:tcPr>
                <w:p w14:paraId="0A033839">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非甲烷总烃</w:t>
                  </w:r>
                </w:p>
              </w:tc>
              <w:tc>
                <w:tcPr>
                  <w:tcW w:w="699" w:type="pct"/>
                  <w:tcBorders>
                    <w:tl2br w:val="nil"/>
                    <w:tr2bl w:val="nil"/>
                  </w:tcBorders>
                  <w:vAlign w:val="center"/>
                </w:tcPr>
                <w:p w14:paraId="79ED7004">
                  <w:pPr>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25BEAE96">
                  <w:pPr>
                    <w:keepNext w:val="0"/>
                    <w:keepLines w:val="0"/>
                    <w:pageBreakBefore w:val="0"/>
                    <w:widowControl/>
                    <w:kinsoku/>
                    <w:overflowPunct/>
                    <w:topLinePunct w:val="0"/>
                    <w:bidi w:val="0"/>
                    <w:spacing w:line="240" w:lineRule="auto"/>
                    <w:ind w:firstLine="0" w:firstLineChars="0"/>
                    <w:jc w:val="center"/>
                    <w:rPr>
                      <w:rFonts w:hint="default" w:ascii="Times New Roman" w:hAnsi="Times New Roman" w:eastAsia="宋体" w:cs="Times New Roman"/>
                      <w:bCs/>
                      <w:color w:val="auto"/>
                      <w:sz w:val="21"/>
                      <w:szCs w:val="21"/>
                      <w:highlight w:val="none"/>
                    </w:rPr>
                  </w:pPr>
                </w:p>
              </w:tc>
            </w:tr>
            <w:tr w14:paraId="347C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05" w:type="pct"/>
                  <w:vMerge w:val="continue"/>
                  <w:tcBorders>
                    <w:tl2br w:val="nil"/>
                    <w:tr2bl w:val="nil"/>
                  </w:tcBorders>
                  <w:vAlign w:val="center"/>
                </w:tcPr>
                <w:p w14:paraId="09988895">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856" w:type="pct"/>
                  <w:vMerge w:val="continue"/>
                  <w:tcBorders>
                    <w:tl2br w:val="nil"/>
                    <w:tr2bl w:val="nil"/>
                  </w:tcBorders>
                  <w:vAlign w:val="center"/>
                </w:tcPr>
                <w:p w14:paraId="7173FF36">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736" w:type="pct"/>
                  <w:tcBorders>
                    <w:tl2br w:val="nil"/>
                    <w:tr2bl w:val="nil"/>
                  </w:tcBorders>
                  <w:vAlign w:val="center"/>
                </w:tcPr>
                <w:p w14:paraId="5D0ED551">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氨</w:t>
                  </w:r>
                </w:p>
              </w:tc>
              <w:tc>
                <w:tcPr>
                  <w:tcW w:w="699" w:type="pct"/>
                  <w:tcBorders>
                    <w:tl2br w:val="nil"/>
                    <w:tr2bl w:val="nil"/>
                  </w:tcBorders>
                  <w:vAlign w:val="center"/>
                </w:tcPr>
                <w:p w14:paraId="5232BF4A">
                  <w:pPr>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6D1DB740">
                  <w:pPr>
                    <w:pStyle w:val="45"/>
                    <w:keepNext w:val="0"/>
                    <w:keepLines w:val="0"/>
                    <w:pageBreakBefore w:val="0"/>
                    <w:kinsoku/>
                    <w:overflowPunct/>
                    <w:topLinePunct w:val="0"/>
                    <w:autoSpaceDE w:val="0"/>
                    <w:autoSpaceDN w:val="0"/>
                    <w:bidi w:val="0"/>
                    <w:adjustRightInd w:val="0"/>
                    <w:spacing w:before="0" w:beforeAutospacing="0" w:after="0" w:afterAutospacing="0" w:line="240" w:lineRule="auto"/>
                    <w:ind w:firstLine="0" w:firstLineChars="0"/>
                    <w:jc w:val="center"/>
                    <w:rPr>
                      <w:rFonts w:hint="default" w:ascii="Times New Roman" w:hAnsi="Times New Roman" w:eastAsia="宋体" w:cs="Times New Roman"/>
                      <w:bCs/>
                      <w:color w:val="auto"/>
                      <w:sz w:val="21"/>
                      <w:szCs w:val="21"/>
                      <w:highlight w:val="none"/>
                    </w:rPr>
                  </w:pPr>
                </w:p>
              </w:tc>
            </w:tr>
            <w:tr w14:paraId="112C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5" w:type="pct"/>
                  <w:vMerge w:val="continue"/>
                  <w:tcBorders>
                    <w:tl2br w:val="nil"/>
                    <w:tr2bl w:val="nil"/>
                  </w:tcBorders>
                  <w:vAlign w:val="center"/>
                </w:tcPr>
                <w:p w14:paraId="56DF3C70">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856" w:type="pct"/>
                  <w:vMerge w:val="continue"/>
                  <w:tcBorders>
                    <w:tl2br w:val="nil"/>
                    <w:tr2bl w:val="nil"/>
                  </w:tcBorders>
                  <w:vAlign w:val="center"/>
                </w:tcPr>
                <w:p w14:paraId="29EC0E22">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736" w:type="pct"/>
                  <w:tcBorders>
                    <w:tl2br w:val="nil"/>
                    <w:tr2bl w:val="nil"/>
                  </w:tcBorders>
                  <w:vAlign w:val="center"/>
                </w:tcPr>
                <w:p w14:paraId="66B5322D">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硫化氢</w:t>
                  </w:r>
                </w:p>
              </w:tc>
              <w:tc>
                <w:tcPr>
                  <w:tcW w:w="699" w:type="pct"/>
                  <w:tcBorders>
                    <w:tl2br w:val="nil"/>
                    <w:tr2bl w:val="nil"/>
                  </w:tcBorders>
                  <w:vAlign w:val="center"/>
                </w:tcPr>
                <w:p w14:paraId="4F6C757A">
                  <w:pPr>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087FE0CA">
                  <w:pPr>
                    <w:keepNext w:val="0"/>
                    <w:keepLines w:val="0"/>
                    <w:pageBreakBefore w:val="0"/>
                    <w:widowControl/>
                    <w:kinsoku/>
                    <w:overflowPunct/>
                    <w:topLinePunct w:val="0"/>
                    <w:bidi w:val="0"/>
                    <w:spacing w:line="240" w:lineRule="auto"/>
                    <w:ind w:firstLine="0" w:firstLineChars="0"/>
                    <w:jc w:val="center"/>
                    <w:rPr>
                      <w:rFonts w:hint="default" w:ascii="Times New Roman" w:hAnsi="Times New Roman" w:eastAsia="宋体" w:cs="Times New Roman"/>
                      <w:bCs/>
                      <w:color w:val="auto"/>
                      <w:sz w:val="21"/>
                      <w:szCs w:val="21"/>
                      <w:highlight w:val="none"/>
                    </w:rPr>
                  </w:pPr>
                </w:p>
              </w:tc>
            </w:tr>
            <w:tr w14:paraId="175A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305" w:type="pct"/>
                  <w:vMerge w:val="continue"/>
                  <w:tcBorders>
                    <w:tl2br w:val="nil"/>
                    <w:tr2bl w:val="nil"/>
                  </w:tcBorders>
                  <w:vAlign w:val="center"/>
                </w:tcPr>
                <w:p w14:paraId="63CD4645">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856" w:type="pct"/>
                  <w:vMerge w:val="continue"/>
                  <w:tcBorders>
                    <w:tl2br w:val="nil"/>
                    <w:tr2bl w:val="nil"/>
                  </w:tcBorders>
                  <w:vAlign w:val="center"/>
                </w:tcPr>
                <w:p w14:paraId="7AE1ADBE">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736" w:type="pct"/>
                  <w:tcBorders>
                    <w:tl2br w:val="nil"/>
                    <w:tr2bl w:val="nil"/>
                  </w:tcBorders>
                  <w:vAlign w:val="center"/>
                </w:tcPr>
                <w:p w14:paraId="3BB45195">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臭气浓度</w:t>
                  </w:r>
                </w:p>
              </w:tc>
              <w:tc>
                <w:tcPr>
                  <w:tcW w:w="699" w:type="pct"/>
                  <w:tcBorders>
                    <w:tl2br w:val="nil"/>
                    <w:tr2bl w:val="nil"/>
                  </w:tcBorders>
                  <w:vAlign w:val="center"/>
                </w:tcPr>
                <w:p w14:paraId="668702A4">
                  <w:pPr>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57F628CE">
                  <w:pPr>
                    <w:pStyle w:val="45"/>
                    <w:keepNext w:val="0"/>
                    <w:keepLines w:val="0"/>
                    <w:pageBreakBefore w:val="0"/>
                    <w:kinsoku/>
                    <w:overflowPunct/>
                    <w:topLinePunct w:val="0"/>
                    <w:autoSpaceDE w:val="0"/>
                    <w:autoSpaceDN w:val="0"/>
                    <w:bidi w:val="0"/>
                    <w:adjustRightInd w:val="0"/>
                    <w:spacing w:before="0" w:beforeAutospacing="0" w:after="0" w:afterAutospacing="0" w:line="240" w:lineRule="auto"/>
                    <w:ind w:firstLine="0" w:firstLineChars="0"/>
                    <w:jc w:val="center"/>
                    <w:rPr>
                      <w:rFonts w:hint="default" w:ascii="Times New Roman" w:hAnsi="Times New Roman" w:eastAsia="宋体" w:cs="Times New Roman"/>
                      <w:bCs/>
                      <w:color w:val="auto"/>
                      <w:sz w:val="21"/>
                      <w:szCs w:val="21"/>
                      <w:highlight w:val="none"/>
                    </w:rPr>
                  </w:pPr>
                </w:p>
              </w:tc>
            </w:tr>
            <w:tr w14:paraId="1195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05" w:type="pct"/>
                  <w:tcBorders>
                    <w:tl2br w:val="nil"/>
                    <w:tr2bl w:val="nil"/>
                  </w:tcBorders>
                  <w:vAlign w:val="center"/>
                </w:tcPr>
                <w:p w14:paraId="5E838729">
                  <w:pPr>
                    <w:pStyle w:val="97"/>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7</w:t>
                  </w:r>
                </w:p>
              </w:tc>
              <w:tc>
                <w:tcPr>
                  <w:tcW w:w="856" w:type="pct"/>
                  <w:tcBorders>
                    <w:tl2br w:val="nil"/>
                    <w:tr2bl w:val="nil"/>
                  </w:tcBorders>
                  <w:shd w:val="clear" w:color="auto" w:fill="auto"/>
                  <w:vAlign w:val="center"/>
                </w:tcPr>
                <w:p w14:paraId="16C266CF">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厂区内3个点位</w:t>
                  </w:r>
                </w:p>
              </w:tc>
              <w:tc>
                <w:tcPr>
                  <w:tcW w:w="736" w:type="pct"/>
                  <w:tcBorders>
                    <w:tl2br w:val="nil"/>
                    <w:tr2bl w:val="nil"/>
                  </w:tcBorders>
                  <w:shd w:val="clear" w:color="auto" w:fill="auto"/>
                  <w:vAlign w:val="center"/>
                </w:tcPr>
                <w:p w14:paraId="4623623A">
                  <w:pPr>
                    <w:pStyle w:val="9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非甲烷总烃</w:t>
                  </w:r>
                </w:p>
              </w:tc>
              <w:tc>
                <w:tcPr>
                  <w:tcW w:w="699" w:type="pct"/>
                  <w:tcBorders>
                    <w:tl2br w:val="nil"/>
                    <w:tr2bl w:val="nil"/>
                  </w:tcBorders>
                  <w:vAlign w:val="center"/>
                </w:tcPr>
                <w:p w14:paraId="32280413">
                  <w:pPr>
                    <w:keepNext w:val="0"/>
                    <w:keepLines w:val="0"/>
                    <w:pageBreakBefore w:val="0"/>
                    <w:kinsoku/>
                    <w:overflowPunct/>
                    <w:topLinePunct w:val="0"/>
                    <w:bidi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w:t>
                  </w:r>
                  <w:r>
                    <w:rPr>
                      <w:rFonts w:hint="default" w:ascii="Times New Roman" w:hAnsi="Times New Roman" w:eastAsia="宋体" w:cs="Times New Roman"/>
                      <w:b w:val="0"/>
                      <w:bCs/>
                      <w:color w:val="auto"/>
                      <w:sz w:val="21"/>
                      <w:szCs w:val="21"/>
                      <w:highlight w:val="none"/>
                      <w:lang w:val="en-US" w:eastAsia="zh-CN"/>
                    </w:rPr>
                    <w:t>次</w:t>
                  </w:r>
                  <w:r>
                    <w:rPr>
                      <w:rFonts w:hint="default" w:ascii="Times New Roman" w:hAnsi="Times New Roman" w:eastAsia="宋体" w:cs="Times New Roman"/>
                      <w:b w:val="0"/>
                      <w:bCs/>
                      <w:color w:val="auto"/>
                      <w:sz w:val="21"/>
                      <w:szCs w:val="21"/>
                      <w:highlight w:val="none"/>
                    </w:rPr>
                    <w:t>/年</w:t>
                  </w:r>
                </w:p>
              </w:tc>
              <w:tc>
                <w:tcPr>
                  <w:tcW w:w="2402" w:type="pct"/>
                  <w:vMerge w:val="continue"/>
                  <w:tcBorders>
                    <w:tl2br w:val="nil"/>
                    <w:tr2bl w:val="nil"/>
                  </w:tcBorders>
                  <w:vAlign w:val="center"/>
                </w:tcPr>
                <w:p w14:paraId="6F65E4AE">
                  <w:pPr>
                    <w:pStyle w:val="45"/>
                    <w:keepNext w:val="0"/>
                    <w:keepLines w:val="0"/>
                    <w:pageBreakBefore w:val="0"/>
                    <w:kinsoku/>
                    <w:overflowPunct/>
                    <w:topLinePunct w:val="0"/>
                    <w:autoSpaceDE w:val="0"/>
                    <w:autoSpaceDN w:val="0"/>
                    <w:bidi w:val="0"/>
                    <w:adjustRightInd w:val="0"/>
                    <w:spacing w:before="0" w:beforeAutospacing="0" w:after="0" w:afterAutospacing="0" w:line="240" w:lineRule="auto"/>
                    <w:ind w:firstLine="0" w:firstLineChars="0"/>
                    <w:jc w:val="center"/>
                    <w:rPr>
                      <w:rFonts w:hint="default" w:ascii="Times New Roman" w:hAnsi="Times New Roman" w:eastAsia="宋体" w:cs="Times New Roman"/>
                      <w:color w:val="auto"/>
                      <w:spacing w:val="-2"/>
                      <w:kern w:val="2"/>
                      <w:sz w:val="21"/>
                      <w:szCs w:val="21"/>
                      <w:highlight w:val="none"/>
                    </w:rPr>
                  </w:pPr>
                </w:p>
              </w:tc>
            </w:tr>
          </w:tbl>
          <w:p w14:paraId="4CE7894C">
            <w:pPr>
              <w:rPr>
                <w:color w:val="auto"/>
                <w:highlight w:val="none"/>
              </w:rPr>
            </w:pPr>
          </w:p>
        </w:tc>
      </w:tr>
    </w:tbl>
    <w:p w14:paraId="68DEB2B9">
      <w:pPr>
        <w:rPr>
          <w:color w:val="auto"/>
          <w:highlight w:val="none"/>
        </w:rPr>
        <w:sectPr>
          <w:pgSz w:w="16838" w:h="11906" w:orient="landscape"/>
          <w:pgMar w:top="1797" w:right="1440" w:bottom="1797" w:left="1440" w:header="851" w:footer="680" w:gutter="0"/>
          <w:pgNumType w:fmt="numberInDash"/>
          <w:cols w:space="720" w:num="1"/>
          <w:docGrid w:type="linesAndChars" w:linePitch="312" w:charSpace="0"/>
        </w:sectPr>
      </w:pPr>
    </w:p>
    <w:bookmarkEnd w:id="118"/>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3718"/>
      </w:tblGrid>
      <w:tr w14:paraId="5D27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3" w:hRule="atLeast"/>
        </w:trPr>
        <w:tc>
          <w:tcPr>
            <w:tcW w:w="161" w:type="pct"/>
            <w:vAlign w:val="center"/>
          </w:tcPr>
          <w:p w14:paraId="570D9B09">
            <w:pPr>
              <w:adjustRightInd w:val="0"/>
              <w:jc w:val="center"/>
              <w:rPr>
                <w:color w:val="auto"/>
                <w:highlight w:val="none"/>
              </w:rPr>
            </w:pPr>
            <w:r>
              <w:rPr>
                <w:b/>
                <w:bCs/>
                <w:color w:val="auto"/>
                <w:highlight w:val="none"/>
              </w:rPr>
              <w:t>运营期环境影响和保护措施</w:t>
            </w:r>
          </w:p>
        </w:tc>
        <w:tc>
          <w:tcPr>
            <w:tcW w:w="4838" w:type="pct"/>
          </w:tcPr>
          <w:p w14:paraId="2C54B37F">
            <w:pPr>
              <w:pStyle w:val="10"/>
              <w:numPr>
                <w:ilvl w:val="2"/>
                <w:numId w:val="0"/>
              </w:numPr>
              <w:ind w:left="480"/>
              <w:rPr>
                <w:color w:val="auto"/>
                <w:highlight w:val="none"/>
              </w:rPr>
            </w:pPr>
            <w:r>
              <w:rPr>
                <w:color w:val="auto"/>
                <w:highlight w:val="none"/>
              </w:rPr>
              <w:t>二、废水污染源</w:t>
            </w:r>
          </w:p>
          <w:p w14:paraId="3736A563">
            <w:pPr>
              <w:keepNext/>
              <w:keepLines/>
              <w:tabs>
                <w:tab w:val="left" w:pos="0"/>
              </w:tabs>
              <w:ind w:firstLine="480" w:firstLineChars="200"/>
              <w:outlineLvl w:val="3"/>
              <w:rPr>
                <w:b/>
                <w:bCs/>
                <w:color w:val="auto"/>
                <w:highlight w:val="none"/>
              </w:rPr>
            </w:pPr>
            <w:r>
              <w:rPr>
                <w:b/>
                <w:bCs/>
                <w:color w:val="auto"/>
                <w:highlight w:val="none"/>
              </w:rPr>
              <w:t>1、污染源源强分析</w:t>
            </w:r>
          </w:p>
          <w:p w14:paraId="22AA5047">
            <w:pPr>
              <w:keepNext/>
              <w:keepLines/>
              <w:numPr>
                <w:ilvl w:val="4"/>
                <w:numId w:val="0"/>
              </w:numPr>
              <w:tabs>
                <w:tab w:val="left" w:pos="0"/>
              </w:tabs>
              <w:ind w:left="-960" w:firstLine="1440"/>
              <w:outlineLvl w:val="4"/>
              <w:rPr>
                <w:b/>
                <w:bCs/>
                <w:color w:val="auto"/>
                <w:highlight w:val="none"/>
              </w:rPr>
            </w:pPr>
            <w:r>
              <w:rPr>
                <w:b/>
                <w:bCs/>
                <w:color w:val="auto"/>
                <w:highlight w:val="none"/>
              </w:rPr>
              <w:t>（1）生活污水</w:t>
            </w:r>
          </w:p>
          <w:p w14:paraId="72455328">
            <w:pPr>
              <w:pStyle w:val="115"/>
              <w:snapToGrid/>
              <w:ind w:firstLine="480"/>
              <w:rPr>
                <w:color w:val="auto"/>
                <w:kern w:val="0"/>
                <w:highlight w:val="none"/>
              </w:rPr>
            </w:pPr>
            <w:r>
              <w:rPr>
                <w:rFonts w:hint="eastAsia"/>
                <w:color w:val="auto"/>
                <w:kern w:val="0"/>
                <w:highlight w:val="none"/>
                <w:lang w:val="en-US" w:eastAsia="zh-CN"/>
              </w:rPr>
              <w:t>本</w:t>
            </w:r>
            <w:r>
              <w:rPr>
                <w:color w:val="auto"/>
                <w:kern w:val="0"/>
                <w:highlight w:val="none"/>
              </w:rPr>
              <w:t>项目</w:t>
            </w:r>
            <w:r>
              <w:rPr>
                <w:color w:val="auto"/>
                <w:highlight w:val="none"/>
              </w:rPr>
              <w:t>劳动定员100名</w:t>
            </w:r>
            <w:r>
              <w:rPr>
                <w:color w:val="auto"/>
                <w:kern w:val="0"/>
                <w:highlight w:val="none"/>
              </w:rPr>
              <w:t xml:space="preserve">，在项目内食宿，年工作时间330天，实行8小时三班制。参考《广东省用水定额 第3部分：生活》（DB44/T 1461.3-2021）中，“表A.1 </w:t>
            </w:r>
            <w:r>
              <w:rPr>
                <w:color w:val="auto"/>
                <w:highlight w:val="none"/>
              </w:rPr>
              <w:t>国家机构有食堂和浴室，</w:t>
            </w:r>
            <w:r>
              <w:rPr>
                <w:color w:val="auto"/>
                <w:kern w:val="0"/>
                <w:highlight w:val="none"/>
              </w:rPr>
              <w:t>取38m</w:t>
            </w:r>
            <w:r>
              <w:rPr>
                <w:color w:val="auto"/>
                <w:kern w:val="0"/>
                <w:highlight w:val="none"/>
                <w:vertAlign w:val="superscript"/>
              </w:rPr>
              <w:t>3</w:t>
            </w:r>
            <w:r>
              <w:rPr>
                <w:color w:val="auto"/>
                <w:kern w:val="0"/>
                <w:highlight w:val="none"/>
              </w:rPr>
              <w:t>/（人·a），因此项目生活用水量为3800</w:t>
            </w:r>
            <w:r>
              <w:rPr>
                <w:color w:val="auto"/>
                <w:highlight w:val="none"/>
              </w:rPr>
              <w:t>m</w:t>
            </w:r>
            <w:r>
              <w:rPr>
                <w:color w:val="auto"/>
                <w:highlight w:val="none"/>
                <w:vertAlign w:val="superscript"/>
              </w:rPr>
              <w:t>3</w:t>
            </w:r>
            <w:r>
              <w:rPr>
                <w:color w:val="auto"/>
                <w:highlight w:val="none"/>
              </w:rPr>
              <w:t>/a</w:t>
            </w:r>
            <w:r>
              <w:rPr>
                <w:color w:val="auto"/>
                <w:kern w:val="0"/>
                <w:highlight w:val="none"/>
              </w:rPr>
              <w:t>。</w:t>
            </w:r>
          </w:p>
          <w:p w14:paraId="3F52043B">
            <w:pPr>
              <w:pStyle w:val="115"/>
              <w:snapToGrid/>
              <w:ind w:firstLine="480"/>
              <w:rPr>
                <w:color w:val="auto"/>
                <w:kern w:val="0"/>
                <w:highlight w:val="none"/>
              </w:rPr>
            </w:pPr>
            <w:r>
              <w:rPr>
                <w:color w:val="auto"/>
                <w:kern w:val="0"/>
                <w:highlight w:val="none"/>
              </w:rPr>
              <w:t>按照排污系数0.9计算，则生活污水排放量为3420</w:t>
            </w:r>
            <w:r>
              <w:rPr>
                <w:color w:val="auto"/>
                <w:highlight w:val="none"/>
              </w:rPr>
              <w:t>m</w:t>
            </w:r>
            <w:r>
              <w:rPr>
                <w:color w:val="auto"/>
                <w:highlight w:val="none"/>
                <w:vertAlign w:val="superscript"/>
              </w:rPr>
              <w:t>3</w:t>
            </w:r>
            <w:r>
              <w:rPr>
                <w:color w:val="auto"/>
                <w:highlight w:val="none"/>
              </w:rPr>
              <w:t>/a</w:t>
            </w:r>
            <w:r>
              <w:rPr>
                <w:color w:val="auto"/>
                <w:kern w:val="0"/>
                <w:highlight w:val="none"/>
              </w:rPr>
              <w:t>。本项目办公生活污水经过三级化粪池、隔油隔渣池处理后经管网排入园区污水处理厂，处理达标后排入武江（乐昌城-犁市河段）。</w:t>
            </w:r>
          </w:p>
          <w:p w14:paraId="48FF59B1">
            <w:pPr>
              <w:pStyle w:val="119"/>
              <w:rPr>
                <w:color w:val="auto"/>
                <w:highlight w:val="none"/>
              </w:rPr>
            </w:pPr>
            <w:r>
              <w:rPr>
                <w:color w:val="auto"/>
                <w:highlight w:val="none"/>
              </w:rPr>
              <w:t>表4-13 污水污染源源强核算结果及相关参数一览表</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2047"/>
              <w:gridCol w:w="2358"/>
              <w:gridCol w:w="1654"/>
              <w:gridCol w:w="1745"/>
              <w:gridCol w:w="1969"/>
              <w:gridCol w:w="1829"/>
            </w:tblGrid>
            <w:tr w14:paraId="2866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99" w:type="pct"/>
                  <w:shd w:val="clear" w:color="auto" w:fill="auto"/>
                  <w:vAlign w:val="center"/>
                </w:tcPr>
                <w:p w14:paraId="3753A03C">
                  <w:pPr>
                    <w:widowControl/>
                    <w:spacing w:line="276" w:lineRule="auto"/>
                    <w:jc w:val="center"/>
                    <w:textAlignment w:val="center"/>
                    <w:rPr>
                      <w:b/>
                      <w:bCs/>
                      <w:color w:val="auto"/>
                      <w:sz w:val="21"/>
                      <w:szCs w:val="21"/>
                      <w:highlight w:val="none"/>
                    </w:rPr>
                  </w:pPr>
                  <w:r>
                    <w:rPr>
                      <w:b/>
                      <w:bCs/>
                      <w:color w:val="auto"/>
                      <w:kern w:val="0"/>
                      <w:sz w:val="21"/>
                      <w:szCs w:val="21"/>
                      <w:highlight w:val="none"/>
                    </w:rPr>
                    <w:t>污水种类</w:t>
                  </w:r>
                </w:p>
              </w:tc>
              <w:tc>
                <w:tcPr>
                  <w:tcW w:w="759" w:type="pct"/>
                  <w:shd w:val="clear" w:color="auto" w:fill="auto"/>
                  <w:vAlign w:val="center"/>
                </w:tcPr>
                <w:p w14:paraId="55DA4271">
                  <w:pPr>
                    <w:widowControl/>
                    <w:spacing w:line="276" w:lineRule="auto"/>
                    <w:jc w:val="center"/>
                    <w:textAlignment w:val="center"/>
                    <w:rPr>
                      <w:b/>
                      <w:bCs/>
                      <w:color w:val="auto"/>
                      <w:sz w:val="21"/>
                      <w:szCs w:val="21"/>
                      <w:highlight w:val="none"/>
                    </w:rPr>
                  </w:pPr>
                  <w:r>
                    <w:rPr>
                      <w:b/>
                      <w:bCs/>
                      <w:color w:val="auto"/>
                      <w:kern w:val="0"/>
                      <w:sz w:val="21"/>
                      <w:szCs w:val="21"/>
                      <w:highlight w:val="none"/>
                    </w:rPr>
                    <w:t>污染物</w:t>
                  </w:r>
                </w:p>
              </w:tc>
              <w:tc>
                <w:tcPr>
                  <w:tcW w:w="874" w:type="pct"/>
                  <w:shd w:val="clear" w:color="auto" w:fill="auto"/>
                  <w:vAlign w:val="center"/>
                </w:tcPr>
                <w:p w14:paraId="5D7BC7FF">
                  <w:pPr>
                    <w:widowControl/>
                    <w:spacing w:line="276" w:lineRule="auto"/>
                    <w:jc w:val="center"/>
                    <w:textAlignment w:val="center"/>
                    <w:rPr>
                      <w:b/>
                      <w:bCs/>
                      <w:color w:val="auto"/>
                      <w:sz w:val="21"/>
                      <w:szCs w:val="21"/>
                      <w:highlight w:val="none"/>
                    </w:rPr>
                  </w:pPr>
                  <w:r>
                    <w:rPr>
                      <w:b/>
                      <w:bCs/>
                      <w:color w:val="auto"/>
                      <w:kern w:val="0"/>
                      <w:sz w:val="21"/>
                      <w:szCs w:val="21"/>
                      <w:highlight w:val="none"/>
                    </w:rPr>
                    <w:t>产生浓度（mg/L）</w:t>
                  </w:r>
                </w:p>
              </w:tc>
              <w:tc>
                <w:tcPr>
                  <w:tcW w:w="613" w:type="pct"/>
                  <w:shd w:val="clear" w:color="auto" w:fill="auto"/>
                  <w:vAlign w:val="center"/>
                </w:tcPr>
                <w:p w14:paraId="3F045382">
                  <w:pPr>
                    <w:widowControl/>
                    <w:spacing w:line="276" w:lineRule="auto"/>
                    <w:jc w:val="center"/>
                    <w:textAlignment w:val="center"/>
                    <w:rPr>
                      <w:b/>
                      <w:bCs/>
                      <w:color w:val="auto"/>
                      <w:sz w:val="21"/>
                      <w:szCs w:val="21"/>
                      <w:highlight w:val="none"/>
                    </w:rPr>
                  </w:pPr>
                  <w:r>
                    <w:rPr>
                      <w:b/>
                      <w:bCs/>
                      <w:color w:val="auto"/>
                      <w:kern w:val="0"/>
                      <w:sz w:val="21"/>
                      <w:szCs w:val="21"/>
                      <w:highlight w:val="none"/>
                    </w:rPr>
                    <w:t>产生量（t/a）</w:t>
                  </w:r>
                </w:p>
              </w:tc>
              <w:tc>
                <w:tcPr>
                  <w:tcW w:w="647" w:type="pct"/>
                  <w:shd w:val="clear" w:color="auto" w:fill="auto"/>
                  <w:noWrap/>
                  <w:vAlign w:val="center"/>
                </w:tcPr>
                <w:p w14:paraId="1141B54A">
                  <w:pPr>
                    <w:widowControl/>
                    <w:spacing w:line="276" w:lineRule="auto"/>
                    <w:jc w:val="center"/>
                    <w:textAlignment w:val="center"/>
                    <w:rPr>
                      <w:b/>
                      <w:bCs/>
                      <w:color w:val="auto"/>
                      <w:sz w:val="21"/>
                      <w:szCs w:val="21"/>
                      <w:highlight w:val="none"/>
                    </w:rPr>
                  </w:pPr>
                  <w:r>
                    <w:rPr>
                      <w:b/>
                      <w:bCs/>
                      <w:color w:val="auto"/>
                      <w:kern w:val="0"/>
                      <w:sz w:val="21"/>
                      <w:szCs w:val="21"/>
                      <w:highlight w:val="none"/>
                    </w:rPr>
                    <w:t>处理效率</w:t>
                  </w:r>
                </w:p>
              </w:tc>
              <w:tc>
                <w:tcPr>
                  <w:tcW w:w="730" w:type="pct"/>
                  <w:shd w:val="clear" w:color="auto" w:fill="auto"/>
                  <w:vAlign w:val="center"/>
                </w:tcPr>
                <w:p w14:paraId="20749198">
                  <w:pPr>
                    <w:widowControl/>
                    <w:spacing w:line="276" w:lineRule="auto"/>
                    <w:jc w:val="center"/>
                    <w:textAlignment w:val="center"/>
                    <w:rPr>
                      <w:b/>
                      <w:bCs/>
                      <w:color w:val="auto"/>
                      <w:sz w:val="21"/>
                      <w:szCs w:val="21"/>
                      <w:highlight w:val="none"/>
                    </w:rPr>
                  </w:pPr>
                  <w:r>
                    <w:rPr>
                      <w:b/>
                      <w:bCs/>
                      <w:color w:val="auto"/>
                      <w:kern w:val="0"/>
                      <w:sz w:val="21"/>
                      <w:szCs w:val="21"/>
                      <w:highlight w:val="none"/>
                    </w:rPr>
                    <w:t>排放浓度（mg/L）</w:t>
                  </w:r>
                </w:p>
              </w:tc>
              <w:tc>
                <w:tcPr>
                  <w:tcW w:w="676" w:type="pct"/>
                  <w:shd w:val="clear" w:color="auto" w:fill="auto"/>
                  <w:vAlign w:val="center"/>
                </w:tcPr>
                <w:p w14:paraId="3451375F">
                  <w:pPr>
                    <w:widowControl/>
                    <w:spacing w:line="276" w:lineRule="auto"/>
                    <w:jc w:val="center"/>
                    <w:textAlignment w:val="center"/>
                    <w:rPr>
                      <w:b/>
                      <w:bCs/>
                      <w:color w:val="auto"/>
                      <w:sz w:val="21"/>
                      <w:szCs w:val="21"/>
                      <w:highlight w:val="none"/>
                    </w:rPr>
                  </w:pPr>
                  <w:r>
                    <w:rPr>
                      <w:b/>
                      <w:bCs/>
                      <w:color w:val="auto"/>
                      <w:kern w:val="0"/>
                      <w:sz w:val="21"/>
                      <w:szCs w:val="21"/>
                      <w:highlight w:val="none"/>
                    </w:rPr>
                    <w:t>排放量（t/a）</w:t>
                  </w:r>
                </w:p>
              </w:tc>
            </w:tr>
            <w:tr w14:paraId="0F7B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restart"/>
                  <w:shd w:val="clear" w:color="auto" w:fill="auto"/>
                  <w:vAlign w:val="center"/>
                </w:tcPr>
                <w:p w14:paraId="06F9D433">
                  <w:pPr>
                    <w:widowControl/>
                    <w:spacing w:line="276" w:lineRule="auto"/>
                    <w:jc w:val="center"/>
                    <w:textAlignment w:val="center"/>
                    <w:rPr>
                      <w:color w:val="auto"/>
                      <w:kern w:val="0"/>
                      <w:sz w:val="21"/>
                      <w:szCs w:val="21"/>
                      <w:highlight w:val="none"/>
                    </w:rPr>
                  </w:pPr>
                  <w:r>
                    <w:rPr>
                      <w:color w:val="auto"/>
                      <w:kern w:val="0"/>
                      <w:sz w:val="21"/>
                      <w:szCs w:val="21"/>
                      <w:highlight w:val="none"/>
                    </w:rPr>
                    <w:t>生活污水</w:t>
                  </w:r>
                </w:p>
                <w:p w14:paraId="5A1D44BA">
                  <w:pPr>
                    <w:widowControl/>
                    <w:spacing w:line="276" w:lineRule="auto"/>
                    <w:jc w:val="center"/>
                    <w:textAlignment w:val="center"/>
                    <w:rPr>
                      <w:color w:val="auto"/>
                      <w:sz w:val="21"/>
                      <w:szCs w:val="21"/>
                      <w:highlight w:val="none"/>
                    </w:rPr>
                  </w:pPr>
                  <w:r>
                    <w:rPr>
                      <w:color w:val="auto"/>
                      <w:kern w:val="0"/>
                      <w:sz w:val="21"/>
                      <w:szCs w:val="21"/>
                      <w:highlight w:val="none"/>
                    </w:rPr>
                    <w:t>3420m</w:t>
                  </w:r>
                  <w:r>
                    <w:rPr>
                      <w:color w:val="auto"/>
                      <w:kern w:val="0"/>
                      <w:sz w:val="21"/>
                      <w:szCs w:val="21"/>
                      <w:highlight w:val="none"/>
                      <w:vertAlign w:val="superscript"/>
                    </w:rPr>
                    <w:t>3</w:t>
                  </w:r>
                  <w:r>
                    <w:rPr>
                      <w:color w:val="auto"/>
                      <w:kern w:val="0"/>
                      <w:sz w:val="21"/>
                      <w:szCs w:val="21"/>
                      <w:highlight w:val="none"/>
                    </w:rPr>
                    <w:t>/a</w:t>
                  </w:r>
                </w:p>
              </w:tc>
              <w:tc>
                <w:tcPr>
                  <w:tcW w:w="759" w:type="pct"/>
                  <w:shd w:val="clear" w:color="auto" w:fill="auto"/>
                  <w:vAlign w:val="center"/>
                </w:tcPr>
                <w:p w14:paraId="0F12FED2">
                  <w:pPr>
                    <w:widowControl/>
                    <w:spacing w:line="276" w:lineRule="auto"/>
                    <w:jc w:val="center"/>
                    <w:textAlignment w:val="center"/>
                    <w:rPr>
                      <w:color w:val="auto"/>
                      <w:sz w:val="21"/>
                      <w:szCs w:val="21"/>
                      <w:highlight w:val="none"/>
                    </w:rPr>
                  </w:pPr>
                  <w:r>
                    <w:rPr>
                      <w:color w:val="auto"/>
                      <w:kern w:val="0"/>
                      <w:sz w:val="20"/>
                      <w:szCs w:val="20"/>
                      <w:highlight w:val="none"/>
                    </w:rPr>
                    <w:t>COD</w:t>
                  </w:r>
                  <w:r>
                    <w:rPr>
                      <w:color w:val="auto"/>
                      <w:kern w:val="0"/>
                      <w:sz w:val="20"/>
                      <w:szCs w:val="20"/>
                      <w:highlight w:val="none"/>
                      <w:vertAlign w:val="subscript"/>
                    </w:rPr>
                    <w:t>Cr</w:t>
                  </w:r>
                </w:p>
              </w:tc>
              <w:tc>
                <w:tcPr>
                  <w:tcW w:w="874" w:type="pct"/>
                  <w:shd w:val="clear" w:color="auto" w:fill="auto"/>
                  <w:vAlign w:val="center"/>
                </w:tcPr>
                <w:p w14:paraId="7F3F29BA">
                  <w:pPr>
                    <w:widowControl/>
                    <w:jc w:val="center"/>
                    <w:textAlignment w:val="center"/>
                    <w:rPr>
                      <w:color w:val="auto"/>
                      <w:sz w:val="21"/>
                      <w:szCs w:val="21"/>
                      <w:highlight w:val="none"/>
                    </w:rPr>
                  </w:pPr>
                  <w:r>
                    <w:rPr>
                      <w:color w:val="auto"/>
                      <w:kern w:val="0"/>
                      <w:sz w:val="20"/>
                      <w:szCs w:val="20"/>
                      <w:highlight w:val="none"/>
                    </w:rPr>
                    <w:t>250</w:t>
                  </w:r>
                </w:p>
              </w:tc>
              <w:tc>
                <w:tcPr>
                  <w:tcW w:w="613" w:type="pct"/>
                  <w:shd w:val="clear" w:color="auto" w:fill="auto"/>
                  <w:vAlign w:val="center"/>
                </w:tcPr>
                <w:p w14:paraId="042A1A5D">
                  <w:pPr>
                    <w:widowControl/>
                    <w:jc w:val="center"/>
                    <w:textAlignment w:val="center"/>
                    <w:rPr>
                      <w:color w:val="auto"/>
                      <w:sz w:val="21"/>
                      <w:szCs w:val="21"/>
                      <w:highlight w:val="none"/>
                    </w:rPr>
                  </w:pPr>
                  <w:r>
                    <w:rPr>
                      <w:color w:val="auto"/>
                      <w:kern w:val="0"/>
                      <w:sz w:val="20"/>
                      <w:szCs w:val="20"/>
                      <w:highlight w:val="none"/>
                      <w:lang w:bidi="ar"/>
                    </w:rPr>
                    <w:t xml:space="preserve">0.855 </w:t>
                  </w:r>
                </w:p>
              </w:tc>
              <w:tc>
                <w:tcPr>
                  <w:tcW w:w="647" w:type="pct"/>
                  <w:shd w:val="clear" w:color="auto" w:fill="auto"/>
                  <w:noWrap/>
                  <w:vAlign w:val="center"/>
                </w:tcPr>
                <w:p w14:paraId="4668D3A1">
                  <w:pPr>
                    <w:widowControl/>
                    <w:jc w:val="center"/>
                    <w:textAlignment w:val="center"/>
                    <w:rPr>
                      <w:color w:val="auto"/>
                      <w:sz w:val="21"/>
                      <w:szCs w:val="21"/>
                      <w:highlight w:val="none"/>
                    </w:rPr>
                  </w:pPr>
                  <w:r>
                    <w:rPr>
                      <w:color w:val="auto"/>
                      <w:kern w:val="0"/>
                      <w:sz w:val="20"/>
                      <w:szCs w:val="20"/>
                      <w:highlight w:val="none"/>
                    </w:rPr>
                    <w:t>20%</w:t>
                  </w:r>
                </w:p>
              </w:tc>
              <w:tc>
                <w:tcPr>
                  <w:tcW w:w="730" w:type="pct"/>
                  <w:shd w:val="clear" w:color="auto" w:fill="auto"/>
                  <w:vAlign w:val="center"/>
                </w:tcPr>
                <w:p w14:paraId="3D11950A">
                  <w:pPr>
                    <w:widowControl/>
                    <w:jc w:val="center"/>
                    <w:textAlignment w:val="center"/>
                    <w:rPr>
                      <w:color w:val="auto"/>
                      <w:sz w:val="21"/>
                      <w:szCs w:val="21"/>
                      <w:highlight w:val="none"/>
                    </w:rPr>
                  </w:pPr>
                  <w:r>
                    <w:rPr>
                      <w:color w:val="auto"/>
                      <w:kern w:val="0"/>
                      <w:sz w:val="20"/>
                      <w:szCs w:val="20"/>
                      <w:highlight w:val="none"/>
                    </w:rPr>
                    <w:t>200</w:t>
                  </w:r>
                </w:p>
              </w:tc>
              <w:tc>
                <w:tcPr>
                  <w:tcW w:w="676" w:type="pct"/>
                  <w:shd w:val="clear" w:color="auto" w:fill="auto"/>
                  <w:vAlign w:val="center"/>
                </w:tcPr>
                <w:p w14:paraId="3B859C91">
                  <w:pPr>
                    <w:widowControl/>
                    <w:jc w:val="center"/>
                    <w:textAlignment w:val="center"/>
                    <w:rPr>
                      <w:color w:val="auto"/>
                      <w:sz w:val="21"/>
                      <w:szCs w:val="21"/>
                      <w:highlight w:val="none"/>
                    </w:rPr>
                  </w:pPr>
                  <w:r>
                    <w:rPr>
                      <w:color w:val="auto"/>
                      <w:kern w:val="0"/>
                      <w:sz w:val="21"/>
                      <w:szCs w:val="21"/>
                      <w:highlight w:val="none"/>
                    </w:rPr>
                    <w:t xml:space="preserve">0.684 </w:t>
                  </w:r>
                </w:p>
              </w:tc>
            </w:tr>
            <w:tr w14:paraId="1987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continue"/>
                  <w:shd w:val="clear" w:color="auto" w:fill="auto"/>
                  <w:vAlign w:val="center"/>
                </w:tcPr>
                <w:p w14:paraId="0538DCA1">
                  <w:pPr>
                    <w:widowControl/>
                    <w:spacing w:line="276" w:lineRule="auto"/>
                    <w:jc w:val="center"/>
                    <w:textAlignment w:val="center"/>
                    <w:rPr>
                      <w:color w:val="auto"/>
                      <w:sz w:val="21"/>
                      <w:szCs w:val="21"/>
                      <w:highlight w:val="none"/>
                    </w:rPr>
                  </w:pPr>
                </w:p>
              </w:tc>
              <w:tc>
                <w:tcPr>
                  <w:tcW w:w="759" w:type="pct"/>
                  <w:shd w:val="clear" w:color="auto" w:fill="auto"/>
                  <w:vAlign w:val="center"/>
                </w:tcPr>
                <w:p w14:paraId="46253C88">
                  <w:pPr>
                    <w:widowControl/>
                    <w:spacing w:line="276" w:lineRule="auto"/>
                    <w:jc w:val="center"/>
                    <w:textAlignment w:val="center"/>
                    <w:rPr>
                      <w:color w:val="auto"/>
                      <w:sz w:val="21"/>
                      <w:szCs w:val="21"/>
                      <w:highlight w:val="none"/>
                    </w:rPr>
                  </w:pPr>
                  <w:r>
                    <w:rPr>
                      <w:color w:val="auto"/>
                      <w:kern w:val="0"/>
                      <w:sz w:val="20"/>
                      <w:szCs w:val="20"/>
                      <w:highlight w:val="none"/>
                    </w:rPr>
                    <w:t>BOD</w:t>
                  </w:r>
                  <w:r>
                    <w:rPr>
                      <w:color w:val="auto"/>
                      <w:kern w:val="0"/>
                      <w:sz w:val="20"/>
                      <w:szCs w:val="20"/>
                      <w:highlight w:val="none"/>
                      <w:vertAlign w:val="subscript"/>
                    </w:rPr>
                    <w:t>5</w:t>
                  </w:r>
                </w:p>
              </w:tc>
              <w:tc>
                <w:tcPr>
                  <w:tcW w:w="874" w:type="pct"/>
                  <w:shd w:val="clear" w:color="auto" w:fill="auto"/>
                  <w:vAlign w:val="center"/>
                </w:tcPr>
                <w:p w14:paraId="7B2F3731">
                  <w:pPr>
                    <w:widowControl/>
                    <w:jc w:val="center"/>
                    <w:textAlignment w:val="center"/>
                    <w:rPr>
                      <w:color w:val="auto"/>
                      <w:sz w:val="21"/>
                      <w:szCs w:val="21"/>
                      <w:highlight w:val="none"/>
                    </w:rPr>
                  </w:pPr>
                  <w:r>
                    <w:rPr>
                      <w:color w:val="auto"/>
                      <w:kern w:val="0"/>
                      <w:sz w:val="20"/>
                      <w:szCs w:val="20"/>
                      <w:highlight w:val="none"/>
                    </w:rPr>
                    <w:t>150</w:t>
                  </w:r>
                </w:p>
              </w:tc>
              <w:tc>
                <w:tcPr>
                  <w:tcW w:w="613" w:type="pct"/>
                  <w:shd w:val="clear" w:color="auto" w:fill="auto"/>
                  <w:vAlign w:val="center"/>
                </w:tcPr>
                <w:p w14:paraId="2A575EE1">
                  <w:pPr>
                    <w:widowControl/>
                    <w:jc w:val="center"/>
                    <w:textAlignment w:val="center"/>
                    <w:rPr>
                      <w:color w:val="auto"/>
                      <w:sz w:val="21"/>
                      <w:szCs w:val="21"/>
                      <w:highlight w:val="none"/>
                    </w:rPr>
                  </w:pPr>
                  <w:r>
                    <w:rPr>
                      <w:color w:val="auto"/>
                      <w:kern w:val="0"/>
                      <w:sz w:val="20"/>
                      <w:szCs w:val="20"/>
                      <w:highlight w:val="none"/>
                      <w:lang w:bidi="ar"/>
                    </w:rPr>
                    <w:t xml:space="preserve">0.513 </w:t>
                  </w:r>
                </w:p>
              </w:tc>
              <w:tc>
                <w:tcPr>
                  <w:tcW w:w="647" w:type="pct"/>
                  <w:shd w:val="clear" w:color="auto" w:fill="auto"/>
                  <w:noWrap/>
                  <w:vAlign w:val="center"/>
                </w:tcPr>
                <w:p w14:paraId="678558B5">
                  <w:pPr>
                    <w:widowControl/>
                    <w:jc w:val="center"/>
                    <w:textAlignment w:val="center"/>
                    <w:rPr>
                      <w:color w:val="auto"/>
                      <w:sz w:val="21"/>
                      <w:szCs w:val="21"/>
                      <w:highlight w:val="none"/>
                    </w:rPr>
                  </w:pPr>
                  <w:r>
                    <w:rPr>
                      <w:color w:val="auto"/>
                      <w:kern w:val="0"/>
                      <w:sz w:val="20"/>
                      <w:szCs w:val="20"/>
                      <w:highlight w:val="none"/>
                    </w:rPr>
                    <w:t>5%</w:t>
                  </w:r>
                </w:p>
              </w:tc>
              <w:tc>
                <w:tcPr>
                  <w:tcW w:w="730" w:type="pct"/>
                  <w:shd w:val="clear" w:color="auto" w:fill="auto"/>
                  <w:vAlign w:val="center"/>
                </w:tcPr>
                <w:p w14:paraId="217FE8D0">
                  <w:pPr>
                    <w:widowControl/>
                    <w:jc w:val="center"/>
                    <w:textAlignment w:val="center"/>
                    <w:rPr>
                      <w:color w:val="auto"/>
                      <w:sz w:val="21"/>
                      <w:szCs w:val="21"/>
                      <w:highlight w:val="none"/>
                    </w:rPr>
                  </w:pPr>
                  <w:r>
                    <w:rPr>
                      <w:color w:val="auto"/>
                      <w:kern w:val="0"/>
                      <w:sz w:val="20"/>
                      <w:szCs w:val="20"/>
                      <w:highlight w:val="none"/>
                    </w:rPr>
                    <w:t>142.5</w:t>
                  </w:r>
                </w:p>
              </w:tc>
              <w:tc>
                <w:tcPr>
                  <w:tcW w:w="676" w:type="pct"/>
                  <w:shd w:val="clear" w:color="auto" w:fill="auto"/>
                  <w:vAlign w:val="center"/>
                </w:tcPr>
                <w:p w14:paraId="39DC8CBA">
                  <w:pPr>
                    <w:widowControl/>
                    <w:jc w:val="center"/>
                    <w:textAlignment w:val="center"/>
                    <w:rPr>
                      <w:color w:val="auto"/>
                      <w:sz w:val="21"/>
                      <w:szCs w:val="21"/>
                      <w:highlight w:val="none"/>
                    </w:rPr>
                  </w:pPr>
                  <w:r>
                    <w:rPr>
                      <w:color w:val="auto"/>
                      <w:kern w:val="0"/>
                      <w:sz w:val="21"/>
                      <w:szCs w:val="21"/>
                      <w:highlight w:val="none"/>
                    </w:rPr>
                    <w:t xml:space="preserve">0.487 </w:t>
                  </w:r>
                </w:p>
              </w:tc>
            </w:tr>
            <w:tr w14:paraId="27BB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9" w:type="pct"/>
                  <w:vMerge w:val="continue"/>
                  <w:shd w:val="clear" w:color="auto" w:fill="auto"/>
                  <w:noWrap/>
                  <w:vAlign w:val="center"/>
                </w:tcPr>
                <w:p w14:paraId="3134CDFC">
                  <w:pPr>
                    <w:widowControl/>
                    <w:spacing w:line="276" w:lineRule="auto"/>
                    <w:jc w:val="center"/>
                    <w:textAlignment w:val="center"/>
                    <w:rPr>
                      <w:color w:val="auto"/>
                      <w:sz w:val="21"/>
                      <w:szCs w:val="21"/>
                      <w:highlight w:val="none"/>
                    </w:rPr>
                  </w:pPr>
                </w:p>
              </w:tc>
              <w:tc>
                <w:tcPr>
                  <w:tcW w:w="759" w:type="pct"/>
                  <w:shd w:val="clear" w:color="auto" w:fill="auto"/>
                  <w:vAlign w:val="center"/>
                </w:tcPr>
                <w:p w14:paraId="0B22972D">
                  <w:pPr>
                    <w:widowControl/>
                    <w:spacing w:line="276" w:lineRule="auto"/>
                    <w:jc w:val="center"/>
                    <w:textAlignment w:val="center"/>
                    <w:rPr>
                      <w:color w:val="auto"/>
                      <w:sz w:val="21"/>
                      <w:szCs w:val="21"/>
                      <w:highlight w:val="none"/>
                    </w:rPr>
                  </w:pPr>
                  <w:r>
                    <w:rPr>
                      <w:color w:val="auto"/>
                      <w:kern w:val="0"/>
                      <w:sz w:val="20"/>
                      <w:szCs w:val="20"/>
                      <w:highlight w:val="none"/>
                    </w:rPr>
                    <w:t>SS</w:t>
                  </w:r>
                </w:p>
              </w:tc>
              <w:tc>
                <w:tcPr>
                  <w:tcW w:w="874" w:type="pct"/>
                  <w:shd w:val="clear" w:color="auto" w:fill="auto"/>
                  <w:vAlign w:val="center"/>
                </w:tcPr>
                <w:p w14:paraId="4BF077BF">
                  <w:pPr>
                    <w:widowControl/>
                    <w:jc w:val="center"/>
                    <w:textAlignment w:val="center"/>
                    <w:rPr>
                      <w:color w:val="auto"/>
                      <w:sz w:val="21"/>
                      <w:szCs w:val="21"/>
                      <w:highlight w:val="none"/>
                    </w:rPr>
                  </w:pPr>
                  <w:r>
                    <w:rPr>
                      <w:color w:val="auto"/>
                      <w:kern w:val="0"/>
                      <w:sz w:val="20"/>
                      <w:szCs w:val="20"/>
                      <w:highlight w:val="none"/>
                    </w:rPr>
                    <w:t>150</w:t>
                  </w:r>
                </w:p>
              </w:tc>
              <w:tc>
                <w:tcPr>
                  <w:tcW w:w="613" w:type="pct"/>
                  <w:shd w:val="clear" w:color="auto" w:fill="auto"/>
                  <w:vAlign w:val="center"/>
                </w:tcPr>
                <w:p w14:paraId="6B06F62B">
                  <w:pPr>
                    <w:widowControl/>
                    <w:jc w:val="center"/>
                    <w:textAlignment w:val="center"/>
                    <w:rPr>
                      <w:color w:val="auto"/>
                      <w:sz w:val="21"/>
                      <w:szCs w:val="21"/>
                      <w:highlight w:val="none"/>
                    </w:rPr>
                  </w:pPr>
                  <w:r>
                    <w:rPr>
                      <w:color w:val="auto"/>
                      <w:kern w:val="0"/>
                      <w:sz w:val="20"/>
                      <w:szCs w:val="20"/>
                      <w:highlight w:val="none"/>
                      <w:lang w:bidi="ar"/>
                    </w:rPr>
                    <w:t xml:space="preserve">0.513 </w:t>
                  </w:r>
                </w:p>
              </w:tc>
              <w:tc>
                <w:tcPr>
                  <w:tcW w:w="647" w:type="pct"/>
                  <w:shd w:val="clear" w:color="auto" w:fill="auto"/>
                  <w:noWrap/>
                  <w:vAlign w:val="center"/>
                </w:tcPr>
                <w:p w14:paraId="753B56A2">
                  <w:pPr>
                    <w:widowControl/>
                    <w:jc w:val="center"/>
                    <w:textAlignment w:val="center"/>
                    <w:rPr>
                      <w:color w:val="auto"/>
                      <w:sz w:val="21"/>
                      <w:szCs w:val="21"/>
                      <w:highlight w:val="none"/>
                    </w:rPr>
                  </w:pPr>
                  <w:r>
                    <w:rPr>
                      <w:color w:val="auto"/>
                      <w:kern w:val="0"/>
                      <w:sz w:val="20"/>
                      <w:szCs w:val="20"/>
                      <w:highlight w:val="none"/>
                    </w:rPr>
                    <w:t>30%</w:t>
                  </w:r>
                </w:p>
              </w:tc>
              <w:tc>
                <w:tcPr>
                  <w:tcW w:w="730" w:type="pct"/>
                  <w:shd w:val="clear" w:color="auto" w:fill="auto"/>
                  <w:vAlign w:val="center"/>
                </w:tcPr>
                <w:p w14:paraId="45BE1BEE">
                  <w:pPr>
                    <w:widowControl/>
                    <w:jc w:val="center"/>
                    <w:textAlignment w:val="center"/>
                    <w:rPr>
                      <w:color w:val="auto"/>
                      <w:sz w:val="21"/>
                      <w:szCs w:val="21"/>
                      <w:highlight w:val="none"/>
                    </w:rPr>
                  </w:pPr>
                  <w:r>
                    <w:rPr>
                      <w:color w:val="auto"/>
                      <w:kern w:val="0"/>
                      <w:sz w:val="20"/>
                      <w:szCs w:val="20"/>
                      <w:highlight w:val="none"/>
                    </w:rPr>
                    <w:t>105</w:t>
                  </w:r>
                </w:p>
              </w:tc>
              <w:tc>
                <w:tcPr>
                  <w:tcW w:w="676" w:type="pct"/>
                  <w:shd w:val="clear" w:color="auto" w:fill="auto"/>
                  <w:vAlign w:val="center"/>
                </w:tcPr>
                <w:p w14:paraId="13DD5BC2">
                  <w:pPr>
                    <w:widowControl/>
                    <w:jc w:val="center"/>
                    <w:textAlignment w:val="center"/>
                    <w:rPr>
                      <w:color w:val="auto"/>
                      <w:sz w:val="21"/>
                      <w:szCs w:val="21"/>
                      <w:highlight w:val="none"/>
                    </w:rPr>
                  </w:pPr>
                  <w:r>
                    <w:rPr>
                      <w:color w:val="auto"/>
                      <w:kern w:val="0"/>
                      <w:sz w:val="21"/>
                      <w:szCs w:val="21"/>
                      <w:highlight w:val="none"/>
                    </w:rPr>
                    <w:t xml:space="preserve">0.359 </w:t>
                  </w:r>
                </w:p>
              </w:tc>
            </w:tr>
            <w:tr w14:paraId="344A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99" w:type="pct"/>
                  <w:vMerge w:val="continue"/>
                  <w:shd w:val="clear" w:color="auto" w:fill="auto"/>
                  <w:noWrap/>
                  <w:vAlign w:val="center"/>
                </w:tcPr>
                <w:p w14:paraId="19FE75BC">
                  <w:pPr>
                    <w:widowControl/>
                    <w:spacing w:line="276" w:lineRule="auto"/>
                    <w:jc w:val="center"/>
                    <w:rPr>
                      <w:color w:val="auto"/>
                      <w:sz w:val="21"/>
                      <w:szCs w:val="21"/>
                      <w:highlight w:val="none"/>
                    </w:rPr>
                  </w:pPr>
                </w:p>
              </w:tc>
              <w:tc>
                <w:tcPr>
                  <w:tcW w:w="759" w:type="pct"/>
                  <w:shd w:val="clear" w:color="auto" w:fill="auto"/>
                  <w:vAlign w:val="center"/>
                </w:tcPr>
                <w:p w14:paraId="309F1D26">
                  <w:pPr>
                    <w:widowControl/>
                    <w:spacing w:line="276" w:lineRule="auto"/>
                    <w:jc w:val="center"/>
                    <w:textAlignment w:val="center"/>
                    <w:rPr>
                      <w:color w:val="auto"/>
                      <w:sz w:val="21"/>
                      <w:szCs w:val="21"/>
                      <w:highlight w:val="none"/>
                    </w:rPr>
                  </w:pPr>
                  <w:r>
                    <w:rPr>
                      <w:color w:val="auto"/>
                      <w:kern w:val="0"/>
                      <w:sz w:val="20"/>
                      <w:szCs w:val="20"/>
                      <w:highlight w:val="none"/>
                    </w:rPr>
                    <w:t>NH</w:t>
                  </w:r>
                  <w:r>
                    <w:rPr>
                      <w:color w:val="auto"/>
                      <w:kern w:val="0"/>
                      <w:sz w:val="20"/>
                      <w:szCs w:val="20"/>
                      <w:highlight w:val="none"/>
                      <w:vertAlign w:val="subscript"/>
                    </w:rPr>
                    <w:t>3</w:t>
                  </w:r>
                  <w:r>
                    <w:rPr>
                      <w:color w:val="auto"/>
                      <w:kern w:val="0"/>
                      <w:sz w:val="20"/>
                      <w:szCs w:val="20"/>
                      <w:highlight w:val="none"/>
                    </w:rPr>
                    <w:t>-N</w:t>
                  </w:r>
                </w:p>
              </w:tc>
              <w:tc>
                <w:tcPr>
                  <w:tcW w:w="874" w:type="pct"/>
                  <w:shd w:val="clear" w:color="auto" w:fill="auto"/>
                  <w:vAlign w:val="center"/>
                </w:tcPr>
                <w:p w14:paraId="7135F826">
                  <w:pPr>
                    <w:widowControl/>
                    <w:jc w:val="center"/>
                    <w:textAlignment w:val="center"/>
                    <w:rPr>
                      <w:color w:val="auto"/>
                      <w:sz w:val="21"/>
                      <w:szCs w:val="21"/>
                      <w:highlight w:val="none"/>
                    </w:rPr>
                  </w:pPr>
                  <w:r>
                    <w:rPr>
                      <w:color w:val="auto"/>
                      <w:kern w:val="0"/>
                      <w:sz w:val="20"/>
                      <w:szCs w:val="20"/>
                      <w:highlight w:val="none"/>
                    </w:rPr>
                    <w:t>30</w:t>
                  </w:r>
                </w:p>
              </w:tc>
              <w:tc>
                <w:tcPr>
                  <w:tcW w:w="613" w:type="pct"/>
                  <w:shd w:val="clear" w:color="auto" w:fill="auto"/>
                  <w:vAlign w:val="center"/>
                </w:tcPr>
                <w:p w14:paraId="58880C03">
                  <w:pPr>
                    <w:widowControl/>
                    <w:jc w:val="center"/>
                    <w:textAlignment w:val="center"/>
                    <w:rPr>
                      <w:color w:val="auto"/>
                      <w:sz w:val="21"/>
                      <w:szCs w:val="21"/>
                      <w:highlight w:val="none"/>
                    </w:rPr>
                  </w:pPr>
                  <w:r>
                    <w:rPr>
                      <w:color w:val="auto"/>
                      <w:kern w:val="0"/>
                      <w:sz w:val="20"/>
                      <w:szCs w:val="20"/>
                      <w:highlight w:val="none"/>
                      <w:lang w:bidi="ar"/>
                    </w:rPr>
                    <w:t xml:space="preserve">0.103 </w:t>
                  </w:r>
                </w:p>
              </w:tc>
              <w:tc>
                <w:tcPr>
                  <w:tcW w:w="647" w:type="pct"/>
                  <w:shd w:val="clear" w:color="auto" w:fill="auto"/>
                  <w:noWrap/>
                  <w:vAlign w:val="center"/>
                </w:tcPr>
                <w:p w14:paraId="0D242A24">
                  <w:pPr>
                    <w:widowControl/>
                    <w:jc w:val="center"/>
                    <w:textAlignment w:val="center"/>
                    <w:rPr>
                      <w:color w:val="auto"/>
                      <w:sz w:val="21"/>
                      <w:szCs w:val="21"/>
                      <w:highlight w:val="none"/>
                    </w:rPr>
                  </w:pPr>
                  <w:r>
                    <w:rPr>
                      <w:color w:val="auto"/>
                      <w:kern w:val="0"/>
                      <w:sz w:val="20"/>
                      <w:szCs w:val="20"/>
                      <w:highlight w:val="none"/>
                    </w:rPr>
                    <w:t>0%</w:t>
                  </w:r>
                </w:p>
              </w:tc>
              <w:tc>
                <w:tcPr>
                  <w:tcW w:w="730" w:type="pct"/>
                  <w:shd w:val="clear" w:color="auto" w:fill="auto"/>
                  <w:vAlign w:val="center"/>
                </w:tcPr>
                <w:p w14:paraId="62310CB7">
                  <w:pPr>
                    <w:widowControl/>
                    <w:jc w:val="center"/>
                    <w:textAlignment w:val="center"/>
                    <w:rPr>
                      <w:color w:val="auto"/>
                      <w:sz w:val="21"/>
                      <w:szCs w:val="21"/>
                      <w:highlight w:val="none"/>
                    </w:rPr>
                  </w:pPr>
                  <w:r>
                    <w:rPr>
                      <w:color w:val="auto"/>
                      <w:kern w:val="0"/>
                      <w:sz w:val="20"/>
                      <w:szCs w:val="20"/>
                      <w:highlight w:val="none"/>
                    </w:rPr>
                    <w:t>30</w:t>
                  </w:r>
                </w:p>
              </w:tc>
              <w:tc>
                <w:tcPr>
                  <w:tcW w:w="676" w:type="pct"/>
                  <w:shd w:val="clear" w:color="auto" w:fill="auto"/>
                  <w:vAlign w:val="center"/>
                </w:tcPr>
                <w:p w14:paraId="3BE2D9B2">
                  <w:pPr>
                    <w:widowControl/>
                    <w:jc w:val="center"/>
                    <w:textAlignment w:val="center"/>
                    <w:rPr>
                      <w:color w:val="auto"/>
                      <w:sz w:val="21"/>
                      <w:szCs w:val="21"/>
                      <w:highlight w:val="none"/>
                    </w:rPr>
                  </w:pPr>
                  <w:r>
                    <w:rPr>
                      <w:color w:val="auto"/>
                      <w:kern w:val="0"/>
                      <w:sz w:val="21"/>
                      <w:szCs w:val="21"/>
                      <w:highlight w:val="none"/>
                    </w:rPr>
                    <w:t xml:space="preserve">0.103 </w:t>
                  </w:r>
                </w:p>
              </w:tc>
            </w:tr>
            <w:tr w14:paraId="2027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continue"/>
                  <w:shd w:val="clear" w:color="auto" w:fill="auto"/>
                  <w:noWrap/>
                  <w:vAlign w:val="center"/>
                </w:tcPr>
                <w:p w14:paraId="38C8F0CD">
                  <w:pPr>
                    <w:widowControl/>
                    <w:spacing w:line="276" w:lineRule="auto"/>
                    <w:jc w:val="center"/>
                    <w:rPr>
                      <w:color w:val="auto"/>
                      <w:sz w:val="21"/>
                      <w:szCs w:val="21"/>
                      <w:highlight w:val="none"/>
                    </w:rPr>
                  </w:pPr>
                </w:p>
              </w:tc>
              <w:tc>
                <w:tcPr>
                  <w:tcW w:w="759" w:type="pct"/>
                  <w:shd w:val="clear" w:color="auto" w:fill="auto"/>
                  <w:vAlign w:val="center"/>
                </w:tcPr>
                <w:p w14:paraId="3C294F25">
                  <w:pPr>
                    <w:widowControl/>
                    <w:spacing w:line="276" w:lineRule="auto"/>
                    <w:jc w:val="center"/>
                    <w:textAlignment w:val="center"/>
                    <w:rPr>
                      <w:color w:val="auto"/>
                      <w:kern w:val="0"/>
                      <w:sz w:val="21"/>
                      <w:szCs w:val="21"/>
                      <w:highlight w:val="none"/>
                    </w:rPr>
                  </w:pPr>
                  <w:r>
                    <w:rPr>
                      <w:color w:val="auto"/>
                      <w:kern w:val="0"/>
                      <w:sz w:val="20"/>
                      <w:szCs w:val="20"/>
                      <w:highlight w:val="none"/>
                    </w:rPr>
                    <w:t>总磷</w:t>
                  </w:r>
                </w:p>
              </w:tc>
              <w:tc>
                <w:tcPr>
                  <w:tcW w:w="874" w:type="pct"/>
                  <w:shd w:val="clear" w:color="auto" w:fill="auto"/>
                  <w:vAlign w:val="center"/>
                </w:tcPr>
                <w:p w14:paraId="3DE51A33">
                  <w:pPr>
                    <w:widowControl/>
                    <w:jc w:val="center"/>
                    <w:textAlignment w:val="center"/>
                    <w:rPr>
                      <w:color w:val="auto"/>
                      <w:kern w:val="0"/>
                      <w:sz w:val="21"/>
                      <w:szCs w:val="21"/>
                      <w:highlight w:val="none"/>
                    </w:rPr>
                  </w:pPr>
                  <w:r>
                    <w:rPr>
                      <w:color w:val="auto"/>
                      <w:kern w:val="0"/>
                      <w:sz w:val="20"/>
                      <w:szCs w:val="20"/>
                      <w:highlight w:val="none"/>
                    </w:rPr>
                    <w:t>5</w:t>
                  </w:r>
                </w:p>
              </w:tc>
              <w:tc>
                <w:tcPr>
                  <w:tcW w:w="613" w:type="pct"/>
                  <w:shd w:val="clear" w:color="auto" w:fill="auto"/>
                  <w:vAlign w:val="center"/>
                </w:tcPr>
                <w:p w14:paraId="73EBBAB6">
                  <w:pPr>
                    <w:widowControl/>
                    <w:jc w:val="center"/>
                    <w:textAlignment w:val="center"/>
                    <w:rPr>
                      <w:color w:val="auto"/>
                      <w:kern w:val="0"/>
                      <w:sz w:val="21"/>
                      <w:szCs w:val="21"/>
                      <w:highlight w:val="none"/>
                    </w:rPr>
                  </w:pPr>
                  <w:r>
                    <w:rPr>
                      <w:color w:val="auto"/>
                      <w:kern w:val="0"/>
                      <w:sz w:val="20"/>
                      <w:szCs w:val="20"/>
                      <w:highlight w:val="none"/>
                      <w:lang w:bidi="ar"/>
                    </w:rPr>
                    <w:t xml:space="preserve">0.017 </w:t>
                  </w:r>
                </w:p>
              </w:tc>
              <w:tc>
                <w:tcPr>
                  <w:tcW w:w="647" w:type="pct"/>
                  <w:shd w:val="clear" w:color="auto" w:fill="auto"/>
                  <w:noWrap/>
                  <w:vAlign w:val="center"/>
                </w:tcPr>
                <w:p w14:paraId="1B0949DB">
                  <w:pPr>
                    <w:widowControl/>
                    <w:jc w:val="center"/>
                    <w:textAlignment w:val="center"/>
                    <w:rPr>
                      <w:color w:val="auto"/>
                      <w:kern w:val="0"/>
                      <w:sz w:val="21"/>
                      <w:szCs w:val="21"/>
                      <w:highlight w:val="none"/>
                    </w:rPr>
                  </w:pPr>
                  <w:r>
                    <w:rPr>
                      <w:color w:val="auto"/>
                      <w:kern w:val="0"/>
                      <w:sz w:val="20"/>
                      <w:szCs w:val="20"/>
                      <w:highlight w:val="none"/>
                    </w:rPr>
                    <w:t>20%</w:t>
                  </w:r>
                </w:p>
              </w:tc>
              <w:tc>
                <w:tcPr>
                  <w:tcW w:w="730" w:type="pct"/>
                  <w:shd w:val="clear" w:color="auto" w:fill="auto"/>
                  <w:vAlign w:val="center"/>
                </w:tcPr>
                <w:p w14:paraId="23895899">
                  <w:pPr>
                    <w:widowControl/>
                    <w:jc w:val="center"/>
                    <w:textAlignment w:val="center"/>
                    <w:rPr>
                      <w:color w:val="auto"/>
                      <w:kern w:val="0"/>
                      <w:sz w:val="21"/>
                      <w:szCs w:val="21"/>
                      <w:highlight w:val="none"/>
                    </w:rPr>
                  </w:pPr>
                  <w:r>
                    <w:rPr>
                      <w:color w:val="auto"/>
                      <w:kern w:val="0"/>
                      <w:sz w:val="20"/>
                      <w:szCs w:val="20"/>
                      <w:highlight w:val="none"/>
                    </w:rPr>
                    <w:t>4</w:t>
                  </w:r>
                </w:p>
              </w:tc>
              <w:tc>
                <w:tcPr>
                  <w:tcW w:w="676" w:type="pct"/>
                  <w:shd w:val="clear" w:color="auto" w:fill="auto"/>
                  <w:vAlign w:val="center"/>
                </w:tcPr>
                <w:p w14:paraId="3F76E421">
                  <w:pPr>
                    <w:widowControl/>
                    <w:jc w:val="center"/>
                    <w:textAlignment w:val="center"/>
                    <w:rPr>
                      <w:color w:val="auto"/>
                      <w:kern w:val="0"/>
                      <w:sz w:val="21"/>
                      <w:szCs w:val="21"/>
                      <w:highlight w:val="none"/>
                    </w:rPr>
                  </w:pPr>
                  <w:r>
                    <w:rPr>
                      <w:color w:val="auto"/>
                      <w:kern w:val="0"/>
                      <w:sz w:val="21"/>
                      <w:szCs w:val="21"/>
                      <w:highlight w:val="none"/>
                    </w:rPr>
                    <w:t xml:space="preserve">0.014 </w:t>
                  </w:r>
                </w:p>
              </w:tc>
            </w:tr>
            <w:tr w14:paraId="7BD5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continue"/>
                  <w:shd w:val="clear" w:color="auto" w:fill="auto"/>
                  <w:noWrap/>
                  <w:vAlign w:val="center"/>
                </w:tcPr>
                <w:p w14:paraId="57002FEF">
                  <w:pPr>
                    <w:widowControl/>
                    <w:spacing w:line="276" w:lineRule="auto"/>
                    <w:jc w:val="center"/>
                    <w:rPr>
                      <w:color w:val="auto"/>
                      <w:sz w:val="21"/>
                      <w:szCs w:val="21"/>
                      <w:highlight w:val="none"/>
                    </w:rPr>
                  </w:pPr>
                </w:p>
              </w:tc>
              <w:tc>
                <w:tcPr>
                  <w:tcW w:w="759" w:type="pct"/>
                  <w:shd w:val="clear" w:color="auto" w:fill="auto"/>
                  <w:vAlign w:val="center"/>
                </w:tcPr>
                <w:p w14:paraId="073469B2">
                  <w:pPr>
                    <w:widowControl/>
                    <w:spacing w:line="276" w:lineRule="auto"/>
                    <w:jc w:val="center"/>
                    <w:textAlignment w:val="center"/>
                    <w:rPr>
                      <w:color w:val="auto"/>
                      <w:kern w:val="0"/>
                      <w:sz w:val="20"/>
                      <w:szCs w:val="20"/>
                      <w:highlight w:val="none"/>
                    </w:rPr>
                  </w:pPr>
                  <w:r>
                    <w:rPr>
                      <w:rFonts w:hint="eastAsia"/>
                      <w:color w:val="auto"/>
                      <w:kern w:val="0"/>
                      <w:sz w:val="20"/>
                      <w:szCs w:val="20"/>
                      <w:highlight w:val="none"/>
                    </w:rPr>
                    <w:t>LAS</w:t>
                  </w:r>
                </w:p>
              </w:tc>
              <w:tc>
                <w:tcPr>
                  <w:tcW w:w="874" w:type="pct"/>
                  <w:shd w:val="clear" w:color="auto" w:fill="auto"/>
                  <w:vAlign w:val="center"/>
                </w:tcPr>
                <w:p w14:paraId="2C0946FA">
                  <w:pPr>
                    <w:widowControl/>
                    <w:jc w:val="center"/>
                    <w:textAlignment w:val="center"/>
                    <w:rPr>
                      <w:color w:val="auto"/>
                      <w:kern w:val="0"/>
                      <w:sz w:val="20"/>
                      <w:szCs w:val="20"/>
                      <w:highlight w:val="none"/>
                    </w:rPr>
                  </w:pPr>
                  <w:r>
                    <w:rPr>
                      <w:rFonts w:hint="eastAsia"/>
                      <w:color w:val="auto"/>
                      <w:kern w:val="0"/>
                      <w:sz w:val="20"/>
                      <w:szCs w:val="20"/>
                      <w:highlight w:val="none"/>
                    </w:rPr>
                    <w:t>5</w:t>
                  </w:r>
                </w:p>
              </w:tc>
              <w:tc>
                <w:tcPr>
                  <w:tcW w:w="613" w:type="pct"/>
                  <w:shd w:val="clear" w:color="auto" w:fill="auto"/>
                  <w:vAlign w:val="center"/>
                </w:tcPr>
                <w:p w14:paraId="05B2F872">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0.017</w:t>
                  </w:r>
                </w:p>
              </w:tc>
              <w:tc>
                <w:tcPr>
                  <w:tcW w:w="647" w:type="pct"/>
                  <w:shd w:val="clear" w:color="auto" w:fill="auto"/>
                  <w:noWrap/>
                  <w:vAlign w:val="center"/>
                </w:tcPr>
                <w:p w14:paraId="0740E75D">
                  <w:pPr>
                    <w:widowControl/>
                    <w:jc w:val="center"/>
                    <w:textAlignment w:val="center"/>
                    <w:rPr>
                      <w:color w:val="auto"/>
                      <w:kern w:val="0"/>
                      <w:sz w:val="20"/>
                      <w:szCs w:val="20"/>
                      <w:highlight w:val="none"/>
                    </w:rPr>
                  </w:pPr>
                  <w:r>
                    <w:rPr>
                      <w:rFonts w:hint="eastAsia"/>
                      <w:color w:val="auto"/>
                      <w:kern w:val="0"/>
                      <w:sz w:val="20"/>
                      <w:szCs w:val="20"/>
                      <w:highlight w:val="none"/>
                    </w:rPr>
                    <w:t>0%</w:t>
                  </w:r>
                </w:p>
              </w:tc>
              <w:tc>
                <w:tcPr>
                  <w:tcW w:w="730" w:type="pct"/>
                  <w:shd w:val="clear" w:color="auto" w:fill="auto"/>
                  <w:vAlign w:val="center"/>
                </w:tcPr>
                <w:p w14:paraId="26F5BF2F">
                  <w:pPr>
                    <w:widowControl/>
                    <w:jc w:val="center"/>
                    <w:textAlignment w:val="center"/>
                    <w:rPr>
                      <w:color w:val="auto"/>
                      <w:kern w:val="0"/>
                      <w:sz w:val="20"/>
                      <w:szCs w:val="20"/>
                      <w:highlight w:val="none"/>
                    </w:rPr>
                  </w:pPr>
                  <w:r>
                    <w:rPr>
                      <w:rFonts w:hint="eastAsia"/>
                      <w:color w:val="auto"/>
                      <w:kern w:val="0"/>
                      <w:sz w:val="20"/>
                      <w:szCs w:val="20"/>
                      <w:highlight w:val="none"/>
                    </w:rPr>
                    <w:t>5</w:t>
                  </w:r>
                </w:p>
              </w:tc>
              <w:tc>
                <w:tcPr>
                  <w:tcW w:w="676" w:type="pct"/>
                  <w:shd w:val="clear" w:color="auto" w:fill="auto"/>
                  <w:vAlign w:val="center"/>
                </w:tcPr>
                <w:p w14:paraId="540E5884">
                  <w:pPr>
                    <w:widowControl/>
                    <w:jc w:val="center"/>
                    <w:textAlignment w:val="center"/>
                    <w:rPr>
                      <w:color w:val="auto"/>
                      <w:kern w:val="0"/>
                      <w:sz w:val="21"/>
                      <w:szCs w:val="21"/>
                      <w:highlight w:val="none"/>
                    </w:rPr>
                  </w:pPr>
                  <w:r>
                    <w:rPr>
                      <w:rFonts w:hint="eastAsia"/>
                      <w:color w:val="auto"/>
                      <w:kern w:val="0"/>
                      <w:sz w:val="21"/>
                      <w:szCs w:val="21"/>
                      <w:highlight w:val="none"/>
                    </w:rPr>
                    <w:t>0.017</w:t>
                  </w:r>
                </w:p>
              </w:tc>
            </w:tr>
            <w:tr w14:paraId="7D35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continue"/>
                  <w:shd w:val="clear" w:color="auto" w:fill="auto"/>
                  <w:noWrap/>
                  <w:vAlign w:val="center"/>
                </w:tcPr>
                <w:p w14:paraId="1A9C7E87">
                  <w:pPr>
                    <w:widowControl/>
                    <w:spacing w:line="276" w:lineRule="auto"/>
                    <w:jc w:val="center"/>
                    <w:rPr>
                      <w:color w:val="auto"/>
                      <w:sz w:val="21"/>
                      <w:szCs w:val="21"/>
                      <w:highlight w:val="none"/>
                    </w:rPr>
                  </w:pPr>
                </w:p>
              </w:tc>
              <w:tc>
                <w:tcPr>
                  <w:tcW w:w="759" w:type="pct"/>
                  <w:shd w:val="clear" w:color="auto" w:fill="auto"/>
                  <w:vAlign w:val="center"/>
                </w:tcPr>
                <w:p w14:paraId="4E516D18">
                  <w:pPr>
                    <w:widowControl/>
                    <w:spacing w:line="276" w:lineRule="auto"/>
                    <w:jc w:val="center"/>
                    <w:textAlignment w:val="center"/>
                    <w:rPr>
                      <w:color w:val="auto"/>
                      <w:kern w:val="0"/>
                      <w:sz w:val="20"/>
                      <w:szCs w:val="20"/>
                      <w:highlight w:val="none"/>
                    </w:rPr>
                  </w:pPr>
                  <w:r>
                    <w:rPr>
                      <w:rFonts w:hint="eastAsia"/>
                      <w:color w:val="auto"/>
                      <w:kern w:val="0"/>
                      <w:sz w:val="20"/>
                      <w:szCs w:val="20"/>
                      <w:highlight w:val="none"/>
                    </w:rPr>
                    <w:t>总氮</w:t>
                  </w:r>
                </w:p>
              </w:tc>
              <w:tc>
                <w:tcPr>
                  <w:tcW w:w="874" w:type="pct"/>
                  <w:shd w:val="clear" w:color="auto" w:fill="auto"/>
                  <w:vAlign w:val="center"/>
                </w:tcPr>
                <w:p w14:paraId="48AAEBF3">
                  <w:pPr>
                    <w:widowControl/>
                    <w:jc w:val="center"/>
                    <w:textAlignment w:val="center"/>
                    <w:rPr>
                      <w:color w:val="auto"/>
                      <w:kern w:val="0"/>
                      <w:sz w:val="20"/>
                      <w:szCs w:val="20"/>
                      <w:highlight w:val="none"/>
                    </w:rPr>
                  </w:pPr>
                  <w:r>
                    <w:rPr>
                      <w:rFonts w:hint="eastAsia"/>
                      <w:color w:val="auto"/>
                      <w:kern w:val="0"/>
                      <w:sz w:val="20"/>
                      <w:szCs w:val="20"/>
                      <w:highlight w:val="none"/>
                    </w:rPr>
                    <w:t>40</w:t>
                  </w:r>
                </w:p>
              </w:tc>
              <w:tc>
                <w:tcPr>
                  <w:tcW w:w="613" w:type="pct"/>
                  <w:shd w:val="clear" w:color="auto" w:fill="auto"/>
                  <w:vAlign w:val="center"/>
                </w:tcPr>
                <w:p w14:paraId="173E5925">
                  <w:pPr>
                    <w:widowControl/>
                    <w:jc w:val="center"/>
                    <w:textAlignment w:val="center"/>
                    <w:rPr>
                      <w:color w:val="auto"/>
                      <w:kern w:val="0"/>
                      <w:sz w:val="20"/>
                      <w:szCs w:val="20"/>
                      <w:highlight w:val="none"/>
                    </w:rPr>
                  </w:pPr>
                  <w:r>
                    <w:rPr>
                      <w:color w:val="auto"/>
                      <w:kern w:val="0"/>
                      <w:sz w:val="20"/>
                      <w:szCs w:val="20"/>
                      <w:highlight w:val="none"/>
                      <w:lang w:bidi="ar"/>
                    </w:rPr>
                    <w:t xml:space="preserve">0.137 </w:t>
                  </w:r>
                </w:p>
              </w:tc>
              <w:tc>
                <w:tcPr>
                  <w:tcW w:w="647" w:type="pct"/>
                  <w:shd w:val="clear" w:color="auto" w:fill="auto"/>
                  <w:noWrap/>
                  <w:vAlign w:val="center"/>
                </w:tcPr>
                <w:p w14:paraId="1302DB11">
                  <w:pPr>
                    <w:widowControl/>
                    <w:jc w:val="center"/>
                    <w:textAlignment w:val="center"/>
                    <w:rPr>
                      <w:color w:val="auto"/>
                      <w:kern w:val="0"/>
                      <w:sz w:val="20"/>
                      <w:szCs w:val="20"/>
                      <w:highlight w:val="none"/>
                    </w:rPr>
                  </w:pPr>
                  <w:r>
                    <w:rPr>
                      <w:rFonts w:hint="eastAsia"/>
                      <w:color w:val="auto"/>
                      <w:kern w:val="0"/>
                      <w:sz w:val="20"/>
                      <w:szCs w:val="20"/>
                      <w:highlight w:val="none"/>
                    </w:rPr>
                    <w:t>0%</w:t>
                  </w:r>
                </w:p>
              </w:tc>
              <w:tc>
                <w:tcPr>
                  <w:tcW w:w="730" w:type="pct"/>
                  <w:shd w:val="clear" w:color="auto" w:fill="auto"/>
                  <w:vAlign w:val="center"/>
                </w:tcPr>
                <w:p w14:paraId="1DDDF5AB">
                  <w:pPr>
                    <w:widowControl/>
                    <w:jc w:val="center"/>
                    <w:textAlignment w:val="center"/>
                    <w:rPr>
                      <w:color w:val="auto"/>
                      <w:kern w:val="0"/>
                      <w:sz w:val="20"/>
                      <w:szCs w:val="20"/>
                      <w:highlight w:val="none"/>
                    </w:rPr>
                  </w:pPr>
                  <w:r>
                    <w:rPr>
                      <w:rFonts w:hint="eastAsia"/>
                      <w:color w:val="auto"/>
                      <w:kern w:val="0"/>
                      <w:sz w:val="20"/>
                      <w:szCs w:val="20"/>
                      <w:highlight w:val="none"/>
                    </w:rPr>
                    <w:t>40</w:t>
                  </w:r>
                </w:p>
              </w:tc>
              <w:tc>
                <w:tcPr>
                  <w:tcW w:w="676" w:type="pct"/>
                  <w:shd w:val="clear" w:color="auto" w:fill="auto"/>
                  <w:vAlign w:val="center"/>
                </w:tcPr>
                <w:p w14:paraId="7058E068">
                  <w:pPr>
                    <w:widowControl/>
                    <w:jc w:val="center"/>
                    <w:textAlignment w:val="center"/>
                    <w:rPr>
                      <w:color w:val="auto"/>
                      <w:kern w:val="0"/>
                      <w:sz w:val="21"/>
                      <w:szCs w:val="21"/>
                      <w:highlight w:val="none"/>
                    </w:rPr>
                  </w:pPr>
                  <w:r>
                    <w:rPr>
                      <w:rFonts w:hint="eastAsia"/>
                      <w:color w:val="auto"/>
                      <w:kern w:val="0"/>
                      <w:sz w:val="21"/>
                      <w:szCs w:val="21"/>
                      <w:highlight w:val="none"/>
                    </w:rPr>
                    <w:t>0.137</w:t>
                  </w:r>
                </w:p>
              </w:tc>
            </w:tr>
            <w:tr w14:paraId="4F3A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9" w:type="pct"/>
                  <w:vMerge w:val="continue"/>
                  <w:shd w:val="clear" w:color="auto" w:fill="auto"/>
                  <w:noWrap/>
                  <w:vAlign w:val="center"/>
                </w:tcPr>
                <w:p w14:paraId="356F4A2B">
                  <w:pPr>
                    <w:widowControl/>
                    <w:spacing w:line="276" w:lineRule="auto"/>
                    <w:jc w:val="center"/>
                    <w:rPr>
                      <w:color w:val="auto"/>
                      <w:sz w:val="21"/>
                      <w:szCs w:val="21"/>
                      <w:highlight w:val="none"/>
                    </w:rPr>
                  </w:pPr>
                </w:p>
              </w:tc>
              <w:tc>
                <w:tcPr>
                  <w:tcW w:w="759" w:type="pct"/>
                  <w:shd w:val="clear" w:color="auto" w:fill="auto"/>
                  <w:vAlign w:val="center"/>
                </w:tcPr>
                <w:p w14:paraId="5E43EC9C">
                  <w:pPr>
                    <w:widowControl/>
                    <w:spacing w:line="276" w:lineRule="auto"/>
                    <w:jc w:val="center"/>
                    <w:textAlignment w:val="center"/>
                    <w:rPr>
                      <w:color w:val="auto"/>
                      <w:kern w:val="0"/>
                      <w:sz w:val="20"/>
                      <w:szCs w:val="20"/>
                      <w:highlight w:val="none"/>
                    </w:rPr>
                  </w:pPr>
                  <w:r>
                    <w:rPr>
                      <w:color w:val="auto"/>
                      <w:kern w:val="0"/>
                      <w:sz w:val="20"/>
                      <w:szCs w:val="20"/>
                      <w:highlight w:val="none"/>
                    </w:rPr>
                    <w:t>动植物油</w:t>
                  </w:r>
                </w:p>
              </w:tc>
              <w:tc>
                <w:tcPr>
                  <w:tcW w:w="874" w:type="pct"/>
                  <w:shd w:val="clear" w:color="auto" w:fill="auto"/>
                  <w:vAlign w:val="center"/>
                </w:tcPr>
                <w:p w14:paraId="2D4794F4">
                  <w:pPr>
                    <w:widowControl/>
                    <w:jc w:val="center"/>
                    <w:textAlignment w:val="center"/>
                    <w:rPr>
                      <w:color w:val="auto"/>
                      <w:kern w:val="0"/>
                      <w:sz w:val="20"/>
                      <w:szCs w:val="20"/>
                      <w:highlight w:val="none"/>
                    </w:rPr>
                  </w:pPr>
                  <w:r>
                    <w:rPr>
                      <w:color w:val="auto"/>
                      <w:kern w:val="0"/>
                      <w:sz w:val="20"/>
                      <w:szCs w:val="20"/>
                      <w:highlight w:val="none"/>
                    </w:rPr>
                    <w:t>100</w:t>
                  </w:r>
                </w:p>
              </w:tc>
              <w:tc>
                <w:tcPr>
                  <w:tcW w:w="613" w:type="pct"/>
                  <w:shd w:val="clear" w:color="auto" w:fill="auto"/>
                  <w:vAlign w:val="center"/>
                </w:tcPr>
                <w:p w14:paraId="235F758D">
                  <w:pPr>
                    <w:widowControl/>
                    <w:jc w:val="center"/>
                    <w:textAlignment w:val="center"/>
                    <w:rPr>
                      <w:color w:val="auto"/>
                      <w:kern w:val="0"/>
                      <w:sz w:val="21"/>
                      <w:szCs w:val="21"/>
                      <w:highlight w:val="none"/>
                    </w:rPr>
                  </w:pPr>
                  <w:r>
                    <w:rPr>
                      <w:color w:val="auto"/>
                      <w:kern w:val="0"/>
                      <w:sz w:val="20"/>
                      <w:szCs w:val="20"/>
                      <w:highlight w:val="none"/>
                      <w:lang w:bidi="ar"/>
                    </w:rPr>
                    <w:t xml:space="preserve">0.342 </w:t>
                  </w:r>
                </w:p>
              </w:tc>
              <w:tc>
                <w:tcPr>
                  <w:tcW w:w="647" w:type="pct"/>
                  <w:shd w:val="clear" w:color="auto" w:fill="auto"/>
                  <w:noWrap/>
                  <w:vAlign w:val="center"/>
                </w:tcPr>
                <w:p w14:paraId="4C353418">
                  <w:pPr>
                    <w:widowControl/>
                    <w:jc w:val="center"/>
                    <w:textAlignment w:val="center"/>
                    <w:rPr>
                      <w:color w:val="auto"/>
                      <w:kern w:val="0"/>
                      <w:sz w:val="21"/>
                      <w:szCs w:val="21"/>
                      <w:highlight w:val="none"/>
                    </w:rPr>
                  </w:pPr>
                  <w:r>
                    <w:rPr>
                      <w:color w:val="auto"/>
                      <w:kern w:val="0"/>
                      <w:sz w:val="21"/>
                      <w:szCs w:val="21"/>
                      <w:highlight w:val="none"/>
                    </w:rPr>
                    <w:t>80%</w:t>
                  </w:r>
                </w:p>
              </w:tc>
              <w:tc>
                <w:tcPr>
                  <w:tcW w:w="730" w:type="pct"/>
                  <w:shd w:val="clear" w:color="auto" w:fill="auto"/>
                  <w:vAlign w:val="center"/>
                </w:tcPr>
                <w:p w14:paraId="6BD78770">
                  <w:pPr>
                    <w:widowControl/>
                    <w:jc w:val="center"/>
                    <w:textAlignment w:val="center"/>
                    <w:rPr>
                      <w:color w:val="auto"/>
                      <w:kern w:val="0"/>
                      <w:sz w:val="21"/>
                      <w:szCs w:val="21"/>
                      <w:highlight w:val="none"/>
                    </w:rPr>
                  </w:pPr>
                  <w:r>
                    <w:rPr>
                      <w:color w:val="auto"/>
                      <w:kern w:val="0"/>
                      <w:sz w:val="20"/>
                      <w:szCs w:val="20"/>
                      <w:highlight w:val="none"/>
                    </w:rPr>
                    <w:t>20</w:t>
                  </w:r>
                </w:p>
              </w:tc>
              <w:tc>
                <w:tcPr>
                  <w:tcW w:w="676" w:type="pct"/>
                  <w:shd w:val="clear" w:color="auto" w:fill="auto"/>
                  <w:vAlign w:val="center"/>
                </w:tcPr>
                <w:p w14:paraId="53F3F169">
                  <w:pPr>
                    <w:widowControl/>
                    <w:jc w:val="center"/>
                    <w:textAlignment w:val="center"/>
                    <w:rPr>
                      <w:color w:val="auto"/>
                      <w:kern w:val="0"/>
                      <w:sz w:val="21"/>
                      <w:szCs w:val="21"/>
                      <w:highlight w:val="none"/>
                    </w:rPr>
                  </w:pPr>
                  <w:r>
                    <w:rPr>
                      <w:color w:val="auto"/>
                      <w:kern w:val="0"/>
                      <w:sz w:val="21"/>
                      <w:szCs w:val="21"/>
                      <w:highlight w:val="none"/>
                    </w:rPr>
                    <w:t xml:space="preserve">0.068 </w:t>
                  </w:r>
                </w:p>
              </w:tc>
            </w:tr>
            <w:tr w14:paraId="2E9B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5000" w:type="pct"/>
                  <w:gridSpan w:val="7"/>
                  <w:vMerge w:val="restart"/>
                  <w:shd w:val="clear" w:color="auto" w:fill="auto"/>
                  <w:vAlign w:val="center"/>
                </w:tcPr>
                <w:p w14:paraId="4C05FC38">
                  <w:pPr>
                    <w:widowControl/>
                    <w:spacing w:line="276" w:lineRule="auto"/>
                    <w:jc w:val="left"/>
                    <w:textAlignment w:val="center"/>
                    <w:rPr>
                      <w:color w:val="auto"/>
                      <w:sz w:val="21"/>
                      <w:szCs w:val="21"/>
                      <w:highlight w:val="none"/>
                    </w:rPr>
                  </w:pPr>
                  <w:r>
                    <w:rPr>
                      <w:b/>
                      <w:bCs/>
                      <w:color w:val="auto"/>
                      <w:kern w:val="0"/>
                      <w:sz w:val="21"/>
                      <w:szCs w:val="21"/>
                      <w:highlight w:val="none"/>
                    </w:rPr>
                    <w:t>注：</w:t>
                  </w:r>
                  <w:r>
                    <w:rPr>
                      <w:color w:val="auto"/>
                      <w:kern w:val="0"/>
                      <w:sz w:val="21"/>
                      <w:szCs w:val="21"/>
                      <w:highlight w:val="none"/>
                    </w:rPr>
                    <w:t>1、项目生活污水主要污染物为COD</w:t>
                  </w:r>
                  <w:r>
                    <w:rPr>
                      <w:color w:val="auto"/>
                      <w:kern w:val="0"/>
                      <w:sz w:val="21"/>
                      <w:szCs w:val="21"/>
                      <w:highlight w:val="none"/>
                      <w:vertAlign w:val="subscript"/>
                    </w:rPr>
                    <w:t>Cr</w:t>
                  </w:r>
                  <w:r>
                    <w:rPr>
                      <w:color w:val="auto"/>
                      <w:kern w:val="0"/>
                      <w:sz w:val="21"/>
                      <w:szCs w:val="21"/>
                      <w:highlight w:val="none"/>
                    </w:rPr>
                    <w:t>、BOD</w:t>
                  </w:r>
                  <w:r>
                    <w:rPr>
                      <w:color w:val="auto"/>
                      <w:kern w:val="0"/>
                      <w:sz w:val="21"/>
                      <w:szCs w:val="21"/>
                      <w:highlight w:val="none"/>
                      <w:vertAlign w:val="subscript"/>
                    </w:rPr>
                    <w:t>5</w:t>
                  </w:r>
                  <w:r>
                    <w:rPr>
                      <w:color w:val="auto"/>
                      <w:kern w:val="0"/>
                      <w:sz w:val="21"/>
                      <w:szCs w:val="21"/>
                      <w:highlight w:val="none"/>
                    </w:rPr>
                    <w:t>、SS、NH</w:t>
                  </w:r>
                  <w:r>
                    <w:rPr>
                      <w:color w:val="auto"/>
                      <w:kern w:val="0"/>
                      <w:sz w:val="21"/>
                      <w:szCs w:val="21"/>
                      <w:highlight w:val="none"/>
                      <w:vertAlign w:val="subscript"/>
                    </w:rPr>
                    <w:t>3</w:t>
                  </w:r>
                  <w:r>
                    <w:rPr>
                      <w:color w:val="auto"/>
                      <w:kern w:val="0"/>
                      <w:sz w:val="21"/>
                      <w:szCs w:val="21"/>
                      <w:highlight w:val="none"/>
                    </w:rPr>
                    <w:t>-N、总磷，生活污水产生浓度参照《给水排水设计手册（第五册城镇排水）》（中国建筑工业出版社）表4-1典型生活污水水质示例中浓度，动植物油产生浓度参考《排水工程》（第四版下册）中“典型生活污水水质”中“中常浓度”水质参数，产生浓度为100mg/L。</w:t>
                  </w:r>
                  <w:r>
                    <w:rPr>
                      <w:color w:val="auto"/>
                      <w:kern w:val="0"/>
                      <w:sz w:val="21"/>
                      <w:szCs w:val="21"/>
                      <w:highlight w:val="none"/>
                    </w:rPr>
                    <w:br w:type="textWrapping"/>
                  </w:r>
                  <w:r>
                    <w:rPr>
                      <w:color w:val="auto"/>
                      <w:kern w:val="0"/>
                      <w:sz w:val="21"/>
                      <w:szCs w:val="21"/>
                      <w:highlight w:val="none"/>
                    </w:rPr>
                    <w:t>2、根据《室外排水设计规范（2011年版）》（GB50014-2006）、《村镇生活污染防治最佳可行技术指南</w:t>
                  </w:r>
                  <w:r>
                    <w:rPr>
                      <w:rFonts w:hint="eastAsia"/>
                      <w:color w:val="auto"/>
                      <w:kern w:val="0"/>
                      <w:sz w:val="21"/>
                      <w:szCs w:val="21"/>
                      <w:highlight w:val="none"/>
                      <w:lang w:eastAsia="zh-CN"/>
                    </w:rPr>
                    <w:t>（</w:t>
                  </w:r>
                  <w:r>
                    <w:rPr>
                      <w:color w:val="auto"/>
                      <w:kern w:val="0"/>
                      <w:sz w:val="21"/>
                      <w:szCs w:val="21"/>
                      <w:highlight w:val="none"/>
                    </w:rPr>
                    <w:t>试行</w:t>
                  </w:r>
                  <w:r>
                    <w:rPr>
                      <w:rFonts w:hint="eastAsia"/>
                      <w:color w:val="auto"/>
                      <w:kern w:val="0"/>
                      <w:sz w:val="21"/>
                      <w:szCs w:val="21"/>
                      <w:highlight w:val="none"/>
                      <w:lang w:eastAsia="zh-CN"/>
                    </w:rPr>
                    <w:t>）</w:t>
                  </w:r>
                  <w:r>
                    <w:rPr>
                      <w:color w:val="auto"/>
                      <w:kern w:val="0"/>
                      <w:sz w:val="21"/>
                      <w:szCs w:val="21"/>
                      <w:highlight w:val="none"/>
                    </w:rPr>
                    <w:t>》（HJ-BAT-9）</w:t>
                  </w:r>
                  <w:r>
                    <w:rPr>
                      <w:rFonts w:hint="eastAsia"/>
                      <w:color w:val="auto"/>
                      <w:kern w:val="0"/>
                      <w:sz w:val="21"/>
                      <w:szCs w:val="21"/>
                      <w:highlight w:val="none"/>
                      <w:lang w:eastAsia="zh-CN"/>
                    </w:rPr>
                    <w:t>三级化粪池+隔油隔渣池</w:t>
                  </w:r>
                  <w:r>
                    <w:rPr>
                      <w:color w:val="auto"/>
                      <w:kern w:val="0"/>
                      <w:sz w:val="21"/>
                      <w:szCs w:val="21"/>
                      <w:highlight w:val="none"/>
                    </w:rPr>
                    <w:t>对COD</w:t>
                  </w:r>
                  <w:r>
                    <w:rPr>
                      <w:color w:val="auto"/>
                      <w:kern w:val="0"/>
                      <w:sz w:val="21"/>
                      <w:szCs w:val="21"/>
                      <w:highlight w:val="none"/>
                      <w:vertAlign w:val="subscript"/>
                    </w:rPr>
                    <w:t>Cr</w:t>
                  </w:r>
                  <w:r>
                    <w:rPr>
                      <w:color w:val="auto"/>
                      <w:kern w:val="0"/>
                      <w:sz w:val="21"/>
                      <w:szCs w:val="21"/>
                      <w:highlight w:val="none"/>
                    </w:rPr>
                    <w:t>、BOD</w:t>
                  </w:r>
                  <w:r>
                    <w:rPr>
                      <w:color w:val="auto"/>
                      <w:kern w:val="0"/>
                      <w:sz w:val="21"/>
                      <w:szCs w:val="21"/>
                      <w:highlight w:val="none"/>
                      <w:vertAlign w:val="subscript"/>
                    </w:rPr>
                    <w:t>5</w:t>
                  </w:r>
                  <w:r>
                    <w:rPr>
                      <w:color w:val="auto"/>
                      <w:kern w:val="0"/>
                      <w:sz w:val="21"/>
                      <w:szCs w:val="21"/>
                      <w:highlight w:val="none"/>
                    </w:rPr>
                    <w:t>、SS、NH</w:t>
                  </w:r>
                  <w:r>
                    <w:rPr>
                      <w:color w:val="auto"/>
                      <w:kern w:val="0"/>
                      <w:sz w:val="21"/>
                      <w:szCs w:val="21"/>
                      <w:highlight w:val="none"/>
                      <w:vertAlign w:val="subscript"/>
                    </w:rPr>
                    <w:t>3</w:t>
                  </w:r>
                  <w:r>
                    <w:rPr>
                      <w:color w:val="auto"/>
                      <w:kern w:val="0"/>
                      <w:sz w:val="21"/>
                      <w:szCs w:val="21"/>
                      <w:highlight w:val="none"/>
                    </w:rPr>
                    <w:t>-N、总磷分别的处理效率为20%、5%、30%、0%和20%，</w:t>
                  </w:r>
                  <w:r>
                    <w:rPr>
                      <w:rFonts w:hint="eastAsia"/>
                      <w:color w:val="auto"/>
                      <w:kern w:val="0"/>
                      <w:sz w:val="21"/>
                      <w:szCs w:val="21"/>
                      <w:highlight w:val="none"/>
                    </w:rPr>
                    <w:t>对TN的去除效率通常低于对氨氮的去除效率，本项目取0%。</w:t>
                  </w:r>
                  <w:r>
                    <w:rPr>
                      <w:color w:val="auto"/>
                      <w:kern w:val="0"/>
                      <w:sz w:val="21"/>
                      <w:szCs w:val="21"/>
                      <w:highlight w:val="none"/>
                    </w:rPr>
                    <w:t>对动植物油处理效率参考《村镇生活污染防治最佳可行技术指南(试行)》(HJ-BAT-9)：动植物油:80%~90%，本项目取80%。</w:t>
                  </w:r>
                </w:p>
              </w:tc>
            </w:tr>
            <w:tr w14:paraId="78A7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5000" w:type="pct"/>
                  <w:gridSpan w:val="7"/>
                  <w:vMerge w:val="continue"/>
                  <w:shd w:val="clear" w:color="auto" w:fill="auto"/>
                  <w:vAlign w:val="center"/>
                </w:tcPr>
                <w:p w14:paraId="6234FD22">
                  <w:pPr>
                    <w:widowControl/>
                    <w:spacing w:line="276" w:lineRule="auto"/>
                    <w:jc w:val="left"/>
                    <w:rPr>
                      <w:color w:val="auto"/>
                      <w:sz w:val="21"/>
                      <w:szCs w:val="21"/>
                      <w:highlight w:val="none"/>
                    </w:rPr>
                  </w:pPr>
                </w:p>
              </w:tc>
            </w:tr>
          </w:tbl>
          <w:p w14:paraId="07727402">
            <w:pPr>
              <w:pStyle w:val="21"/>
              <w:numPr>
                <w:ilvl w:val="4"/>
                <w:numId w:val="0"/>
              </w:numPr>
              <w:ind w:firstLine="480" w:firstLineChars="200"/>
              <w:rPr>
                <w:color w:val="auto"/>
                <w:kern w:val="2"/>
                <w:highlight w:val="none"/>
              </w:rPr>
            </w:pPr>
            <w:r>
              <w:rPr>
                <w:color w:val="auto"/>
                <w:kern w:val="2"/>
                <w:highlight w:val="none"/>
              </w:rPr>
              <w:t>（2）洗料废水</w:t>
            </w:r>
          </w:p>
          <w:p w14:paraId="13CB3F9C">
            <w:pPr>
              <w:pStyle w:val="26"/>
              <w:ind w:firstLine="480"/>
              <w:rPr>
                <w:color w:val="auto"/>
                <w:highlight w:val="none"/>
              </w:rPr>
            </w:pPr>
            <w:r>
              <w:rPr>
                <w:color w:val="auto"/>
                <w:highlight w:val="none"/>
              </w:rPr>
              <w:t>生产废水主要成分为原料带入的细沙、泥土等无机物，有机物含量较少，且清洗工序使用水，不使用清洗剂，水质较简单，不含有毒有害水污染物。项目洗料废水主要污染物为pH、COD</w:t>
            </w:r>
            <w:r>
              <w:rPr>
                <w:color w:val="auto"/>
                <w:highlight w:val="none"/>
                <w:vertAlign w:val="subscript"/>
              </w:rPr>
              <w:t>Cr</w:t>
            </w:r>
            <w:r>
              <w:rPr>
                <w:color w:val="auto"/>
                <w:highlight w:val="none"/>
              </w:rPr>
              <w:t>、氨氮、石油类、总磷、总氮等，破碎、洗料废水经污水处理（拟建污水处理工艺；</w:t>
            </w:r>
            <w:r>
              <w:rPr>
                <w:rFonts w:hint="eastAsia"/>
                <w:color w:val="auto"/>
                <w:highlight w:val="none"/>
              </w:rPr>
              <w:t>调节+絮凝沉淀+A/O+二沉池+消毒</w:t>
            </w:r>
            <w:r>
              <w:rPr>
                <w:color w:val="auto"/>
                <w:highlight w:val="none"/>
              </w:rPr>
              <w:t>）后回用。</w:t>
            </w:r>
          </w:p>
          <w:p w14:paraId="33E762A0">
            <w:pPr>
              <w:pStyle w:val="26"/>
              <w:ind w:firstLine="480"/>
              <w:rPr>
                <w:color w:val="auto"/>
                <w:highlight w:val="none"/>
              </w:rPr>
            </w:pPr>
            <w:r>
              <w:rPr>
                <w:color w:val="auto"/>
                <w:highlight w:val="none"/>
              </w:rPr>
              <w:t>根据《排放源统计调查产排污核算方法和系数手册》中“4220 非金属废料和碎屑加工处理行业系数表”废PS、ABS、PE、PP类湿法破碎+清洗工业废水量为1.0吨/吨-原料。根据前文</w:t>
            </w:r>
            <w:r>
              <w:rPr>
                <w:rFonts w:hint="eastAsia"/>
                <w:color w:val="auto"/>
                <w:highlight w:val="none"/>
                <w:lang w:eastAsia="zh-CN"/>
              </w:rPr>
              <w:t>，</w:t>
            </w:r>
            <w:r>
              <w:rPr>
                <w:rFonts w:hint="eastAsia"/>
                <w:color w:val="auto"/>
                <w:highlight w:val="none"/>
                <w:lang w:val="en-US" w:eastAsia="zh-CN"/>
              </w:rPr>
              <w:t>项目自建污水处理站废水处理量为67823.4m</w:t>
            </w:r>
            <w:r>
              <w:rPr>
                <w:rFonts w:hint="eastAsia"/>
                <w:color w:val="auto"/>
                <w:highlight w:val="none"/>
                <w:vertAlign w:val="superscript"/>
                <w:lang w:val="en-US" w:eastAsia="zh-CN"/>
              </w:rPr>
              <w:t>3</w:t>
            </w:r>
            <w:r>
              <w:rPr>
                <w:rFonts w:hint="eastAsia"/>
                <w:color w:val="auto"/>
                <w:highlight w:val="none"/>
                <w:vertAlign w:val="baseline"/>
                <w:lang w:val="en-US" w:eastAsia="zh-CN"/>
              </w:rPr>
              <w:t>/a（205.53m</w:t>
            </w:r>
            <w:r>
              <w:rPr>
                <w:rFonts w:hint="eastAsia"/>
                <w:color w:val="auto"/>
                <w:highlight w:val="none"/>
                <w:vertAlign w:val="superscript"/>
                <w:lang w:val="en-US" w:eastAsia="zh-CN"/>
              </w:rPr>
              <w:t>3</w:t>
            </w:r>
            <w:r>
              <w:rPr>
                <w:rFonts w:hint="eastAsia"/>
                <w:color w:val="auto"/>
                <w:highlight w:val="none"/>
                <w:vertAlign w:val="baseline"/>
                <w:lang w:val="en-US" w:eastAsia="zh-CN"/>
              </w:rPr>
              <w:t>/d），</w:t>
            </w:r>
            <w:r>
              <w:rPr>
                <w:color w:val="auto"/>
                <w:highlight w:val="none"/>
              </w:rPr>
              <w:t>项目外排洗料废水量为2970t/a（9t/d）。</w:t>
            </w:r>
          </w:p>
          <w:p w14:paraId="539AB27D">
            <w:pPr>
              <w:pStyle w:val="26"/>
              <w:ind w:firstLine="480"/>
              <w:rPr>
                <w:color w:val="auto"/>
                <w:highlight w:val="none"/>
              </w:rPr>
            </w:pPr>
            <w:r>
              <w:rPr>
                <w:color w:val="auto"/>
                <w:highlight w:val="none"/>
              </w:rPr>
              <w:t>本项目废水各污染物产生情况和去除效率</w:t>
            </w:r>
            <w:r>
              <w:rPr>
                <w:rFonts w:hint="eastAsia"/>
                <w:color w:val="auto"/>
                <w:highlight w:val="none"/>
              </w:rPr>
              <w:t>参照</w:t>
            </w:r>
            <w:r>
              <w:rPr>
                <w:color w:val="auto"/>
                <w:highlight w:val="none"/>
              </w:rPr>
              <w:t>《排放源统计调查产排污核算方法和系数手册》“42 废弃资源综合利用行业系数手册”</w:t>
            </w:r>
            <w:r>
              <w:rPr>
                <w:rFonts w:hint="eastAsia"/>
                <w:color w:val="auto"/>
                <w:highlight w:val="none"/>
              </w:rPr>
              <w:t>和项目废水工艺设计方案进行</w:t>
            </w:r>
            <w:r>
              <w:rPr>
                <w:color w:val="auto"/>
                <w:highlight w:val="none"/>
              </w:rPr>
              <w:t>计算，计算过程详见下表：</w:t>
            </w:r>
          </w:p>
          <w:p w14:paraId="0B19A2F2">
            <w:pPr>
              <w:pStyle w:val="26"/>
              <w:ind w:firstLine="482"/>
              <w:jc w:val="center"/>
              <w:rPr>
                <w:b/>
                <w:bCs/>
                <w:color w:val="auto"/>
                <w:highlight w:val="none"/>
              </w:rPr>
            </w:pPr>
            <w:r>
              <w:rPr>
                <w:b/>
                <w:bCs/>
                <w:color w:val="auto"/>
                <w:highlight w:val="none"/>
              </w:rPr>
              <w:t xml:space="preserve">表4-14 </w:t>
            </w:r>
            <w:r>
              <w:rPr>
                <w:rFonts w:hint="eastAsia"/>
                <w:b/>
                <w:bCs/>
                <w:color w:val="auto"/>
                <w:highlight w:val="none"/>
                <w:lang w:val="en-US" w:eastAsia="zh-CN"/>
              </w:rPr>
              <w:t>生产</w:t>
            </w:r>
            <w:r>
              <w:rPr>
                <w:b/>
                <w:bCs/>
                <w:color w:val="auto"/>
                <w:highlight w:val="none"/>
              </w:rPr>
              <w:t>废水主要污染物产生源强核算</w:t>
            </w:r>
          </w:p>
          <w:tbl>
            <w:tblPr>
              <w:tblStyle w:val="49"/>
              <w:tblW w:w="13576" w:type="dxa"/>
              <w:tblInd w:w="-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9"/>
              <w:gridCol w:w="1191"/>
              <w:gridCol w:w="1387"/>
              <w:gridCol w:w="1387"/>
              <w:gridCol w:w="1387"/>
              <w:gridCol w:w="1387"/>
              <w:gridCol w:w="1387"/>
              <w:gridCol w:w="1387"/>
              <w:gridCol w:w="1387"/>
              <w:gridCol w:w="1387"/>
            </w:tblGrid>
            <w:tr w14:paraId="176F6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ABBE0B">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项目</w:t>
                  </w:r>
                </w:p>
              </w:tc>
              <w:tc>
                <w:tcPr>
                  <w:tcW w:w="1191" w:type="dxa"/>
                  <w:tcBorders>
                    <w:top w:val="single" w:color="000000" w:sz="8" w:space="0"/>
                    <w:left w:val="nil"/>
                    <w:bottom w:val="single" w:color="000000" w:sz="8" w:space="0"/>
                    <w:right w:val="single" w:color="000000" w:sz="8" w:space="0"/>
                  </w:tcBorders>
                  <w:shd w:val="clear" w:color="auto" w:fill="auto"/>
                  <w:vAlign w:val="center"/>
                </w:tcPr>
                <w:p w14:paraId="0AECFBD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废水量</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731C82FD">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highlight w:val="none"/>
                      <w:u w:val="none"/>
                      <w:lang w:val="en-US" w:eastAsia="zh-CN" w:bidi="ar"/>
                    </w:rPr>
                    <w:t>COD</w:t>
                  </w:r>
                  <w:r>
                    <w:rPr>
                      <w:rFonts w:hint="default" w:ascii="Times New Roman" w:hAnsi="Times New Roman" w:eastAsia="宋体" w:cs="Times New Roman"/>
                      <w:b/>
                      <w:bCs/>
                      <w:i w:val="0"/>
                      <w:iCs w:val="0"/>
                      <w:color w:val="auto"/>
                      <w:kern w:val="0"/>
                      <w:sz w:val="20"/>
                      <w:szCs w:val="20"/>
                      <w:highlight w:val="none"/>
                      <w:u w:val="none"/>
                      <w:vertAlign w:val="subscript"/>
                      <w:lang w:val="en-US" w:eastAsia="zh-CN" w:bidi="ar"/>
                    </w:rPr>
                    <w:t>Cr</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71904ED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highlight w:val="none"/>
                      <w:u w:val="none"/>
                      <w:lang w:val="en-US" w:eastAsia="zh-CN" w:bidi="ar"/>
                    </w:rPr>
                    <w:t>BOD</w:t>
                  </w:r>
                  <w:r>
                    <w:rPr>
                      <w:rFonts w:hint="default" w:ascii="Times New Roman" w:hAnsi="Times New Roman" w:eastAsia="宋体" w:cs="Times New Roman"/>
                      <w:b/>
                      <w:bCs/>
                      <w:i w:val="0"/>
                      <w:iCs w:val="0"/>
                      <w:color w:val="auto"/>
                      <w:kern w:val="0"/>
                      <w:sz w:val="20"/>
                      <w:szCs w:val="20"/>
                      <w:highlight w:val="none"/>
                      <w:u w:val="none"/>
                      <w:vertAlign w:val="subscript"/>
                      <w:lang w:val="en-US" w:eastAsia="zh-CN" w:bidi="ar"/>
                    </w:rPr>
                    <w:t>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5183A51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highlight w:val="none"/>
                      <w:u w:val="none"/>
                      <w:lang w:val="en-US" w:eastAsia="zh-CN" w:bidi="ar"/>
                    </w:rPr>
                    <w:t>SS</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00E1A869">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氨氮</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3E378BE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总氮</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2461A73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石油类</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0F8CDA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highlight w:val="none"/>
                      <w:u w:val="none"/>
                      <w:lang w:val="en-US" w:eastAsia="zh-CN" w:bidi="ar"/>
                    </w:rPr>
                    <w:t>LAS</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0590ED8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总磷</w:t>
                  </w:r>
                </w:p>
              </w:tc>
            </w:tr>
            <w:tr w14:paraId="6155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34C8511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废水产生浓度（</w:t>
                  </w:r>
                  <w:r>
                    <w:rPr>
                      <w:rFonts w:hint="default" w:ascii="Times New Roman" w:hAnsi="Times New Roman" w:eastAsia="宋体" w:cs="Times New Roman"/>
                      <w:b/>
                      <w:bCs/>
                      <w:i w:val="0"/>
                      <w:iCs w:val="0"/>
                      <w:color w:val="auto"/>
                      <w:kern w:val="0"/>
                      <w:sz w:val="20"/>
                      <w:szCs w:val="20"/>
                      <w:highlight w:val="none"/>
                      <w:u w:val="none"/>
                      <w:lang w:val="en-US" w:eastAsia="zh-CN" w:bidi="ar"/>
                    </w:rPr>
                    <w:t>mg/L</w:t>
                  </w:r>
                  <w:r>
                    <w:rPr>
                      <w:rFonts w:hint="eastAsia" w:ascii="宋体" w:hAnsi="宋体" w:eastAsia="宋体" w:cs="宋体"/>
                      <w:b/>
                      <w:bCs/>
                      <w:i w:val="0"/>
                      <w:iCs w:val="0"/>
                      <w:color w:val="auto"/>
                      <w:kern w:val="0"/>
                      <w:sz w:val="20"/>
                      <w:szCs w:val="20"/>
                      <w:highlight w:val="none"/>
                      <w:u w:val="none"/>
                      <w:lang w:val="en-US" w:eastAsia="zh-CN" w:bidi="ar"/>
                    </w:rPr>
                    <w:t>）</w:t>
                  </w:r>
                </w:p>
              </w:tc>
              <w:tc>
                <w:tcPr>
                  <w:tcW w:w="1191" w:type="dxa"/>
                  <w:tcBorders>
                    <w:top w:val="nil"/>
                    <w:left w:val="nil"/>
                    <w:bottom w:val="single" w:color="000000" w:sz="8" w:space="0"/>
                    <w:right w:val="single" w:color="000000" w:sz="8" w:space="0"/>
                  </w:tcBorders>
                  <w:shd w:val="clear" w:color="auto" w:fill="auto"/>
                  <w:vAlign w:val="center"/>
                </w:tcPr>
                <w:p w14:paraId="188560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nil"/>
                    <w:left w:val="nil"/>
                    <w:bottom w:val="single" w:color="000000" w:sz="8" w:space="0"/>
                    <w:right w:val="single" w:color="000000" w:sz="8" w:space="0"/>
                  </w:tcBorders>
                  <w:shd w:val="clear" w:color="auto" w:fill="auto"/>
                  <w:vAlign w:val="center"/>
                </w:tcPr>
                <w:p w14:paraId="4215CA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318.1</w:t>
                  </w:r>
                </w:p>
              </w:tc>
              <w:tc>
                <w:tcPr>
                  <w:tcW w:w="1387" w:type="dxa"/>
                  <w:tcBorders>
                    <w:top w:val="nil"/>
                    <w:left w:val="nil"/>
                    <w:bottom w:val="single" w:color="000000" w:sz="8" w:space="0"/>
                    <w:right w:val="single" w:color="000000" w:sz="8" w:space="0"/>
                  </w:tcBorders>
                  <w:shd w:val="clear" w:color="auto" w:fill="auto"/>
                  <w:vAlign w:val="center"/>
                </w:tcPr>
                <w:p w14:paraId="09DEE4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87" w:type="dxa"/>
                  <w:tcBorders>
                    <w:top w:val="nil"/>
                    <w:left w:val="nil"/>
                    <w:bottom w:val="single" w:color="000000" w:sz="8" w:space="0"/>
                    <w:right w:val="single" w:color="000000" w:sz="8" w:space="0"/>
                  </w:tcBorders>
                  <w:shd w:val="clear" w:color="auto" w:fill="auto"/>
                  <w:vAlign w:val="center"/>
                </w:tcPr>
                <w:p w14:paraId="17716B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226</w:t>
                  </w:r>
                </w:p>
              </w:tc>
              <w:tc>
                <w:tcPr>
                  <w:tcW w:w="1387" w:type="dxa"/>
                  <w:tcBorders>
                    <w:top w:val="nil"/>
                    <w:left w:val="nil"/>
                    <w:bottom w:val="single" w:color="000000" w:sz="8" w:space="0"/>
                    <w:right w:val="single" w:color="000000" w:sz="8" w:space="0"/>
                  </w:tcBorders>
                  <w:shd w:val="clear" w:color="auto" w:fill="auto"/>
                  <w:vAlign w:val="center"/>
                </w:tcPr>
                <w:p w14:paraId="60E41F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17.2</w:t>
                  </w:r>
                </w:p>
              </w:tc>
              <w:tc>
                <w:tcPr>
                  <w:tcW w:w="1387" w:type="dxa"/>
                  <w:tcBorders>
                    <w:top w:val="nil"/>
                    <w:left w:val="nil"/>
                    <w:bottom w:val="single" w:color="000000" w:sz="8" w:space="0"/>
                    <w:right w:val="single" w:color="000000" w:sz="8" w:space="0"/>
                  </w:tcBorders>
                  <w:shd w:val="clear" w:color="auto" w:fill="auto"/>
                  <w:vAlign w:val="center"/>
                </w:tcPr>
                <w:p w14:paraId="07F864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25.9</w:t>
                  </w:r>
                </w:p>
              </w:tc>
              <w:tc>
                <w:tcPr>
                  <w:tcW w:w="1387" w:type="dxa"/>
                  <w:tcBorders>
                    <w:top w:val="nil"/>
                    <w:left w:val="nil"/>
                    <w:bottom w:val="single" w:color="000000" w:sz="8" w:space="0"/>
                    <w:right w:val="single" w:color="000000" w:sz="8" w:space="0"/>
                  </w:tcBorders>
                  <w:shd w:val="clear" w:color="auto" w:fill="auto"/>
                  <w:vAlign w:val="center"/>
                </w:tcPr>
                <w:p w14:paraId="7EBCE8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w:t>
                  </w:r>
                </w:p>
              </w:tc>
              <w:tc>
                <w:tcPr>
                  <w:tcW w:w="1387" w:type="dxa"/>
                  <w:tcBorders>
                    <w:top w:val="nil"/>
                    <w:left w:val="nil"/>
                    <w:bottom w:val="single" w:color="000000" w:sz="8" w:space="0"/>
                    <w:right w:val="single" w:color="000000" w:sz="8" w:space="0"/>
                  </w:tcBorders>
                  <w:shd w:val="clear" w:color="auto" w:fill="auto"/>
                  <w:vAlign w:val="center"/>
                </w:tcPr>
                <w:p w14:paraId="427763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87" w:type="dxa"/>
                  <w:tcBorders>
                    <w:top w:val="nil"/>
                    <w:left w:val="nil"/>
                    <w:bottom w:val="single" w:color="000000" w:sz="8" w:space="0"/>
                    <w:right w:val="single" w:color="000000" w:sz="8" w:space="0"/>
                  </w:tcBorders>
                  <w:shd w:val="clear" w:color="auto" w:fill="auto"/>
                  <w:vAlign w:val="center"/>
                </w:tcPr>
                <w:p w14:paraId="09ED90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17DFC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35A9105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产生量（</w:t>
                  </w:r>
                  <w:r>
                    <w:rPr>
                      <w:rFonts w:hint="default" w:ascii="Times New Roman" w:hAnsi="Times New Roman" w:eastAsia="宋体" w:cs="Times New Roman"/>
                      <w:b/>
                      <w:bCs/>
                      <w:i w:val="0"/>
                      <w:iCs w:val="0"/>
                      <w:color w:val="auto"/>
                      <w:kern w:val="0"/>
                      <w:sz w:val="20"/>
                      <w:szCs w:val="20"/>
                      <w:highlight w:val="none"/>
                      <w:u w:val="none"/>
                      <w:lang w:val="en-US" w:eastAsia="zh-CN" w:bidi="ar"/>
                    </w:rPr>
                    <w:t>t/a</w:t>
                  </w:r>
                  <w:r>
                    <w:rPr>
                      <w:rFonts w:hint="eastAsia" w:ascii="宋体" w:hAnsi="宋体" w:eastAsia="宋体" w:cs="宋体"/>
                      <w:b/>
                      <w:bCs/>
                      <w:i w:val="0"/>
                      <w:iCs w:val="0"/>
                      <w:color w:val="auto"/>
                      <w:kern w:val="0"/>
                      <w:sz w:val="20"/>
                      <w:szCs w:val="20"/>
                      <w:highlight w:val="none"/>
                      <w:u w:val="none"/>
                      <w:lang w:val="en-US" w:eastAsia="zh-CN" w:bidi="ar"/>
                    </w:rPr>
                    <w:t>）</w:t>
                  </w:r>
                </w:p>
              </w:tc>
              <w:tc>
                <w:tcPr>
                  <w:tcW w:w="1191" w:type="dxa"/>
                  <w:tcBorders>
                    <w:top w:val="nil"/>
                    <w:left w:val="nil"/>
                    <w:bottom w:val="single" w:color="000000" w:sz="8" w:space="0"/>
                    <w:right w:val="single" w:color="000000" w:sz="8" w:space="0"/>
                  </w:tcBorders>
                  <w:shd w:val="clear" w:color="auto" w:fill="auto"/>
                  <w:vAlign w:val="center"/>
                </w:tcPr>
                <w:p w14:paraId="4B8E66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64403.4</w:t>
                  </w:r>
                </w:p>
              </w:tc>
              <w:tc>
                <w:tcPr>
                  <w:tcW w:w="1387" w:type="dxa"/>
                  <w:tcBorders>
                    <w:top w:val="nil"/>
                    <w:left w:val="nil"/>
                    <w:bottom w:val="single" w:color="000000" w:sz="8" w:space="0"/>
                    <w:right w:val="single" w:color="000000" w:sz="8" w:space="0"/>
                  </w:tcBorders>
                  <w:shd w:val="clear" w:color="auto" w:fill="auto"/>
                  <w:vAlign w:val="center"/>
                </w:tcPr>
                <w:p w14:paraId="251A8A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20.487 </w:t>
                  </w:r>
                </w:p>
              </w:tc>
              <w:tc>
                <w:tcPr>
                  <w:tcW w:w="1387" w:type="dxa"/>
                  <w:tcBorders>
                    <w:top w:val="nil"/>
                    <w:left w:val="nil"/>
                    <w:bottom w:val="single" w:color="000000" w:sz="8" w:space="0"/>
                    <w:right w:val="single" w:color="000000" w:sz="8" w:space="0"/>
                  </w:tcBorders>
                  <w:shd w:val="clear" w:color="auto" w:fill="auto"/>
                  <w:vAlign w:val="center"/>
                </w:tcPr>
                <w:p w14:paraId="488B7B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9.661 </w:t>
                  </w:r>
                </w:p>
              </w:tc>
              <w:tc>
                <w:tcPr>
                  <w:tcW w:w="1387" w:type="dxa"/>
                  <w:tcBorders>
                    <w:top w:val="nil"/>
                    <w:left w:val="nil"/>
                    <w:bottom w:val="single" w:color="000000" w:sz="8" w:space="0"/>
                    <w:right w:val="single" w:color="000000" w:sz="8" w:space="0"/>
                  </w:tcBorders>
                  <w:shd w:val="clear" w:color="auto" w:fill="auto"/>
                  <w:vAlign w:val="center"/>
                </w:tcPr>
                <w:p w14:paraId="69B36A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14.555 </w:t>
                  </w:r>
                </w:p>
              </w:tc>
              <w:tc>
                <w:tcPr>
                  <w:tcW w:w="1387" w:type="dxa"/>
                  <w:tcBorders>
                    <w:top w:val="nil"/>
                    <w:left w:val="nil"/>
                    <w:bottom w:val="single" w:color="000000" w:sz="8" w:space="0"/>
                    <w:right w:val="single" w:color="000000" w:sz="8" w:space="0"/>
                  </w:tcBorders>
                  <w:shd w:val="clear" w:color="auto" w:fill="auto"/>
                  <w:vAlign w:val="center"/>
                </w:tcPr>
                <w:p w14:paraId="693405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 </w:t>
                  </w:r>
                </w:p>
              </w:tc>
              <w:tc>
                <w:tcPr>
                  <w:tcW w:w="1387" w:type="dxa"/>
                  <w:tcBorders>
                    <w:top w:val="nil"/>
                    <w:left w:val="nil"/>
                    <w:bottom w:val="single" w:color="000000" w:sz="8" w:space="0"/>
                    <w:right w:val="single" w:color="000000" w:sz="8" w:space="0"/>
                  </w:tcBorders>
                  <w:shd w:val="clear" w:color="auto" w:fill="auto"/>
                  <w:vAlign w:val="center"/>
                </w:tcPr>
                <w:p w14:paraId="677E5E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1.668 </w:t>
                  </w:r>
                </w:p>
              </w:tc>
              <w:tc>
                <w:tcPr>
                  <w:tcW w:w="1387" w:type="dxa"/>
                  <w:tcBorders>
                    <w:top w:val="nil"/>
                    <w:left w:val="nil"/>
                    <w:bottom w:val="single" w:color="000000" w:sz="8" w:space="0"/>
                    <w:right w:val="single" w:color="000000" w:sz="8" w:space="0"/>
                  </w:tcBorders>
                  <w:shd w:val="clear" w:color="auto" w:fill="auto"/>
                  <w:vAlign w:val="center"/>
                </w:tcPr>
                <w:p w14:paraId="1DE071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0.915 </w:t>
                  </w:r>
                </w:p>
              </w:tc>
              <w:tc>
                <w:tcPr>
                  <w:tcW w:w="1387" w:type="dxa"/>
                  <w:tcBorders>
                    <w:top w:val="nil"/>
                    <w:left w:val="nil"/>
                    <w:bottom w:val="single" w:color="000000" w:sz="8" w:space="0"/>
                    <w:right w:val="single" w:color="000000" w:sz="8" w:space="0"/>
                  </w:tcBorders>
                  <w:shd w:val="clear" w:color="auto" w:fill="auto"/>
                  <w:vAlign w:val="center"/>
                </w:tcPr>
                <w:p w14:paraId="60FE6E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0.129 </w:t>
                  </w:r>
                </w:p>
              </w:tc>
              <w:tc>
                <w:tcPr>
                  <w:tcW w:w="1387" w:type="dxa"/>
                  <w:tcBorders>
                    <w:top w:val="nil"/>
                    <w:left w:val="nil"/>
                    <w:bottom w:val="single" w:color="000000" w:sz="8" w:space="0"/>
                    <w:right w:val="single" w:color="000000" w:sz="8" w:space="0"/>
                  </w:tcBorders>
                  <w:shd w:val="clear" w:color="auto" w:fill="auto"/>
                  <w:vAlign w:val="center"/>
                </w:tcPr>
                <w:p w14:paraId="3FD308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0.064 </w:t>
                  </w:r>
                </w:p>
              </w:tc>
            </w:tr>
            <w:tr w14:paraId="59FD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3BCFA6C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污水处理工艺</w:t>
                  </w:r>
                </w:p>
              </w:tc>
              <w:tc>
                <w:tcPr>
                  <w:tcW w:w="12287" w:type="dxa"/>
                  <w:gridSpan w:val="9"/>
                  <w:tcBorders>
                    <w:top w:val="nil"/>
                    <w:left w:val="nil"/>
                    <w:bottom w:val="single" w:color="000000" w:sz="8" w:space="0"/>
                    <w:right w:val="single" w:color="000000" w:sz="8" w:space="0"/>
                  </w:tcBorders>
                  <w:shd w:val="clear" w:color="auto" w:fill="auto"/>
                  <w:vAlign w:val="center"/>
                </w:tcPr>
                <w:p w14:paraId="5376EC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调节</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絮凝沉淀</w:t>
                  </w:r>
                  <w:r>
                    <w:rPr>
                      <w:rFonts w:hint="default" w:ascii="Times New Roman" w:hAnsi="Times New Roman" w:eastAsia="宋体" w:cs="Times New Roman"/>
                      <w:i w:val="0"/>
                      <w:iCs w:val="0"/>
                      <w:color w:val="auto"/>
                      <w:kern w:val="0"/>
                      <w:sz w:val="21"/>
                      <w:szCs w:val="21"/>
                      <w:highlight w:val="none"/>
                      <w:u w:val="none"/>
                      <w:lang w:val="en-US" w:eastAsia="zh-CN" w:bidi="ar"/>
                    </w:rPr>
                    <w:t>+A/O+</w:t>
                  </w:r>
                  <w:r>
                    <w:rPr>
                      <w:rFonts w:hint="eastAsia" w:ascii="宋体" w:hAnsi="宋体" w:eastAsia="宋体" w:cs="宋体"/>
                      <w:i w:val="0"/>
                      <w:iCs w:val="0"/>
                      <w:color w:val="auto"/>
                      <w:kern w:val="0"/>
                      <w:sz w:val="21"/>
                      <w:szCs w:val="21"/>
                      <w:highlight w:val="none"/>
                      <w:u w:val="none"/>
                      <w:lang w:val="en-US" w:eastAsia="zh-CN" w:bidi="ar"/>
                    </w:rPr>
                    <w:t>二沉池</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消毒</w:t>
                  </w:r>
                </w:p>
              </w:tc>
            </w:tr>
            <w:tr w14:paraId="3745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02B6D31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污水站对污染物的去除效率</w:t>
                  </w:r>
                </w:p>
              </w:tc>
              <w:tc>
                <w:tcPr>
                  <w:tcW w:w="1191" w:type="dxa"/>
                  <w:tcBorders>
                    <w:top w:val="nil"/>
                    <w:left w:val="nil"/>
                    <w:bottom w:val="single" w:color="000000" w:sz="8" w:space="0"/>
                    <w:right w:val="single" w:color="000000" w:sz="8" w:space="0"/>
                  </w:tcBorders>
                  <w:shd w:val="clear" w:color="auto" w:fill="auto"/>
                  <w:vAlign w:val="center"/>
                </w:tcPr>
                <w:p w14:paraId="6A4609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6C001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45572E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2EC6E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5BFF41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040724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142C1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93.25%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7BC25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08EF29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r>
            <w:tr w14:paraId="3341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65A2E48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排放浓度（</w:t>
                  </w:r>
                  <w:r>
                    <w:rPr>
                      <w:rFonts w:hint="default" w:ascii="Times New Roman" w:hAnsi="Times New Roman" w:eastAsia="宋体" w:cs="Times New Roman"/>
                      <w:b/>
                      <w:bCs/>
                      <w:i w:val="0"/>
                      <w:iCs w:val="0"/>
                      <w:color w:val="auto"/>
                      <w:kern w:val="0"/>
                      <w:sz w:val="20"/>
                      <w:szCs w:val="20"/>
                      <w:highlight w:val="none"/>
                      <w:u w:val="none"/>
                      <w:lang w:val="en-US" w:eastAsia="zh-CN" w:bidi="ar"/>
                    </w:rPr>
                    <w:t>mg/L</w:t>
                  </w:r>
                  <w:r>
                    <w:rPr>
                      <w:rFonts w:hint="eastAsia" w:ascii="宋体" w:hAnsi="宋体" w:eastAsia="宋体" w:cs="宋体"/>
                      <w:b/>
                      <w:bCs/>
                      <w:i w:val="0"/>
                      <w:iCs w:val="0"/>
                      <w:color w:val="auto"/>
                      <w:kern w:val="0"/>
                      <w:sz w:val="20"/>
                      <w:szCs w:val="20"/>
                      <w:highlight w:val="none"/>
                      <w:u w:val="none"/>
                      <w:lang w:val="en-US" w:eastAsia="zh-CN" w:bidi="ar"/>
                    </w:rPr>
                    <w:t>）</w:t>
                  </w:r>
                </w:p>
              </w:tc>
              <w:tc>
                <w:tcPr>
                  <w:tcW w:w="1191" w:type="dxa"/>
                  <w:tcBorders>
                    <w:top w:val="nil"/>
                    <w:left w:val="nil"/>
                    <w:bottom w:val="single" w:color="000000" w:sz="8" w:space="0"/>
                    <w:right w:val="single" w:color="000000" w:sz="8" w:space="0"/>
                  </w:tcBorders>
                  <w:shd w:val="clear" w:color="auto" w:fill="auto"/>
                  <w:vAlign w:val="center"/>
                </w:tcPr>
                <w:p w14:paraId="156AEE0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1387" w:type="dxa"/>
                  <w:tcBorders>
                    <w:top w:val="nil"/>
                    <w:left w:val="nil"/>
                    <w:bottom w:val="single" w:color="000000" w:sz="8" w:space="0"/>
                    <w:right w:val="single" w:color="000000" w:sz="8" w:space="0"/>
                  </w:tcBorders>
                  <w:shd w:val="clear" w:color="auto" w:fill="auto"/>
                  <w:vAlign w:val="center"/>
                </w:tcPr>
                <w:p w14:paraId="11F103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31.81 </w:t>
                  </w:r>
                </w:p>
              </w:tc>
              <w:tc>
                <w:tcPr>
                  <w:tcW w:w="1387" w:type="dxa"/>
                  <w:tcBorders>
                    <w:top w:val="nil"/>
                    <w:left w:val="nil"/>
                    <w:bottom w:val="single" w:color="000000" w:sz="8" w:space="0"/>
                    <w:right w:val="single" w:color="000000" w:sz="8" w:space="0"/>
                  </w:tcBorders>
                  <w:shd w:val="clear" w:color="auto" w:fill="auto"/>
                  <w:vAlign w:val="center"/>
                </w:tcPr>
                <w:p w14:paraId="21F428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7.50 </w:t>
                  </w:r>
                </w:p>
              </w:tc>
              <w:tc>
                <w:tcPr>
                  <w:tcW w:w="1387" w:type="dxa"/>
                  <w:tcBorders>
                    <w:top w:val="nil"/>
                    <w:left w:val="nil"/>
                    <w:bottom w:val="single" w:color="000000" w:sz="8" w:space="0"/>
                    <w:right w:val="single" w:color="000000" w:sz="8" w:space="0"/>
                  </w:tcBorders>
                  <w:shd w:val="clear" w:color="auto" w:fill="auto"/>
                  <w:vAlign w:val="center"/>
                </w:tcPr>
                <w:p w14:paraId="3FBE89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22.60 </w:t>
                  </w:r>
                </w:p>
              </w:tc>
              <w:tc>
                <w:tcPr>
                  <w:tcW w:w="1387" w:type="dxa"/>
                  <w:tcBorders>
                    <w:top w:val="nil"/>
                    <w:left w:val="nil"/>
                    <w:bottom w:val="single" w:color="000000" w:sz="8" w:space="0"/>
                    <w:right w:val="single" w:color="000000" w:sz="8" w:space="0"/>
                  </w:tcBorders>
                  <w:shd w:val="clear" w:color="auto" w:fill="auto"/>
                  <w:vAlign w:val="center"/>
                </w:tcPr>
                <w:p w14:paraId="081083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3.44 </w:t>
                  </w:r>
                </w:p>
              </w:tc>
              <w:tc>
                <w:tcPr>
                  <w:tcW w:w="1387" w:type="dxa"/>
                  <w:tcBorders>
                    <w:top w:val="nil"/>
                    <w:left w:val="nil"/>
                    <w:bottom w:val="single" w:color="000000" w:sz="8" w:space="0"/>
                    <w:right w:val="single" w:color="000000" w:sz="8" w:space="0"/>
                  </w:tcBorders>
                  <w:shd w:val="clear" w:color="auto" w:fill="auto"/>
                  <w:vAlign w:val="center"/>
                </w:tcPr>
                <w:p w14:paraId="4B2BC4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12.95 </w:t>
                  </w:r>
                </w:p>
              </w:tc>
              <w:tc>
                <w:tcPr>
                  <w:tcW w:w="1387" w:type="dxa"/>
                  <w:tcBorders>
                    <w:top w:val="nil"/>
                    <w:left w:val="nil"/>
                    <w:bottom w:val="single" w:color="000000" w:sz="8" w:space="0"/>
                    <w:right w:val="single" w:color="000000" w:sz="8" w:space="0"/>
                  </w:tcBorders>
                  <w:shd w:val="clear" w:color="auto" w:fill="auto"/>
                  <w:vAlign w:val="center"/>
                </w:tcPr>
                <w:p w14:paraId="300285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0.96 </w:t>
                  </w:r>
                </w:p>
              </w:tc>
              <w:tc>
                <w:tcPr>
                  <w:tcW w:w="1387" w:type="dxa"/>
                  <w:tcBorders>
                    <w:top w:val="nil"/>
                    <w:left w:val="nil"/>
                    <w:bottom w:val="single" w:color="000000" w:sz="8" w:space="0"/>
                    <w:right w:val="single" w:color="000000" w:sz="8" w:space="0"/>
                  </w:tcBorders>
                  <w:shd w:val="clear" w:color="auto" w:fill="auto"/>
                  <w:vAlign w:val="center"/>
                </w:tcPr>
                <w:p w14:paraId="4009CB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0.40 </w:t>
                  </w:r>
                </w:p>
              </w:tc>
              <w:tc>
                <w:tcPr>
                  <w:tcW w:w="1387" w:type="dxa"/>
                  <w:tcBorders>
                    <w:top w:val="nil"/>
                    <w:left w:val="nil"/>
                    <w:bottom w:val="single" w:color="000000" w:sz="8" w:space="0"/>
                    <w:right w:val="single" w:color="000000" w:sz="8" w:space="0"/>
                  </w:tcBorders>
                  <w:shd w:val="clear" w:color="auto" w:fill="auto"/>
                  <w:vAlign w:val="center"/>
                </w:tcPr>
                <w:p w14:paraId="20F62A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0.30 </w:t>
                  </w:r>
                </w:p>
              </w:tc>
            </w:tr>
            <w:tr w14:paraId="66A4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7008733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排放量（</w:t>
                  </w:r>
                  <w:r>
                    <w:rPr>
                      <w:rFonts w:hint="default" w:ascii="Times New Roman" w:hAnsi="Times New Roman" w:eastAsia="宋体" w:cs="Times New Roman"/>
                      <w:b/>
                      <w:bCs/>
                      <w:i w:val="0"/>
                      <w:iCs w:val="0"/>
                      <w:color w:val="auto"/>
                      <w:kern w:val="0"/>
                      <w:sz w:val="20"/>
                      <w:szCs w:val="20"/>
                      <w:highlight w:val="none"/>
                      <w:u w:val="none"/>
                      <w:lang w:val="en-US" w:eastAsia="zh-CN" w:bidi="ar"/>
                    </w:rPr>
                    <w:t>t/a</w:t>
                  </w:r>
                  <w:r>
                    <w:rPr>
                      <w:rFonts w:hint="eastAsia" w:ascii="宋体" w:hAnsi="宋体" w:eastAsia="宋体" w:cs="宋体"/>
                      <w:b/>
                      <w:bCs/>
                      <w:i w:val="0"/>
                      <w:iCs w:val="0"/>
                      <w:color w:val="auto"/>
                      <w:kern w:val="0"/>
                      <w:sz w:val="20"/>
                      <w:szCs w:val="20"/>
                      <w:highlight w:val="none"/>
                      <w:u w:val="none"/>
                      <w:lang w:val="en-US" w:eastAsia="zh-CN" w:bidi="ar"/>
                    </w:rPr>
                    <w:t>）</w:t>
                  </w:r>
                </w:p>
              </w:tc>
              <w:tc>
                <w:tcPr>
                  <w:tcW w:w="1191" w:type="dxa"/>
                  <w:tcBorders>
                    <w:top w:val="nil"/>
                    <w:left w:val="nil"/>
                    <w:bottom w:val="single" w:color="000000" w:sz="8" w:space="0"/>
                    <w:right w:val="single" w:color="000000" w:sz="8" w:space="0"/>
                  </w:tcBorders>
                  <w:shd w:val="clear" w:color="auto" w:fill="auto"/>
                  <w:vAlign w:val="center"/>
                </w:tcPr>
                <w:p w14:paraId="4ED4CF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2970</w:t>
                  </w:r>
                </w:p>
              </w:tc>
              <w:tc>
                <w:tcPr>
                  <w:tcW w:w="1387" w:type="dxa"/>
                  <w:tcBorders>
                    <w:top w:val="nil"/>
                    <w:left w:val="nil"/>
                    <w:bottom w:val="single" w:color="000000" w:sz="8" w:space="0"/>
                    <w:right w:val="single" w:color="000000" w:sz="8" w:space="0"/>
                  </w:tcBorders>
                  <w:shd w:val="clear" w:color="auto" w:fill="auto"/>
                  <w:vAlign w:val="center"/>
                </w:tcPr>
                <w:p w14:paraId="6FF95B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0.094 </w:t>
                  </w:r>
                </w:p>
              </w:tc>
              <w:tc>
                <w:tcPr>
                  <w:tcW w:w="1387" w:type="dxa"/>
                  <w:tcBorders>
                    <w:top w:val="nil"/>
                    <w:left w:val="nil"/>
                    <w:bottom w:val="single" w:color="000000" w:sz="8" w:space="0"/>
                    <w:right w:val="single" w:color="000000" w:sz="8" w:space="0"/>
                  </w:tcBorders>
                  <w:shd w:val="clear" w:color="auto" w:fill="auto"/>
                  <w:vAlign w:val="center"/>
                </w:tcPr>
                <w:p w14:paraId="2C940D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0.022 </w:t>
                  </w:r>
                </w:p>
              </w:tc>
              <w:tc>
                <w:tcPr>
                  <w:tcW w:w="1387" w:type="dxa"/>
                  <w:tcBorders>
                    <w:top w:val="nil"/>
                    <w:left w:val="nil"/>
                    <w:bottom w:val="single" w:color="000000" w:sz="8" w:space="0"/>
                    <w:right w:val="single" w:color="000000" w:sz="8" w:space="0"/>
                  </w:tcBorders>
                  <w:shd w:val="clear" w:color="auto" w:fill="auto"/>
                  <w:vAlign w:val="center"/>
                </w:tcPr>
                <w:p w14:paraId="29FED0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0.067 </w:t>
                  </w:r>
                </w:p>
              </w:tc>
              <w:tc>
                <w:tcPr>
                  <w:tcW w:w="1387" w:type="dxa"/>
                  <w:tcBorders>
                    <w:top w:val="nil"/>
                    <w:left w:val="nil"/>
                    <w:bottom w:val="single" w:color="000000" w:sz="8" w:space="0"/>
                    <w:right w:val="single" w:color="000000" w:sz="8" w:space="0"/>
                  </w:tcBorders>
                  <w:shd w:val="clear" w:color="auto" w:fill="auto"/>
                  <w:vAlign w:val="center"/>
                </w:tcPr>
                <w:p w14:paraId="01DC2A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0.010 </w:t>
                  </w:r>
                </w:p>
              </w:tc>
              <w:tc>
                <w:tcPr>
                  <w:tcW w:w="1387" w:type="dxa"/>
                  <w:tcBorders>
                    <w:top w:val="nil"/>
                    <w:left w:val="nil"/>
                    <w:bottom w:val="single" w:color="000000" w:sz="8" w:space="0"/>
                    <w:right w:val="single" w:color="000000" w:sz="8" w:space="0"/>
                  </w:tcBorders>
                  <w:shd w:val="clear" w:color="auto" w:fill="auto"/>
                  <w:vAlign w:val="center"/>
                </w:tcPr>
                <w:p w14:paraId="082921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0.038 </w:t>
                  </w:r>
                </w:p>
              </w:tc>
              <w:tc>
                <w:tcPr>
                  <w:tcW w:w="1387" w:type="dxa"/>
                  <w:tcBorders>
                    <w:top w:val="nil"/>
                    <w:left w:val="nil"/>
                    <w:bottom w:val="single" w:color="000000" w:sz="8" w:space="0"/>
                    <w:right w:val="single" w:color="000000" w:sz="8" w:space="0"/>
                  </w:tcBorders>
                  <w:shd w:val="clear" w:color="auto" w:fill="auto"/>
                  <w:vAlign w:val="center"/>
                </w:tcPr>
                <w:p w14:paraId="61017E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c>
                <w:tcPr>
                  <w:tcW w:w="1387" w:type="dxa"/>
                  <w:tcBorders>
                    <w:top w:val="nil"/>
                    <w:left w:val="nil"/>
                    <w:bottom w:val="single" w:color="000000" w:sz="8" w:space="0"/>
                    <w:right w:val="single" w:color="000000" w:sz="8" w:space="0"/>
                  </w:tcBorders>
                  <w:shd w:val="clear" w:color="auto" w:fill="auto"/>
                  <w:vAlign w:val="center"/>
                </w:tcPr>
                <w:p w14:paraId="5C512C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0.001 </w:t>
                  </w:r>
                </w:p>
              </w:tc>
              <w:tc>
                <w:tcPr>
                  <w:tcW w:w="1387" w:type="dxa"/>
                  <w:tcBorders>
                    <w:top w:val="nil"/>
                    <w:left w:val="nil"/>
                    <w:bottom w:val="single" w:color="000000" w:sz="8" w:space="0"/>
                    <w:right w:val="single" w:color="000000" w:sz="8" w:space="0"/>
                  </w:tcBorders>
                  <w:shd w:val="clear" w:color="auto" w:fill="auto"/>
                  <w:vAlign w:val="center"/>
                </w:tcPr>
                <w:p w14:paraId="167D0A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0.001 </w:t>
                  </w:r>
                </w:p>
              </w:tc>
            </w:tr>
            <w:tr w14:paraId="169B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89" w:type="dxa"/>
                  <w:vMerge w:val="restart"/>
                  <w:tcBorders>
                    <w:top w:val="nil"/>
                    <w:left w:val="single" w:color="000000" w:sz="8" w:space="0"/>
                    <w:bottom w:val="single" w:color="000000" w:sz="8" w:space="0"/>
                    <w:right w:val="single" w:color="000000" w:sz="8" w:space="0"/>
                  </w:tcBorders>
                  <w:shd w:val="clear" w:color="auto" w:fill="auto"/>
                  <w:vAlign w:val="center"/>
                </w:tcPr>
                <w:p w14:paraId="77BB4D6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回用标准</w:t>
                  </w:r>
                </w:p>
              </w:tc>
              <w:tc>
                <w:tcPr>
                  <w:tcW w:w="12287" w:type="dxa"/>
                  <w:gridSpan w:val="9"/>
                  <w:tcBorders>
                    <w:top w:val="nil"/>
                    <w:left w:val="nil"/>
                    <w:bottom w:val="single" w:color="000000" w:sz="8" w:space="0"/>
                    <w:right w:val="single" w:color="000000" w:sz="8" w:space="0"/>
                  </w:tcBorders>
                  <w:shd w:val="clear" w:color="auto" w:fill="auto"/>
                  <w:vAlign w:val="center"/>
                </w:tcPr>
                <w:p w14:paraId="2F712D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《城市污水再生利用</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工业用水水质》（</w:t>
                  </w:r>
                  <w:r>
                    <w:rPr>
                      <w:rFonts w:hint="default" w:ascii="Times New Roman" w:hAnsi="Times New Roman" w:eastAsia="宋体" w:cs="Times New Roman"/>
                      <w:i w:val="0"/>
                      <w:iCs w:val="0"/>
                      <w:color w:val="auto"/>
                      <w:kern w:val="0"/>
                      <w:sz w:val="21"/>
                      <w:szCs w:val="21"/>
                      <w:highlight w:val="none"/>
                      <w:u w:val="none"/>
                      <w:lang w:val="en-US" w:eastAsia="zh-CN" w:bidi="ar"/>
                    </w:rPr>
                    <w:t>GB/T 19923-2024</w:t>
                  </w:r>
                  <w:r>
                    <w:rPr>
                      <w:rFonts w:hint="eastAsia" w:ascii="宋体" w:hAnsi="宋体" w:eastAsia="宋体" w:cs="宋体"/>
                      <w:i w:val="0"/>
                      <w:iCs w:val="0"/>
                      <w:color w:val="auto"/>
                      <w:kern w:val="0"/>
                      <w:sz w:val="21"/>
                      <w:szCs w:val="21"/>
                      <w:highlight w:val="none"/>
                      <w:u w:val="none"/>
                      <w:lang w:val="en-US" w:eastAsia="zh-CN" w:bidi="ar"/>
                    </w:rPr>
                    <w:t>）</w:t>
                  </w:r>
                </w:p>
              </w:tc>
            </w:tr>
            <w:tr w14:paraId="2169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89" w:type="dxa"/>
                  <w:vMerge w:val="continue"/>
                  <w:tcBorders>
                    <w:top w:val="nil"/>
                    <w:left w:val="single" w:color="000000" w:sz="8" w:space="0"/>
                    <w:bottom w:val="single" w:color="000000" w:sz="8" w:space="0"/>
                    <w:right w:val="single" w:color="000000" w:sz="8" w:space="0"/>
                  </w:tcBorders>
                  <w:shd w:val="clear" w:color="auto" w:fill="auto"/>
                  <w:vAlign w:val="center"/>
                </w:tcPr>
                <w:p w14:paraId="48E4DDDA">
                  <w:pPr>
                    <w:spacing w:line="240" w:lineRule="auto"/>
                    <w:jc w:val="center"/>
                    <w:rPr>
                      <w:rFonts w:hint="eastAsia" w:ascii="宋体" w:hAnsi="宋体" w:eastAsia="宋体" w:cs="宋体"/>
                      <w:b/>
                      <w:bCs/>
                      <w:i w:val="0"/>
                      <w:iCs w:val="0"/>
                      <w:color w:val="auto"/>
                      <w:sz w:val="20"/>
                      <w:szCs w:val="20"/>
                      <w:highlight w:val="none"/>
                      <w:u w:val="none"/>
                    </w:rPr>
                  </w:pPr>
                </w:p>
              </w:tc>
              <w:tc>
                <w:tcPr>
                  <w:tcW w:w="1191" w:type="dxa"/>
                  <w:tcBorders>
                    <w:top w:val="nil"/>
                    <w:left w:val="nil"/>
                    <w:bottom w:val="single" w:color="000000" w:sz="8" w:space="0"/>
                    <w:right w:val="single" w:color="000000" w:sz="8" w:space="0"/>
                  </w:tcBorders>
                  <w:shd w:val="clear" w:color="auto" w:fill="auto"/>
                  <w:vAlign w:val="center"/>
                </w:tcPr>
                <w:p w14:paraId="40A68B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61314.31</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92061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951B7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F4CCA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222D06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5DE043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74708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5F876A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1FF23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r>
            <w:tr w14:paraId="05C5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89" w:type="dxa"/>
                  <w:vMerge w:val="restart"/>
                  <w:tcBorders>
                    <w:top w:val="nil"/>
                    <w:left w:val="single" w:color="000000" w:sz="8" w:space="0"/>
                    <w:bottom w:val="single" w:color="000000" w:sz="8" w:space="0"/>
                    <w:right w:val="single" w:color="000000" w:sz="8" w:space="0"/>
                  </w:tcBorders>
                  <w:shd w:val="clear" w:color="auto" w:fill="auto"/>
                  <w:vAlign w:val="center"/>
                </w:tcPr>
                <w:p w14:paraId="273A54E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排放标准</w:t>
                  </w:r>
                </w:p>
              </w:tc>
              <w:tc>
                <w:tcPr>
                  <w:tcW w:w="12287" w:type="dxa"/>
                  <w:gridSpan w:val="9"/>
                  <w:tcBorders>
                    <w:top w:val="nil"/>
                    <w:left w:val="nil"/>
                    <w:bottom w:val="single" w:color="000000" w:sz="8" w:space="0"/>
                    <w:right w:val="single" w:color="000000" w:sz="8" w:space="0"/>
                  </w:tcBorders>
                  <w:shd w:val="clear" w:color="auto" w:fill="auto"/>
                  <w:noWrap/>
                  <w:vAlign w:val="center"/>
                </w:tcPr>
                <w:p w14:paraId="4A812B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园区污水处理厂接管水质要求、广东省《水污染物排放限值》（</w:t>
                  </w:r>
                  <w:r>
                    <w:rPr>
                      <w:rFonts w:hint="default" w:ascii="Times New Roman" w:hAnsi="Times New Roman" w:eastAsia="宋体" w:cs="Times New Roman"/>
                      <w:i w:val="0"/>
                      <w:iCs w:val="0"/>
                      <w:color w:val="auto"/>
                      <w:kern w:val="0"/>
                      <w:sz w:val="21"/>
                      <w:szCs w:val="21"/>
                      <w:highlight w:val="none"/>
                      <w:u w:val="none"/>
                      <w:lang w:val="en-US" w:eastAsia="zh-CN" w:bidi="ar"/>
                    </w:rPr>
                    <w:t>DB44/26-2001</w:t>
                  </w:r>
                  <w:r>
                    <w:rPr>
                      <w:rFonts w:hint="eastAsia" w:ascii="宋体" w:hAnsi="宋体" w:eastAsia="宋体" w:cs="宋体"/>
                      <w:i w:val="0"/>
                      <w:iCs w:val="0"/>
                      <w:color w:val="auto"/>
                      <w:kern w:val="0"/>
                      <w:sz w:val="21"/>
                      <w:szCs w:val="21"/>
                      <w:highlight w:val="none"/>
                      <w:u w:val="none"/>
                      <w:lang w:val="en-US" w:eastAsia="zh-CN" w:bidi="ar"/>
                    </w:rPr>
                    <w:t>）第二时段三级标准两者较严值要求</w:t>
                  </w:r>
                </w:p>
              </w:tc>
            </w:tr>
            <w:tr w14:paraId="186A5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89" w:type="dxa"/>
                  <w:vMerge w:val="continue"/>
                  <w:tcBorders>
                    <w:top w:val="nil"/>
                    <w:left w:val="single" w:color="000000" w:sz="8" w:space="0"/>
                    <w:bottom w:val="single" w:color="000000" w:sz="8" w:space="0"/>
                    <w:right w:val="single" w:color="000000" w:sz="8" w:space="0"/>
                  </w:tcBorders>
                  <w:shd w:val="clear" w:color="auto" w:fill="auto"/>
                  <w:vAlign w:val="center"/>
                </w:tcPr>
                <w:p w14:paraId="617E41F2">
                  <w:pPr>
                    <w:spacing w:line="240" w:lineRule="auto"/>
                    <w:jc w:val="center"/>
                    <w:rPr>
                      <w:rFonts w:hint="eastAsia" w:ascii="宋体" w:hAnsi="宋体" w:eastAsia="宋体" w:cs="宋体"/>
                      <w:b/>
                      <w:bCs/>
                      <w:i w:val="0"/>
                      <w:iCs w:val="0"/>
                      <w:color w:val="auto"/>
                      <w:sz w:val="20"/>
                      <w:szCs w:val="20"/>
                      <w:highlight w:val="none"/>
                      <w:u w:val="none"/>
                    </w:rPr>
                  </w:pPr>
                </w:p>
              </w:tc>
              <w:tc>
                <w:tcPr>
                  <w:tcW w:w="1191" w:type="dxa"/>
                  <w:tcBorders>
                    <w:top w:val="nil"/>
                    <w:left w:val="nil"/>
                    <w:bottom w:val="single" w:color="000000" w:sz="8" w:space="0"/>
                    <w:right w:val="single" w:color="000000" w:sz="8" w:space="0"/>
                  </w:tcBorders>
                  <w:shd w:val="clear" w:color="auto" w:fill="auto"/>
                  <w:vAlign w:val="center"/>
                </w:tcPr>
                <w:p w14:paraId="760F5DD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C2B27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005291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2105F5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6B5A7B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5EEB73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3E7F8B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1C712D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387" w:type="dxa"/>
                  <w:tcBorders>
                    <w:top w:val="single" w:color="000000" w:sz="8" w:space="0"/>
                    <w:left w:val="nil"/>
                    <w:bottom w:val="single" w:color="000000" w:sz="8" w:space="0"/>
                    <w:right w:val="single" w:color="000000" w:sz="8" w:space="0"/>
                  </w:tcBorders>
                  <w:shd w:val="clear" w:color="auto" w:fill="auto"/>
                  <w:vAlign w:val="center"/>
                </w:tcPr>
                <w:p w14:paraId="3B056E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6119F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1289" w:type="dxa"/>
                  <w:tcBorders>
                    <w:top w:val="nil"/>
                    <w:left w:val="single" w:color="000000" w:sz="8" w:space="0"/>
                    <w:bottom w:val="single" w:color="000000" w:sz="8" w:space="0"/>
                    <w:right w:val="single" w:color="000000" w:sz="8" w:space="0"/>
                  </w:tcBorders>
                  <w:shd w:val="clear" w:color="auto" w:fill="auto"/>
                  <w:vAlign w:val="center"/>
                </w:tcPr>
                <w:p w14:paraId="7BE55727">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达标情况</w:t>
                  </w:r>
                </w:p>
              </w:tc>
              <w:tc>
                <w:tcPr>
                  <w:tcW w:w="1191" w:type="dxa"/>
                  <w:tcBorders>
                    <w:top w:val="nil"/>
                    <w:left w:val="nil"/>
                    <w:bottom w:val="single" w:color="000000" w:sz="8" w:space="0"/>
                    <w:right w:val="single" w:color="000000" w:sz="8" w:space="0"/>
                  </w:tcBorders>
                  <w:shd w:val="clear" w:color="auto" w:fill="auto"/>
                  <w:vAlign w:val="center"/>
                </w:tcPr>
                <w:p w14:paraId="15FDA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7" w:type="dxa"/>
                  <w:tcBorders>
                    <w:top w:val="nil"/>
                    <w:left w:val="nil"/>
                    <w:bottom w:val="single" w:color="000000" w:sz="8" w:space="0"/>
                    <w:right w:val="single" w:color="000000" w:sz="8" w:space="0"/>
                  </w:tcBorders>
                  <w:shd w:val="clear" w:color="auto" w:fill="auto"/>
                  <w:vAlign w:val="center"/>
                </w:tcPr>
                <w:p w14:paraId="09E8B6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584ADA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37225C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387" w:type="dxa"/>
                  <w:tcBorders>
                    <w:top w:val="nil"/>
                    <w:left w:val="nil"/>
                    <w:bottom w:val="single" w:color="000000" w:sz="8" w:space="0"/>
                    <w:right w:val="single" w:color="000000" w:sz="8" w:space="0"/>
                  </w:tcBorders>
                  <w:shd w:val="clear" w:color="auto" w:fill="auto"/>
                  <w:vAlign w:val="center"/>
                </w:tcPr>
                <w:p w14:paraId="76ED8E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01A709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604288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1D543E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c>
                <w:tcPr>
                  <w:tcW w:w="1387" w:type="dxa"/>
                  <w:tcBorders>
                    <w:top w:val="nil"/>
                    <w:left w:val="nil"/>
                    <w:bottom w:val="single" w:color="000000" w:sz="8" w:space="0"/>
                    <w:right w:val="single" w:color="000000" w:sz="8" w:space="0"/>
                  </w:tcBorders>
                  <w:shd w:val="clear" w:color="auto" w:fill="auto"/>
                  <w:vAlign w:val="center"/>
                </w:tcPr>
                <w:p w14:paraId="1D5CD2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达标</w:t>
                  </w:r>
                </w:p>
              </w:tc>
            </w:tr>
            <w:tr w14:paraId="0DA4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13576" w:type="dxa"/>
                  <w:gridSpan w:val="10"/>
                  <w:tcBorders>
                    <w:top w:val="nil"/>
                    <w:left w:val="single" w:color="000000" w:sz="8" w:space="0"/>
                    <w:bottom w:val="single" w:color="000000" w:sz="8" w:space="0"/>
                    <w:right w:val="single" w:color="000000" w:sz="8" w:space="0"/>
                  </w:tcBorders>
                  <w:shd w:val="clear" w:color="auto" w:fill="auto"/>
                  <w:vAlign w:val="center"/>
                </w:tcPr>
                <w:p w14:paraId="0716252C">
                  <w:pPr>
                    <w:keepNext w:val="0"/>
                    <w:keepLines w:val="0"/>
                    <w:widowControl/>
                    <w:suppressLineNumbers w:val="0"/>
                    <w:spacing w:line="240" w:lineRule="auto"/>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注：参考《排放源统计调查产排污核算方法和系数手册》，本项目</w:t>
                  </w:r>
                  <w:r>
                    <w:rPr>
                      <w:rFonts w:hint="default" w:ascii="Times New Roman" w:hAnsi="Times New Roman" w:eastAsia="宋体" w:cs="Times New Roman"/>
                      <w:i w:val="0"/>
                      <w:iCs w:val="0"/>
                      <w:color w:val="auto"/>
                      <w:kern w:val="0"/>
                      <w:sz w:val="20"/>
                      <w:szCs w:val="20"/>
                      <w:highlight w:val="none"/>
                      <w:u w:val="none"/>
                      <w:lang w:val="en-US" w:eastAsia="zh-CN" w:bidi="ar"/>
                    </w:rPr>
                    <w:t>COD</w:t>
                  </w:r>
                  <w:r>
                    <w:rPr>
                      <w:rFonts w:hint="eastAsia" w:ascii="宋体" w:hAnsi="宋体" w:eastAsia="宋体" w:cs="宋体"/>
                      <w:i w:val="0"/>
                      <w:iCs w:val="0"/>
                      <w:color w:val="auto"/>
                      <w:kern w:val="0"/>
                      <w:sz w:val="20"/>
                      <w:szCs w:val="20"/>
                      <w:highlight w:val="none"/>
                      <w:u w:val="none"/>
                      <w:lang w:val="en-US" w:eastAsia="zh-CN" w:bidi="ar"/>
                    </w:rPr>
                    <w:t>、氨氮、总氮、石油类、总磷去除效率分别为</w:t>
                  </w:r>
                  <w:r>
                    <w:rPr>
                      <w:rFonts w:hint="default" w:ascii="Times New Roman" w:hAnsi="Times New Roman" w:eastAsia="宋体" w:cs="Times New Roman"/>
                      <w:i w:val="0"/>
                      <w:iCs w:val="0"/>
                      <w:color w:val="auto"/>
                      <w:kern w:val="0"/>
                      <w:sz w:val="20"/>
                      <w:szCs w:val="20"/>
                      <w:highlight w:val="none"/>
                      <w:u w:val="none"/>
                      <w:lang w:val="en-US" w:eastAsia="zh-CN" w:bidi="ar"/>
                    </w:rPr>
                    <w:t>90</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80</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50</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55</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40</w:t>
                  </w:r>
                  <w:r>
                    <w:rPr>
                      <w:rFonts w:hint="eastAsia" w:ascii="宋体" w:hAnsi="宋体" w:eastAsia="宋体" w:cs="宋体"/>
                      <w:i w:val="0"/>
                      <w:iCs w:val="0"/>
                      <w:color w:val="auto"/>
                      <w:kern w:val="0"/>
                      <w:sz w:val="20"/>
                      <w:szCs w:val="20"/>
                      <w:highlight w:val="none"/>
                      <w:u w:val="none"/>
                      <w:lang w:val="en-US" w:eastAsia="zh-CN" w:bidi="ar"/>
                    </w:rPr>
                    <w:t>；本项目采用“调节</w:t>
                  </w:r>
                  <w:r>
                    <w:rPr>
                      <w:rFonts w:hint="default" w:ascii="Times New Roman" w:hAnsi="Times New Roman" w:eastAsia="宋体" w:cs="Times New Roman"/>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絮凝沉淀</w:t>
                  </w:r>
                  <w:r>
                    <w:rPr>
                      <w:rFonts w:hint="default" w:ascii="Times New Roman" w:hAnsi="Times New Roman" w:eastAsia="宋体" w:cs="Times New Roman"/>
                      <w:i w:val="0"/>
                      <w:iCs w:val="0"/>
                      <w:color w:val="auto"/>
                      <w:kern w:val="0"/>
                      <w:sz w:val="20"/>
                      <w:szCs w:val="20"/>
                      <w:highlight w:val="none"/>
                      <w:u w:val="none"/>
                      <w:lang w:val="en-US" w:eastAsia="zh-CN" w:bidi="ar"/>
                    </w:rPr>
                    <w:t>+A/O+</w:t>
                  </w:r>
                  <w:r>
                    <w:rPr>
                      <w:rFonts w:hint="eastAsia" w:ascii="宋体" w:hAnsi="宋体" w:eastAsia="宋体" w:cs="宋体"/>
                      <w:i w:val="0"/>
                      <w:iCs w:val="0"/>
                      <w:color w:val="auto"/>
                      <w:kern w:val="0"/>
                      <w:sz w:val="20"/>
                      <w:szCs w:val="20"/>
                      <w:highlight w:val="none"/>
                      <w:u w:val="none"/>
                      <w:lang w:val="en-US" w:eastAsia="zh-CN" w:bidi="ar"/>
                    </w:rPr>
                    <w:t>二沉池</w:t>
                  </w:r>
                  <w:r>
                    <w:rPr>
                      <w:rFonts w:hint="default" w:ascii="Times New Roman" w:hAnsi="Times New Roman" w:eastAsia="宋体" w:cs="Times New Roman"/>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消毒”处理工艺，该工艺对石油类去除效率约为</w:t>
                  </w:r>
                  <w:r>
                    <w:rPr>
                      <w:rFonts w:hint="default" w:ascii="Times New Roman" w:hAnsi="Times New Roman" w:eastAsia="宋体" w:cs="Times New Roman"/>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1-0.55</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1-0.85</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=93.25%</w:t>
                  </w:r>
                  <w:r>
                    <w:rPr>
                      <w:rFonts w:hint="eastAsia" w:ascii="宋体" w:hAnsi="宋体" w:eastAsia="宋体" w:cs="宋体"/>
                      <w:i w:val="0"/>
                      <w:iCs w:val="0"/>
                      <w:color w:val="auto"/>
                      <w:kern w:val="0"/>
                      <w:sz w:val="20"/>
                      <w:szCs w:val="20"/>
                      <w:highlight w:val="none"/>
                      <w:u w:val="none"/>
                      <w:lang w:val="en-US" w:eastAsia="zh-CN" w:bidi="ar"/>
                    </w:rPr>
                    <w:t>、总磷去除效率为</w:t>
                  </w:r>
                  <w:r>
                    <w:rPr>
                      <w:rFonts w:hint="default" w:ascii="Times New Roman" w:hAnsi="Times New Roman" w:eastAsia="宋体" w:cs="Times New Roman"/>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1-0.4</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1-0.5</w:t>
                  </w:r>
                  <w:r>
                    <w:rPr>
                      <w:rFonts w:hint="eastAsia" w:ascii="宋体" w:hAnsi="宋体" w:eastAsia="宋体" w:cs="宋体"/>
                      <w:i w:val="0"/>
                      <w:iCs w:val="0"/>
                      <w:color w:val="auto"/>
                      <w:kern w:val="0"/>
                      <w:sz w:val="20"/>
                      <w:szCs w:val="20"/>
                      <w:highlight w:val="none"/>
                      <w:u w:val="none"/>
                      <w:lang w:val="en-US" w:eastAsia="zh-CN" w:bidi="ar"/>
                    </w:rPr>
                    <w:t>）</w:t>
                  </w:r>
                  <w:r>
                    <w:rPr>
                      <w:rFonts w:hint="default" w:ascii="Times New Roman" w:hAnsi="Times New Roman" w:eastAsia="宋体" w:cs="Times New Roman"/>
                      <w:i w:val="0"/>
                      <w:iCs w:val="0"/>
                      <w:color w:val="auto"/>
                      <w:kern w:val="0"/>
                      <w:sz w:val="20"/>
                      <w:szCs w:val="20"/>
                      <w:highlight w:val="none"/>
                      <w:u w:val="none"/>
                      <w:lang w:val="en-US" w:eastAsia="zh-CN" w:bidi="ar"/>
                    </w:rPr>
                    <w:t>=70%</w:t>
                  </w:r>
                  <w:r>
                    <w:rPr>
                      <w:rFonts w:hint="eastAsia" w:ascii="宋体" w:hAnsi="宋体" w:eastAsia="宋体" w:cs="宋体"/>
                      <w:i w:val="0"/>
                      <w:iCs w:val="0"/>
                      <w:color w:val="auto"/>
                      <w:kern w:val="0"/>
                      <w:sz w:val="20"/>
                      <w:szCs w:val="20"/>
                      <w:highlight w:val="none"/>
                      <w:u w:val="none"/>
                      <w:lang w:val="en-US" w:eastAsia="zh-CN" w:bidi="ar"/>
                    </w:rPr>
                    <w:t>。工艺简介见本章废水处理工艺“可行性分析”部分。</w:t>
                  </w:r>
                </w:p>
              </w:tc>
            </w:tr>
          </w:tbl>
          <w:p w14:paraId="3BD6A2BD">
            <w:pPr>
              <w:ind w:firstLine="480" w:firstLineChars="200"/>
              <w:rPr>
                <w:color w:val="auto"/>
                <w:kern w:val="0"/>
                <w:highlight w:val="none"/>
              </w:rPr>
            </w:pPr>
            <w:r>
              <w:rPr>
                <w:color w:val="auto"/>
                <w:highlight w:val="none"/>
              </w:rPr>
              <w:t>因此，废塑料洗料废水/湿法破碎废水通过处理后，CODcr、</w:t>
            </w:r>
            <w:r>
              <w:rPr>
                <w:rFonts w:hint="eastAsia"/>
                <w:color w:val="auto"/>
                <w:highlight w:val="none"/>
              </w:rPr>
              <w:t>BOD</w:t>
            </w:r>
            <w:r>
              <w:rPr>
                <w:rFonts w:hint="eastAsia"/>
                <w:color w:val="auto"/>
                <w:highlight w:val="none"/>
                <w:vertAlign w:val="subscript"/>
              </w:rPr>
              <w:t>5</w:t>
            </w:r>
            <w:r>
              <w:rPr>
                <w:rFonts w:hint="eastAsia"/>
                <w:color w:val="auto"/>
                <w:highlight w:val="none"/>
              </w:rPr>
              <w:t>、</w:t>
            </w:r>
            <w:r>
              <w:rPr>
                <w:color w:val="auto"/>
                <w:highlight w:val="none"/>
              </w:rPr>
              <w:t>氨氮、石油类、总氮等再生水用作工业用水水质基本控制项目能够满足</w:t>
            </w:r>
            <w:r>
              <w:rPr>
                <w:color w:val="auto"/>
                <w:kern w:val="0"/>
                <w:highlight w:val="none"/>
              </w:rPr>
              <w:t>《城市污水再生利用 工业用水水质》（GB/T 19923-2024）表1中洗涤用水标准限值要求</w:t>
            </w:r>
            <w:r>
              <w:rPr>
                <w:rFonts w:hint="eastAsia"/>
                <w:color w:val="auto"/>
                <w:highlight w:val="none"/>
              </w:rPr>
              <w:t>和园区污水处理厂接管水质要求、广东省《水污染物排放限值》（DB44/26-2001）第二时段三级标准两者较严值要求</w:t>
            </w:r>
            <w:r>
              <w:rPr>
                <w:color w:val="auto"/>
                <w:kern w:val="0"/>
                <w:highlight w:val="none"/>
              </w:rPr>
              <w:t>。</w:t>
            </w:r>
          </w:p>
          <w:p w14:paraId="1E3F0727">
            <w:pPr>
              <w:spacing w:line="360" w:lineRule="auto"/>
              <w:ind w:firstLine="480" w:firstLineChars="200"/>
              <w:rPr>
                <w:rFonts w:hint="default" w:ascii="Times New Roman" w:hAnsi="Times New Roman" w:eastAsia="宋体" w:cs="Times New Roman"/>
                <w:b/>
                <w:bCs/>
                <w:color w:val="auto"/>
                <w:sz w:val="24"/>
                <w:szCs w:val="24"/>
                <w:highlight w:val="none"/>
                <w:lang w:val="en-US" w:eastAsia="zh-CN"/>
              </w:rPr>
            </w:pPr>
            <w:r>
              <w:rPr>
                <w:rFonts w:hint="eastAsia"/>
                <w:b/>
                <w:bCs/>
                <w:color w:val="auto"/>
                <w:highlight w:val="none"/>
                <w:lang w:eastAsia="zh-CN"/>
              </w:rPr>
              <w:t>（</w:t>
            </w:r>
            <w:r>
              <w:rPr>
                <w:rFonts w:hint="eastAsia"/>
                <w:b/>
                <w:bCs/>
                <w:color w:val="auto"/>
                <w:highlight w:val="none"/>
                <w:lang w:val="en-US" w:eastAsia="zh-CN"/>
              </w:rPr>
              <w:t>3</w:t>
            </w:r>
            <w:r>
              <w:rPr>
                <w:rFonts w:hint="eastAsia"/>
                <w:b/>
                <w:bCs/>
                <w:color w:val="auto"/>
                <w:highlight w:val="none"/>
                <w:lang w:eastAsia="zh-CN"/>
              </w:rPr>
              <w:t>）</w:t>
            </w:r>
            <w:r>
              <w:rPr>
                <w:rFonts w:hint="default" w:ascii="Times New Roman" w:hAnsi="Times New Roman" w:eastAsia="宋体" w:cs="Times New Roman"/>
                <w:b/>
                <w:bCs/>
                <w:color w:val="auto"/>
                <w:sz w:val="24"/>
                <w:szCs w:val="24"/>
                <w:highlight w:val="none"/>
                <w:lang w:val="en-US" w:eastAsia="zh-CN"/>
              </w:rPr>
              <w:t>喷淋废水</w:t>
            </w:r>
          </w:p>
          <w:p w14:paraId="20965F81">
            <w:pPr>
              <w:pStyle w:val="24"/>
              <w:keepNext w:val="0"/>
              <w:keepLines w:val="0"/>
              <w:pageBreakBefore w:val="0"/>
              <w:suppressLineNumbers w:val="0"/>
              <w:kinsoku/>
              <w:wordWrap/>
              <w:overflowPunct/>
              <w:topLinePunct w:val="0"/>
              <w:autoSpaceDE/>
              <w:autoSpaceDN/>
              <w:bidi w:val="0"/>
              <w:spacing w:beforeAutospacing="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本项目配套1套造粒废气处理设备，</w:t>
            </w:r>
            <w:r>
              <w:rPr>
                <w:rFonts w:hint="eastAsia" w:ascii="Times New Roman" w:hAnsi="Times New Roman" w:eastAsia="宋体" w:cs="Times New Roman"/>
                <w:color w:val="auto"/>
                <w:kern w:val="2"/>
                <w:sz w:val="24"/>
                <w:szCs w:val="24"/>
                <w:highlight w:val="none"/>
                <w:lang w:val="en-US" w:eastAsia="zh-CN" w:bidi="ar-SA"/>
              </w:rPr>
              <w:t>液气比取1.0L/m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则循环水量为60m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vertAlign w:val="baseline"/>
                <w:lang w:val="en-US" w:eastAsia="zh-CN" w:bidi="ar-SA"/>
              </w:rPr>
              <w:t>/h，即1440t/d</w:t>
            </w:r>
            <w:r>
              <w:rPr>
                <w:rFonts w:hint="eastAsia" w:cs="Times New Roman"/>
                <w:color w:val="auto"/>
                <w:kern w:val="2"/>
                <w:sz w:val="24"/>
                <w:szCs w:val="24"/>
                <w:highlight w:val="none"/>
                <w:vertAlign w:val="baseline"/>
                <w:lang w:val="en-US" w:eastAsia="zh-CN" w:bidi="ar-SA"/>
              </w:rPr>
              <w:t>（475200m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vertAlign w:val="baseline"/>
                <w:lang w:val="en-US" w:eastAsia="zh-CN" w:bidi="ar-SA"/>
              </w:rPr>
              <w:t>/a）</w:t>
            </w:r>
            <w:r>
              <w:rPr>
                <w:rFonts w:hint="eastAsia" w:ascii="Times New Roman" w:hAnsi="Times New Roman" w:eastAsia="宋体" w:cs="Times New Roman"/>
                <w:color w:val="auto"/>
                <w:kern w:val="2"/>
                <w:sz w:val="24"/>
                <w:szCs w:val="24"/>
                <w:highlight w:val="none"/>
                <w:vertAlign w:val="baseli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全部循环使用</w:t>
            </w:r>
            <w:r>
              <w:rPr>
                <w:rFonts w:hint="eastAsia" w:cs="Times New Roman"/>
                <w:color w:val="auto"/>
                <w:kern w:val="2"/>
                <w:sz w:val="24"/>
                <w:szCs w:val="24"/>
                <w:highlight w:val="none"/>
                <w:lang w:val="en-US" w:eastAsia="zh-CN" w:bidi="ar-SA"/>
              </w:rPr>
              <w:t>定期排放</w:t>
            </w:r>
            <w:r>
              <w:rPr>
                <w:rFonts w:hint="eastAsia" w:ascii="Times New Roman" w:hAnsi="Times New Roman" w:cs="Times New Roman"/>
                <w:color w:val="auto"/>
                <w:kern w:val="2"/>
                <w:sz w:val="24"/>
                <w:szCs w:val="24"/>
                <w:highlight w:val="none"/>
                <w:lang w:val="en-US" w:eastAsia="zh-CN" w:bidi="ar-SA"/>
              </w:rPr>
              <w:t>。产生</w:t>
            </w:r>
            <w:r>
              <w:rPr>
                <w:rFonts w:hint="eastAsia" w:cs="Times New Roman"/>
                <w:color w:val="auto"/>
                <w:kern w:val="2"/>
                <w:sz w:val="24"/>
                <w:szCs w:val="24"/>
                <w:highlight w:val="none"/>
                <w:lang w:val="en-US" w:eastAsia="zh-CN" w:bidi="ar-SA"/>
              </w:rPr>
              <w:t>喷淋沉渣</w:t>
            </w:r>
            <w:r>
              <w:rPr>
                <w:rFonts w:hint="eastAsia" w:ascii="Times New Roman" w:hAnsi="Times New Roman" w:cs="Times New Roman"/>
                <w:color w:val="auto"/>
                <w:kern w:val="2"/>
                <w:sz w:val="24"/>
                <w:szCs w:val="24"/>
                <w:highlight w:val="none"/>
                <w:lang w:val="en-US" w:eastAsia="zh-CN" w:bidi="ar-SA"/>
              </w:rPr>
              <w:t>定期更换，</w:t>
            </w:r>
            <w:r>
              <w:rPr>
                <w:rFonts w:hint="eastAsia" w:cs="Times New Roman"/>
                <w:color w:val="auto"/>
                <w:sz w:val="24"/>
                <w:szCs w:val="24"/>
                <w:highlight w:val="none"/>
                <w:vertAlign w:val="baseline"/>
                <w:lang w:val="en-US" w:eastAsia="zh-CN"/>
              </w:rPr>
              <w:t>喷淋塔的用水量为5011.2m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/a。</w:t>
            </w:r>
            <w:r>
              <w:rPr>
                <w:rFonts w:hint="default" w:ascii="Times New Roman" w:hAnsi="Times New Roman" w:eastAsia="宋体" w:cs="Times New Roman"/>
                <w:color w:val="auto"/>
                <w:sz w:val="24"/>
                <w:szCs w:val="24"/>
                <w:highlight w:val="none"/>
                <w:lang w:val="en-US" w:eastAsia="zh-CN"/>
              </w:rPr>
              <w:t>喷淋水在循环过程，会发生蒸发等损耗，蒸发损耗水量按循环水量的</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%计，则喷淋设备的循环水损耗量为</w:t>
            </w:r>
            <w:r>
              <w:rPr>
                <w:rFonts w:hint="eastAsia" w:ascii="Times New Roman" w:hAnsi="Times New Roman" w:cs="Times New Roman"/>
                <w:color w:val="auto"/>
                <w:sz w:val="24"/>
                <w:szCs w:val="24"/>
                <w:highlight w:val="none"/>
                <w:lang w:val="en-US" w:eastAsia="zh-CN"/>
              </w:rPr>
              <w:t>14.4</w:t>
            </w:r>
            <w:r>
              <w:rPr>
                <w:rFonts w:hint="default" w:ascii="Times New Roman" w:hAnsi="Times New Roman" w:eastAsia="宋体" w:cs="Times New Roman"/>
                <w:color w:val="auto"/>
                <w:sz w:val="24"/>
                <w:szCs w:val="24"/>
                <w:highlight w:val="none"/>
                <w:lang w:val="en-US" w:eastAsia="zh-CN"/>
              </w:rPr>
              <w:t xml:space="preserve"> t/d</w:t>
            </w:r>
            <w:r>
              <w:rPr>
                <w:rFonts w:hint="eastAsia" w:ascii="Times New Roman" w:hAnsi="Times New Roman" w:cs="Times New Roman"/>
                <w:color w:val="auto"/>
                <w:sz w:val="24"/>
                <w:szCs w:val="24"/>
                <w:highlight w:val="none"/>
                <w:lang w:val="en-US" w:eastAsia="zh-CN"/>
              </w:rPr>
              <w:t>（4752t/a）。</w:t>
            </w:r>
            <w:r>
              <w:rPr>
                <w:rFonts w:hint="eastAsia" w:cs="Times New Roman"/>
                <w:color w:val="auto"/>
                <w:sz w:val="24"/>
                <w:szCs w:val="24"/>
                <w:highlight w:val="none"/>
                <w:lang w:val="en-US" w:eastAsia="zh-CN"/>
              </w:rPr>
              <w:t>项目废气处理设施设两级气旋喷淋塔，每个塔各配备喷淋水箱1个，尺寸均为6m*2m*1.8m，喷淋池水每2个月更换一次，则喷淋水更换量为259.2m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/a，送入自建污水处理站处理</w:t>
            </w:r>
            <w:r>
              <w:rPr>
                <w:rFonts w:hint="default" w:ascii="Times New Roman" w:hAnsi="Times New Roman" w:eastAsia="宋体" w:cs="Times New Roman"/>
                <w:color w:val="auto"/>
                <w:sz w:val="24"/>
                <w:szCs w:val="24"/>
                <w:highlight w:val="none"/>
              </w:rPr>
              <w:t>。</w:t>
            </w:r>
          </w:p>
          <w:p w14:paraId="704EEA28">
            <w:pPr>
              <w:spacing w:line="360" w:lineRule="auto"/>
              <w:ind w:firstLine="480"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）造粒冷却废水</w:t>
            </w:r>
          </w:p>
          <w:p w14:paraId="517D6D84">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sz w:val="24"/>
                <w:highlight w:val="none"/>
              </w:rPr>
              <w:t>项目造粒生产线配套一个冷却水槽，主要作用是冷却塑料熔融和拉丝，熔融塑料不溶于水，冷却水基本无杂质产生，且造粒产品冷却和造粒设备对水质要求不大，冷却水</w:t>
            </w:r>
            <w:r>
              <w:rPr>
                <w:rFonts w:hint="eastAsia" w:cs="Times New Roman"/>
                <w:color w:val="auto"/>
                <w:sz w:val="24"/>
                <w:highlight w:val="none"/>
                <w:lang w:val="en-US" w:eastAsia="zh-CN"/>
              </w:rPr>
              <w:t>多次</w:t>
            </w:r>
            <w:r>
              <w:rPr>
                <w:rFonts w:hint="default" w:ascii="Times New Roman" w:hAnsi="Times New Roman" w:eastAsia="宋体" w:cs="Times New Roman"/>
                <w:color w:val="auto"/>
                <w:sz w:val="24"/>
                <w:highlight w:val="none"/>
              </w:rPr>
              <w:t>循环使用。</w:t>
            </w:r>
          </w:p>
          <w:p w14:paraId="0509C707">
            <w:pPr>
              <w:pStyle w:val="24"/>
              <w:keepNext w:val="0"/>
              <w:keepLines w:val="0"/>
              <w:pageBreakBefore w:val="0"/>
              <w:suppressLineNumbers w:val="0"/>
              <w:kinsoku/>
              <w:wordWrap/>
              <w:overflowPunct/>
              <w:topLinePunct w:val="0"/>
              <w:autoSpaceDE/>
              <w:autoSpaceDN/>
              <w:bidi w:val="0"/>
              <w:spacing w:beforeAutospacing="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根据水平衡分析，</w:t>
            </w:r>
            <w:r>
              <w:rPr>
                <w:rFonts w:hint="default" w:ascii="Times New Roman" w:hAnsi="Times New Roman" w:eastAsia="宋体" w:cs="Times New Roman"/>
                <w:color w:val="auto"/>
                <w:sz w:val="24"/>
                <w:szCs w:val="24"/>
                <w:highlight w:val="none"/>
              </w:rPr>
              <w:t>造粒生产线的冷却水用量为</w:t>
            </w:r>
            <w:r>
              <w:rPr>
                <w:rFonts w:hint="default" w:ascii="Times New Roman" w:hAnsi="Times New Roman" w:eastAsia="宋体" w:cs="Times New Roman"/>
                <w:color w:val="auto"/>
                <w:sz w:val="24"/>
                <w:szCs w:val="24"/>
                <w:highlight w:val="none"/>
                <w:lang w:val="en-US" w:eastAsia="zh-CN"/>
              </w:rPr>
              <w:t>288t</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由于熔融塑料温度较高，热量传递至冷却水中，导致冷却水以蒸汽的形式蒸发，蒸发损耗水量按循环水量的</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%计，则损耗量为</w:t>
            </w:r>
            <w:r>
              <w:rPr>
                <w:rFonts w:hint="default" w:ascii="Times New Roman" w:hAnsi="Times New Roman" w:eastAsia="宋体" w:cs="Times New Roman"/>
                <w:color w:val="auto"/>
                <w:sz w:val="24"/>
                <w:szCs w:val="24"/>
                <w:highlight w:val="none"/>
                <w:lang w:val="en-US" w:eastAsia="zh-CN"/>
              </w:rPr>
              <w:t>2.88t</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经冷却后循环使用</w:t>
            </w:r>
            <w:r>
              <w:rPr>
                <w:rFonts w:hint="eastAsia" w:cs="Times New Roman"/>
                <w:color w:val="auto"/>
                <w:sz w:val="24"/>
                <w:szCs w:val="24"/>
                <w:highlight w:val="none"/>
                <w:lang w:val="en-US" w:eastAsia="zh-CN"/>
              </w:rPr>
              <w:t>，造粒废水配套设置旁流装置，造粒冷却水定期排放，循环池尺寸为4m*2.5m*1.2m，有效容积以80%计，年更换废水2次，则冷却水更换水量为19.2</w:t>
            </w:r>
            <w:r>
              <w:rPr>
                <w:rFonts w:hint="eastAsia" w:ascii="Times New Roman" w:hAnsi="Times New Roman" w:eastAsia="宋体" w:cs="Times New Roman"/>
                <w:color w:val="auto"/>
                <w:sz w:val="24"/>
                <w:szCs w:val="24"/>
                <w:highlight w:val="none"/>
                <w:lang w:val="en-US" w:eastAsia="zh-CN"/>
              </w:rPr>
              <w:t>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/a</w:t>
            </w:r>
            <w:r>
              <w:rPr>
                <w:rFonts w:hint="eastAsia" w:cs="Times New Roman"/>
                <w:color w:val="auto"/>
                <w:sz w:val="24"/>
                <w:szCs w:val="24"/>
                <w:highlight w:val="none"/>
                <w:lang w:val="en-US" w:eastAsia="zh-CN"/>
              </w:rPr>
              <w:t>，</w:t>
            </w:r>
            <w:r>
              <w:rPr>
                <w:rFonts w:hint="eastAsia" w:cs="Times New Roman"/>
                <w:color w:val="auto"/>
                <w:sz w:val="24"/>
                <w:szCs w:val="24"/>
                <w:highlight w:val="none"/>
                <w:vertAlign w:val="baseline"/>
                <w:lang w:val="en-US" w:eastAsia="zh-CN"/>
              </w:rPr>
              <w:t>送入自建污水处理站处理</w:t>
            </w:r>
            <w:r>
              <w:rPr>
                <w:rFonts w:hint="default" w:ascii="Times New Roman" w:hAnsi="Times New Roman" w:eastAsia="宋体" w:cs="Times New Roman"/>
                <w:color w:val="auto"/>
                <w:sz w:val="24"/>
                <w:szCs w:val="24"/>
                <w:highlight w:val="none"/>
              </w:rPr>
              <w:t>。</w:t>
            </w:r>
          </w:p>
          <w:p w14:paraId="5167CC43">
            <w:pPr>
              <w:tabs>
                <w:tab w:val="left" w:pos="0"/>
              </w:tabs>
              <w:ind w:firstLine="40"/>
              <w:jc w:val="center"/>
              <w:rPr>
                <w:b/>
                <w:bCs/>
                <w:color w:val="auto"/>
                <w:sz w:val="21"/>
                <w:szCs w:val="21"/>
                <w:highlight w:val="none"/>
              </w:rPr>
            </w:pPr>
            <w:r>
              <w:rPr>
                <w:b/>
                <w:bCs/>
                <w:color w:val="auto"/>
                <w:sz w:val="21"/>
                <w:szCs w:val="21"/>
                <w:highlight w:val="none"/>
              </w:rPr>
              <w:t>表4-15 本项目废水污染源源强核算结果及相关参数一览表</w:t>
            </w:r>
          </w:p>
          <w:tbl>
            <w:tblPr>
              <w:tblStyle w:val="49"/>
              <w:tblW w:w="4964" w:type="pct"/>
              <w:jc w:val="center"/>
              <w:tblLayout w:type="fixed"/>
              <w:tblCellMar>
                <w:top w:w="0" w:type="dxa"/>
                <w:left w:w="108" w:type="dxa"/>
                <w:bottom w:w="0" w:type="dxa"/>
                <w:right w:w="108" w:type="dxa"/>
              </w:tblCellMar>
            </w:tblPr>
            <w:tblGrid>
              <w:gridCol w:w="579"/>
              <w:gridCol w:w="1177"/>
              <w:gridCol w:w="558"/>
              <w:gridCol w:w="1027"/>
              <w:gridCol w:w="1274"/>
              <w:gridCol w:w="1322"/>
              <w:gridCol w:w="920"/>
              <w:gridCol w:w="802"/>
              <w:gridCol w:w="802"/>
              <w:gridCol w:w="622"/>
              <w:gridCol w:w="1161"/>
              <w:gridCol w:w="1151"/>
              <w:gridCol w:w="1161"/>
              <w:gridCol w:w="849"/>
            </w:tblGrid>
            <w:tr w14:paraId="7C9ABC78">
              <w:tblPrEx>
                <w:tblCellMar>
                  <w:top w:w="0" w:type="dxa"/>
                  <w:left w:w="108" w:type="dxa"/>
                  <w:bottom w:w="0" w:type="dxa"/>
                  <w:right w:w="108" w:type="dxa"/>
                </w:tblCellMar>
              </w:tblPrEx>
              <w:trPr>
                <w:trHeight w:val="90" w:hRule="atLeast"/>
                <w:jc w:val="center"/>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BC8C1">
                  <w:pPr>
                    <w:widowControl/>
                    <w:spacing w:line="240" w:lineRule="auto"/>
                    <w:jc w:val="center"/>
                    <w:textAlignment w:val="center"/>
                    <w:rPr>
                      <w:b/>
                      <w:bCs/>
                      <w:color w:val="auto"/>
                      <w:sz w:val="21"/>
                      <w:szCs w:val="21"/>
                      <w:highlight w:val="none"/>
                    </w:rPr>
                  </w:pPr>
                  <w:r>
                    <w:rPr>
                      <w:b/>
                      <w:bCs/>
                      <w:color w:val="auto"/>
                      <w:kern w:val="0"/>
                      <w:sz w:val="21"/>
                      <w:szCs w:val="21"/>
                      <w:highlight w:val="none"/>
                    </w:rPr>
                    <w:t>类别</w:t>
                  </w:r>
                </w:p>
              </w:tc>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9262B">
                  <w:pPr>
                    <w:widowControl/>
                    <w:spacing w:line="240" w:lineRule="auto"/>
                    <w:jc w:val="center"/>
                    <w:textAlignment w:val="center"/>
                    <w:rPr>
                      <w:b/>
                      <w:bCs/>
                      <w:color w:val="auto"/>
                      <w:sz w:val="21"/>
                      <w:szCs w:val="21"/>
                      <w:highlight w:val="none"/>
                    </w:rPr>
                  </w:pPr>
                  <w:r>
                    <w:rPr>
                      <w:b/>
                      <w:bCs/>
                      <w:color w:val="auto"/>
                      <w:kern w:val="0"/>
                      <w:sz w:val="21"/>
                      <w:szCs w:val="21"/>
                      <w:highlight w:val="none"/>
                    </w:rPr>
                    <w:t>污染物种类</w:t>
                  </w:r>
                </w:p>
              </w:tc>
              <w:tc>
                <w:tcPr>
                  <w:tcW w:w="15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037357">
                  <w:pPr>
                    <w:widowControl/>
                    <w:spacing w:line="240" w:lineRule="auto"/>
                    <w:jc w:val="center"/>
                    <w:textAlignment w:val="center"/>
                    <w:rPr>
                      <w:b/>
                      <w:bCs/>
                      <w:color w:val="auto"/>
                      <w:sz w:val="21"/>
                      <w:szCs w:val="21"/>
                      <w:highlight w:val="none"/>
                    </w:rPr>
                  </w:pPr>
                  <w:r>
                    <w:rPr>
                      <w:b/>
                      <w:bCs/>
                      <w:color w:val="auto"/>
                      <w:kern w:val="0"/>
                      <w:sz w:val="21"/>
                      <w:szCs w:val="21"/>
                      <w:highlight w:val="none"/>
                    </w:rPr>
                    <w:t>污染物产生情况</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4FA37">
                  <w:pPr>
                    <w:widowControl/>
                    <w:spacing w:line="240" w:lineRule="auto"/>
                    <w:jc w:val="center"/>
                    <w:textAlignment w:val="center"/>
                    <w:rPr>
                      <w:b/>
                      <w:bCs/>
                      <w:color w:val="auto"/>
                      <w:sz w:val="21"/>
                      <w:szCs w:val="21"/>
                      <w:highlight w:val="none"/>
                    </w:rPr>
                  </w:pPr>
                  <w:r>
                    <w:rPr>
                      <w:b/>
                      <w:bCs/>
                      <w:color w:val="auto"/>
                      <w:kern w:val="0"/>
                      <w:sz w:val="21"/>
                      <w:szCs w:val="21"/>
                      <w:highlight w:val="none"/>
                    </w:rPr>
                    <w:t>治理措施基本情况</w:t>
                  </w:r>
                </w:p>
              </w:tc>
              <w:tc>
                <w:tcPr>
                  <w:tcW w:w="15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D64C5D">
                  <w:pPr>
                    <w:widowControl/>
                    <w:spacing w:line="240" w:lineRule="auto"/>
                    <w:jc w:val="center"/>
                    <w:textAlignment w:val="center"/>
                    <w:rPr>
                      <w:b/>
                      <w:bCs/>
                      <w:color w:val="auto"/>
                      <w:sz w:val="21"/>
                      <w:szCs w:val="21"/>
                      <w:highlight w:val="none"/>
                    </w:rPr>
                  </w:pPr>
                  <w:r>
                    <w:rPr>
                      <w:b/>
                      <w:bCs/>
                      <w:color w:val="auto"/>
                      <w:kern w:val="0"/>
                      <w:sz w:val="21"/>
                      <w:szCs w:val="21"/>
                      <w:highlight w:val="none"/>
                    </w:rPr>
                    <w:t>污染物排放情况</w:t>
                  </w:r>
                </w:p>
              </w:tc>
              <w:tc>
                <w:tcPr>
                  <w:tcW w:w="3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41E0F">
                  <w:pPr>
                    <w:widowControl/>
                    <w:spacing w:line="276" w:lineRule="auto"/>
                    <w:jc w:val="center"/>
                    <w:textAlignment w:val="center"/>
                    <w:rPr>
                      <w:b/>
                      <w:bCs/>
                      <w:color w:val="auto"/>
                      <w:sz w:val="21"/>
                      <w:szCs w:val="21"/>
                      <w:highlight w:val="none"/>
                    </w:rPr>
                  </w:pPr>
                  <w:r>
                    <w:rPr>
                      <w:b/>
                      <w:bCs/>
                      <w:color w:val="auto"/>
                      <w:kern w:val="0"/>
                      <w:sz w:val="21"/>
                      <w:szCs w:val="21"/>
                      <w:highlight w:val="none"/>
                    </w:rPr>
                    <w:t>排放时间</w:t>
                  </w:r>
                </w:p>
              </w:tc>
            </w:tr>
            <w:tr w14:paraId="6C40C39A">
              <w:tblPrEx>
                <w:tblCellMar>
                  <w:top w:w="0" w:type="dxa"/>
                  <w:left w:w="108" w:type="dxa"/>
                  <w:bottom w:w="0" w:type="dxa"/>
                  <w:right w:w="108" w:type="dxa"/>
                </w:tblCellMar>
              </w:tblPrEx>
              <w:trPr>
                <w:trHeight w:val="136"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2521E">
                  <w:pPr>
                    <w:widowControl/>
                    <w:spacing w:line="240" w:lineRule="auto"/>
                    <w:jc w:val="center"/>
                    <w:rPr>
                      <w:b/>
                      <w:bCs/>
                      <w:color w:val="auto"/>
                      <w:sz w:val="21"/>
                      <w:szCs w:val="21"/>
                      <w:highlight w:val="none"/>
                    </w:rPr>
                  </w:pPr>
                </w:p>
              </w:tc>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8F34C">
                  <w:pPr>
                    <w:widowControl/>
                    <w:spacing w:line="240" w:lineRule="auto"/>
                    <w:jc w:val="center"/>
                    <w:rPr>
                      <w:b/>
                      <w:bCs/>
                      <w:color w:val="auto"/>
                      <w:sz w:val="21"/>
                      <w:szCs w:val="21"/>
                      <w:highlight w:val="none"/>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8084">
                  <w:pPr>
                    <w:widowControl/>
                    <w:spacing w:line="240" w:lineRule="auto"/>
                    <w:jc w:val="center"/>
                    <w:textAlignment w:val="center"/>
                    <w:rPr>
                      <w:b/>
                      <w:bCs/>
                      <w:color w:val="auto"/>
                      <w:sz w:val="21"/>
                      <w:szCs w:val="21"/>
                      <w:highlight w:val="none"/>
                    </w:rPr>
                  </w:pPr>
                  <w:r>
                    <w:rPr>
                      <w:b/>
                      <w:bCs/>
                      <w:color w:val="auto"/>
                      <w:kern w:val="0"/>
                      <w:sz w:val="21"/>
                      <w:szCs w:val="21"/>
                      <w:highlight w:val="none"/>
                    </w:rPr>
                    <w:t>核算方法</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2A02">
                  <w:pPr>
                    <w:widowControl/>
                    <w:spacing w:line="240" w:lineRule="auto"/>
                    <w:jc w:val="center"/>
                    <w:textAlignment w:val="center"/>
                    <w:rPr>
                      <w:b/>
                      <w:bCs/>
                      <w:color w:val="auto"/>
                      <w:sz w:val="21"/>
                      <w:szCs w:val="21"/>
                      <w:highlight w:val="none"/>
                    </w:rPr>
                  </w:pPr>
                  <w:r>
                    <w:rPr>
                      <w:b/>
                      <w:bCs/>
                      <w:color w:val="auto"/>
                      <w:kern w:val="0"/>
                      <w:sz w:val="21"/>
                      <w:szCs w:val="21"/>
                      <w:highlight w:val="none"/>
                    </w:rPr>
                    <w:t>废水量产生量（t/a）</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99B7">
                  <w:pPr>
                    <w:widowControl/>
                    <w:spacing w:line="240" w:lineRule="auto"/>
                    <w:jc w:val="center"/>
                    <w:textAlignment w:val="center"/>
                    <w:rPr>
                      <w:b/>
                      <w:bCs/>
                      <w:color w:val="auto"/>
                      <w:sz w:val="21"/>
                      <w:szCs w:val="21"/>
                      <w:highlight w:val="none"/>
                    </w:rPr>
                  </w:pPr>
                  <w:r>
                    <w:rPr>
                      <w:b/>
                      <w:bCs/>
                      <w:color w:val="auto"/>
                      <w:kern w:val="0"/>
                      <w:sz w:val="21"/>
                      <w:szCs w:val="21"/>
                      <w:highlight w:val="none"/>
                    </w:rPr>
                    <w:t>产生浓度（mg/L）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A5F6">
                  <w:pPr>
                    <w:widowControl/>
                    <w:spacing w:line="240" w:lineRule="auto"/>
                    <w:jc w:val="center"/>
                    <w:textAlignment w:val="center"/>
                    <w:rPr>
                      <w:b/>
                      <w:bCs/>
                      <w:color w:val="auto"/>
                      <w:sz w:val="21"/>
                      <w:szCs w:val="21"/>
                      <w:highlight w:val="none"/>
                    </w:rPr>
                  </w:pPr>
                  <w:r>
                    <w:rPr>
                      <w:b/>
                      <w:bCs/>
                      <w:color w:val="auto"/>
                      <w:kern w:val="0"/>
                      <w:sz w:val="21"/>
                      <w:szCs w:val="21"/>
                      <w:highlight w:val="none"/>
                    </w:rPr>
                    <w:t>产生量（t/a）</w:t>
                  </w:r>
                </w:p>
              </w:tc>
              <w:tc>
                <w:tcPr>
                  <w:tcW w:w="343" w:type="pct"/>
                  <w:tcBorders>
                    <w:top w:val="single" w:color="000000" w:sz="4" w:space="0"/>
                    <w:left w:val="single" w:color="000000" w:sz="4" w:space="0"/>
                    <w:right w:val="single" w:color="000000" w:sz="4" w:space="0"/>
                  </w:tcBorders>
                  <w:shd w:val="clear" w:color="auto" w:fill="auto"/>
                  <w:vAlign w:val="center"/>
                </w:tcPr>
                <w:p w14:paraId="7E3E991C">
                  <w:pPr>
                    <w:widowControl/>
                    <w:spacing w:line="240" w:lineRule="auto"/>
                    <w:jc w:val="center"/>
                    <w:textAlignment w:val="center"/>
                    <w:rPr>
                      <w:b/>
                      <w:bCs/>
                      <w:color w:val="auto"/>
                      <w:kern w:val="0"/>
                      <w:sz w:val="21"/>
                      <w:szCs w:val="21"/>
                      <w:highlight w:val="none"/>
                    </w:rPr>
                  </w:pPr>
                  <w:r>
                    <w:rPr>
                      <w:b/>
                      <w:bCs/>
                      <w:color w:val="auto"/>
                      <w:kern w:val="0"/>
                      <w:sz w:val="21"/>
                      <w:szCs w:val="21"/>
                      <w:highlight w:val="none"/>
                    </w:rPr>
                    <w:t>治理</w:t>
                  </w:r>
                </w:p>
                <w:p w14:paraId="476F9549">
                  <w:pPr>
                    <w:widowControl/>
                    <w:spacing w:line="240" w:lineRule="auto"/>
                    <w:jc w:val="center"/>
                    <w:textAlignment w:val="center"/>
                    <w:rPr>
                      <w:b/>
                      <w:bCs/>
                      <w:color w:val="auto"/>
                      <w:sz w:val="21"/>
                      <w:szCs w:val="21"/>
                      <w:highlight w:val="none"/>
                    </w:rPr>
                  </w:pPr>
                  <w:r>
                    <w:rPr>
                      <w:b/>
                      <w:bCs/>
                      <w:color w:val="auto"/>
                      <w:kern w:val="0"/>
                      <w:sz w:val="21"/>
                      <w:szCs w:val="21"/>
                      <w:highlight w:val="none"/>
                    </w:rPr>
                    <w:t>工艺</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EDBE">
                  <w:pPr>
                    <w:widowControl/>
                    <w:spacing w:line="240" w:lineRule="auto"/>
                    <w:jc w:val="center"/>
                    <w:textAlignment w:val="center"/>
                    <w:rPr>
                      <w:b/>
                      <w:bCs/>
                      <w:color w:val="auto"/>
                      <w:sz w:val="21"/>
                      <w:szCs w:val="21"/>
                      <w:highlight w:val="none"/>
                    </w:rPr>
                  </w:pPr>
                  <w:r>
                    <w:rPr>
                      <w:b/>
                      <w:bCs/>
                      <w:color w:val="auto"/>
                      <w:kern w:val="0"/>
                      <w:sz w:val="21"/>
                      <w:szCs w:val="21"/>
                      <w:highlight w:val="none"/>
                    </w:rPr>
                    <w:t>治理效率%</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09AF">
                  <w:pPr>
                    <w:widowControl/>
                    <w:spacing w:line="240" w:lineRule="auto"/>
                    <w:jc w:val="center"/>
                    <w:textAlignment w:val="center"/>
                    <w:rPr>
                      <w:b/>
                      <w:bCs/>
                      <w:color w:val="auto"/>
                      <w:sz w:val="21"/>
                      <w:szCs w:val="21"/>
                      <w:highlight w:val="none"/>
                    </w:rPr>
                  </w:pPr>
                  <w:r>
                    <w:rPr>
                      <w:b/>
                      <w:bCs/>
                      <w:color w:val="auto"/>
                      <w:kern w:val="0"/>
                      <w:sz w:val="21"/>
                      <w:szCs w:val="21"/>
                      <w:highlight w:val="none"/>
                    </w:rPr>
                    <w:t>是否为可行技术</w:t>
                  </w:r>
                </w:p>
              </w:tc>
              <w:tc>
                <w:tcPr>
                  <w:tcW w:w="232" w:type="pct"/>
                  <w:tcBorders>
                    <w:top w:val="single" w:color="000000" w:sz="4" w:space="0"/>
                    <w:left w:val="single" w:color="000000" w:sz="4" w:space="0"/>
                    <w:right w:val="single" w:color="000000" w:sz="4" w:space="0"/>
                  </w:tcBorders>
                  <w:shd w:val="clear" w:color="auto" w:fill="auto"/>
                  <w:vAlign w:val="center"/>
                </w:tcPr>
                <w:p w14:paraId="69E77E37">
                  <w:pPr>
                    <w:widowControl/>
                    <w:spacing w:line="240" w:lineRule="auto"/>
                    <w:jc w:val="center"/>
                    <w:textAlignment w:val="center"/>
                    <w:rPr>
                      <w:b/>
                      <w:bCs/>
                      <w:color w:val="auto"/>
                      <w:kern w:val="0"/>
                      <w:sz w:val="21"/>
                      <w:szCs w:val="21"/>
                      <w:highlight w:val="none"/>
                    </w:rPr>
                  </w:pPr>
                  <w:r>
                    <w:rPr>
                      <w:b/>
                      <w:bCs/>
                      <w:color w:val="auto"/>
                      <w:kern w:val="0"/>
                      <w:sz w:val="21"/>
                      <w:szCs w:val="21"/>
                      <w:highlight w:val="none"/>
                    </w:rPr>
                    <w:t>核算</w:t>
                  </w:r>
                </w:p>
                <w:p w14:paraId="1CE2915F">
                  <w:pPr>
                    <w:widowControl/>
                    <w:spacing w:line="240" w:lineRule="auto"/>
                    <w:jc w:val="center"/>
                    <w:textAlignment w:val="center"/>
                    <w:rPr>
                      <w:b/>
                      <w:bCs/>
                      <w:color w:val="auto"/>
                      <w:sz w:val="21"/>
                      <w:szCs w:val="21"/>
                      <w:highlight w:val="none"/>
                    </w:rPr>
                  </w:pPr>
                  <w:r>
                    <w:rPr>
                      <w:b/>
                      <w:bCs/>
                      <w:color w:val="auto"/>
                      <w:kern w:val="0"/>
                      <w:sz w:val="21"/>
                      <w:szCs w:val="21"/>
                      <w:highlight w:val="none"/>
                    </w:rPr>
                    <w:t>方法</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62B82">
                  <w:pPr>
                    <w:widowControl/>
                    <w:spacing w:line="240" w:lineRule="auto"/>
                    <w:jc w:val="center"/>
                    <w:textAlignment w:val="center"/>
                    <w:rPr>
                      <w:b/>
                      <w:bCs/>
                      <w:color w:val="auto"/>
                      <w:sz w:val="21"/>
                      <w:szCs w:val="21"/>
                      <w:highlight w:val="none"/>
                    </w:rPr>
                  </w:pPr>
                  <w:r>
                    <w:rPr>
                      <w:b/>
                      <w:bCs/>
                      <w:color w:val="auto"/>
                      <w:kern w:val="0"/>
                      <w:sz w:val="21"/>
                      <w:szCs w:val="21"/>
                      <w:highlight w:val="none"/>
                    </w:rPr>
                    <w:t>废水排放量（t/a）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D268">
                  <w:pPr>
                    <w:widowControl/>
                    <w:spacing w:line="240" w:lineRule="auto"/>
                    <w:jc w:val="center"/>
                    <w:textAlignment w:val="center"/>
                    <w:rPr>
                      <w:b/>
                      <w:bCs/>
                      <w:color w:val="auto"/>
                      <w:sz w:val="21"/>
                      <w:szCs w:val="21"/>
                      <w:highlight w:val="none"/>
                    </w:rPr>
                  </w:pPr>
                  <w:r>
                    <w:rPr>
                      <w:b/>
                      <w:bCs/>
                      <w:color w:val="auto"/>
                      <w:kern w:val="0"/>
                      <w:sz w:val="21"/>
                      <w:szCs w:val="21"/>
                      <w:highlight w:val="none"/>
                    </w:rPr>
                    <w:t>排放浓度（mg/L）</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F7D8A">
                  <w:pPr>
                    <w:widowControl/>
                    <w:spacing w:line="240" w:lineRule="auto"/>
                    <w:jc w:val="center"/>
                    <w:textAlignment w:val="center"/>
                    <w:rPr>
                      <w:b/>
                      <w:bCs/>
                      <w:color w:val="auto"/>
                      <w:sz w:val="21"/>
                      <w:szCs w:val="21"/>
                      <w:highlight w:val="none"/>
                    </w:rPr>
                  </w:pPr>
                  <w:r>
                    <w:rPr>
                      <w:b/>
                      <w:bCs/>
                      <w:color w:val="auto"/>
                      <w:kern w:val="0"/>
                      <w:sz w:val="21"/>
                      <w:szCs w:val="21"/>
                      <w:highlight w:val="none"/>
                    </w:rPr>
                    <w:t>排放量（t/a）</w:t>
                  </w:r>
                </w:p>
              </w:tc>
              <w:tc>
                <w:tcPr>
                  <w:tcW w:w="3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52146">
                  <w:pPr>
                    <w:widowControl/>
                    <w:spacing w:line="276" w:lineRule="auto"/>
                    <w:jc w:val="center"/>
                    <w:rPr>
                      <w:b/>
                      <w:bCs/>
                      <w:color w:val="auto"/>
                      <w:sz w:val="21"/>
                      <w:szCs w:val="21"/>
                      <w:highlight w:val="none"/>
                    </w:rPr>
                  </w:pPr>
                </w:p>
              </w:tc>
            </w:tr>
            <w:tr w14:paraId="2C11B6A1">
              <w:tblPrEx>
                <w:tblCellMar>
                  <w:top w:w="0" w:type="dxa"/>
                  <w:left w:w="108" w:type="dxa"/>
                  <w:bottom w:w="0" w:type="dxa"/>
                  <w:right w:w="108" w:type="dxa"/>
                </w:tblCellMar>
              </w:tblPrEx>
              <w:trPr>
                <w:trHeight w:val="90" w:hRule="atLeast"/>
                <w:jc w:val="center"/>
              </w:trPr>
              <w:tc>
                <w:tcPr>
                  <w:tcW w:w="216" w:type="pct"/>
                  <w:vMerge w:val="restart"/>
                  <w:tcBorders>
                    <w:top w:val="single" w:color="000000" w:sz="4" w:space="0"/>
                    <w:left w:val="single" w:color="000000" w:sz="4" w:space="0"/>
                    <w:right w:val="single" w:color="000000" w:sz="4" w:space="0"/>
                  </w:tcBorders>
                  <w:shd w:val="clear" w:color="auto" w:fill="auto"/>
                  <w:vAlign w:val="center"/>
                </w:tcPr>
                <w:p w14:paraId="0A29D1DE">
                  <w:pPr>
                    <w:widowControl/>
                    <w:spacing w:line="276" w:lineRule="auto"/>
                    <w:jc w:val="center"/>
                    <w:textAlignment w:val="center"/>
                    <w:rPr>
                      <w:color w:val="auto"/>
                      <w:sz w:val="21"/>
                      <w:szCs w:val="21"/>
                      <w:highlight w:val="none"/>
                    </w:rPr>
                  </w:pPr>
                  <w:r>
                    <w:rPr>
                      <w:color w:val="auto"/>
                      <w:kern w:val="0"/>
                      <w:sz w:val="21"/>
                      <w:szCs w:val="21"/>
                      <w:highlight w:val="none"/>
                    </w:rPr>
                    <w:t>生活污水</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8567">
                  <w:pPr>
                    <w:widowControl/>
                    <w:spacing w:line="276" w:lineRule="auto"/>
                    <w:jc w:val="center"/>
                    <w:textAlignment w:val="center"/>
                    <w:rPr>
                      <w:color w:val="auto"/>
                      <w:sz w:val="21"/>
                      <w:szCs w:val="21"/>
                      <w:highlight w:val="none"/>
                    </w:rPr>
                  </w:pPr>
                  <w:r>
                    <w:rPr>
                      <w:color w:val="auto"/>
                      <w:kern w:val="0"/>
                      <w:sz w:val="21"/>
                      <w:szCs w:val="21"/>
                      <w:highlight w:val="none"/>
                    </w:rPr>
                    <w:t>COD</w:t>
                  </w:r>
                  <w:r>
                    <w:rPr>
                      <w:color w:val="auto"/>
                      <w:kern w:val="0"/>
                      <w:sz w:val="21"/>
                      <w:szCs w:val="21"/>
                      <w:highlight w:val="none"/>
                      <w:vertAlign w:val="subscript"/>
                    </w:rPr>
                    <w:t>Cr</w:t>
                  </w:r>
                </w:p>
              </w:tc>
              <w:tc>
                <w:tcPr>
                  <w:tcW w:w="208" w:type="pct"/>
                  <w:vMerge w:val="restart"/>
                  <w:tcBorders>
                    <w:top w:val="single" w:color="000000" w:sz="4" w:space="0"/>
                    <w:left w:val="single" w:color="000000" w:sz="4" w:space="0"/>
                    <w:right w:val="single" w:color="000000" w:sz="4" w:space="0"/>
                  </w:tcBorders>
                  <w:shd w:val="clear" w:color="auto" w:fill="auto"/>
                  <w:vAlign w:val="center"/>
                </w:tcPr>
                <w:p w14:paraId="1FF3E074">
                  <w:pPr>
                    <w:widowControl/>
                    <w:spacing w:line="276" w:lineRule="auto"/>
                    <w:jc w:val="center"/>
                    <w:textAlignment w:val="center"/>
                    <w:rPr>
                      <w:color w:val="auto"/>
                      <w:sz w:val="21"/>
                      <w:szCs w:val="21"/>
                      <w:highlight w:val="none"/>
                    </w:rPr>
                  </w:pPr>
                  <w:r>
                    <w:rPr>
                      <w:color w:val="auto"/>
                      <w:kern w:val="0"/>
                      <w:sz w:val="21"/>
                      <w:szCs w:val="21"/>
                      <w:highlight w:val="none"/>
                    </w:rPr>
                    <w:t>产污系数法</w:t>
                  </w:r>
                </w:p>
              </w:tc>
              <w:tc>
                <w:tcPr>
                  <w:tcW w:w="383" w:type="pct"/>
                  <w:vMerge w:val="restart"/>
                  <w:tcBorders>
                    <w:top w:val="single" w:color="000000" w:sz="4" w:space="0"/>
                    <w:left w:val="single" w:color="000000" w:sz="4" w:space="0"/>
                    <w:right w:val="single" w:color="000000" w:sz="4" w:space="0"/>
                  </w:tcBorders>
                  <w:shd w:val="clear" w:color="auto" w:fill="auto"/>
                  <w:vAlign w:val="center"/>
                </w:tcPr>
                <w:p w14:paraId="2D2F113A">
                  <w:pPr>
                    <w:widowControl/>
                    <w:spacing w:line="276" w:lineRule="auto"/>
                    <w:jc w:val="center"/>
                    <w:textAlignment w:val="center"/>
                    <w:rPr>
                      <w:color w:val="auto"/>
                      <w:sz w:val="21"/>
                      <w:szCs w:val="21"/>
                      <w:highlight w:val="none"/>
                    </w:rPr>
                  </w:pPr>
                  <w:r>
                    <w:rPr>
                      <w:color w:val="auto"/>
                      <w:kern w:val="0"/>
                      <w:sz w:val="21"/>
                      <w:szCs w:val="21"/>
                      <w:highlight w:val="none"/>
                    </w:rPr>
                    <w:t>3420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59EA">
                  <w:pPr>
                    <w:widowControl/>
                    <w:spacing w:line="276" w:lineRule="auto"/>
                    <w:jc w:val="center"/>
                    <w:textAlignment w:val="center"/>
                    <w:rPr>
                      <w:color w:val="auto"/>
                      <w:sz w:val="21"/>
                      <w:szCs w:val="21"/>
                      <w:highlight w:val="none"/>
                    </w:rPr>
                  </w:pPr>
                  <w:r>
                    <w:rPr>
                      <w:color w:val="auto"/>
                      <w:kern w:val="0"/>
                      <w:sz w:val="21"/>
                      <w:szCs w:val="21"/>
                      <w:highlight w:val="none"/>
                    </w:rPr>
                    <w:t>250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AEFB">
                  <w:pPr>
                    <w:widowControl/>
                    <w:jc w:val="center"/>
                    <w:textAlignment w:val="center"/>
                    <w:rPr>
                      <w:color w:val="auto"/>
                      <w:sz w:val="21"/>
                      <w:szCs w:val="21"/>
                      <w:highlight w:val="none"/>
                    </w:rPr>
                  </w:pPr>
                  <w:r>
                    <w:rPr>
                      <w:color w:val="auto"/>
                      <w:kern w:val="0"/>
                      <w:sz w:val="21"/>
                      <w:szCs w:val="21"/>
                      <w:highlight w:val="none"/>
                    </w:rPr>
                    <w:t>0.855</w:t>
                  </w:r>
                </w:p>
              </w:tc>
              <w:tc>
                <w:tcPr>
                  <w:tcW w:w="343" w:type="pct"/>
                  <w:vMerge w:val="restart"/>
                  <w:tcBorders>
                    <w:top w:val="single" w:color="000000" w:sz="4" w:space="0"/>
                    <w:left w:val="single" w:color="000000" w:sz="4" w:space="0"/>
                    <w:right w:val="single" w:color="000000" w:sz="4" w:space="0"/>
                  </w:tcBorders>
                  <w:shd w:val="clear" w:color="auto" w:fill="auto"/>
                  <w:vAlign w:val="center"/>
                </w:tcPr>
                <w:p w14:paraId="0C5540CA">
                  <w:pPr>
                    <w:widowControl/>
                    <w:spacing w:line="276" w:lineRule="auto"/>
                    <w:jc w:val="center"/>
                    <w:textAlignment w:val="center"/>
                    <w:rPr>
                      <w:color w:val="auto"/>
                      <w:sz w:val="21"/>
                      <w:szCs w:val="21"/>
                      <w:highlight w:val="none"/>
                    </w:rPr>
                  </w:pPr>
                  <w:r>
                    <w:rPr>
                      <w:color w:val="auto"/>
                      <w:kern w:val="0"/>
                      <w:sz w:val="21"/>
                      <w:szCs w:val="21"/>
                      <w:highlight w:val="none"/>
                    </w:rPr>
                    <w:t>三级化粪池、隔油隔渣池</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551E">
                  <w:pPr>
                    <w:widowControl/>
                    <w:spacing w:line="276" w:lineRule="auto"/>
                    <w:jc w:val="center"/>
                    <w:textAlignment w:val="center"/>
                    <w:rPr>
                      <w:color w:val="auto"/>
                      <w:sz w:val="21"/>
                      <w:szCs w:val="21"/>
                      <w:highlight w:val="none"/>
                    </w:rPr>
                  </w:pPr>
                  <w:r>
                    <w:rPr>
                      <w:color w:val="auto"/>
                      <w:kern w:val="0"/>
                      <w:sz w:val="21"/>
                      <w:szCs w:val="21"/>
                      <w:highlight w:val="none"/>
                    </w:rPr>
                    <w:t>20</w:t>
                  </w:r>
                </w:p>
              </w:tc>
              <w:tc>
                <w:tcPr>
                  <w:tcW w:w="299" w:type="pct"/>
                  <w:vMerge w:val="restart"/>
                  <w:tcBorders>
                    <w:top w:val="single" w:color="000000" w:sz="4" w:space="0"/>
                    <w:left w:val="single" w:color="000000" w:sz="4" w:space="0"/>
                    <w:right w:val="single" w:color="000000" w:sz="4" w:space="0"/>
                  </w:tcBorders>
                  <w:shd w:val="clear" w:color="auto" w:fill="auto"/>
                  <w:vAlign w:val="center"/>
                </w:tcPr>
                <w:p w14:paraId="3D93BDC1">
                  <w:pPr>
                    <w:widowControl/>
                    <w:spacing w:line="276" w:lineRule="auto"/>
                    <w:jc w:val="center"/>
                    <w:textAlignment w:val="center"/>
                    <w:rPr>
                      <w:color w:val="auto"/>
                      <w:sz w:val="21"/>
                      <w:szCs w:val="21"/>
                      <w:highlight w:val="none"/>
                    </w:rPr>
                  </w:pPr>
                  <w:r>
                    <w:rPr>
                      <w:color w:val="auto"/>
                      <w:kern w:val="0"/>
                      <w:sz w:val="21"/>
                      <w:szCs w:val="21"/>
                      <w:highlight w:val="none"/>
                    </w:rPr>
                    <w:t>是</w:t>
                  </w:r>
                </w:p>
              </w:tc>
              <w:tc>
                <w:tcPr>
                  <w:tcW w:w="232" w:type="pct"/>
                  <w:vMerge w:val="restart"/>
                  <w:tcBorders>
                    <w:top w:val="single" w:color="000000" w:sz="4" w:space="0"/>
                    <w:left w:val="single" w:color="000000" w:sz="4" w:space="0"/>
                    <w:right w:val="single" w:color="000000" w:sz="4" w:space="0"/>
                  </w:tcBorders>
                  <w:shd w:val="clear" w:color="auto" w:fill="auto"/>
                  <w:vAlign w:val="center"/>
                </w:tcPr>
                <w:p w14:paraId="648311AB">
                  <w:pPr>
                    <w:widowControl/>
                    <w:spacing w:line="276" w:lineRule="auto"/>
                    <w:jc w:val="center"/>
                    <w:textAlignment w:val="center"/>
                    <w:rPr>
                      <w:color w:val="auto"/>
                      <w:sz w:val="21"/>
                      <w:szCs w:val="21"/>
                      <w:highlight w:val="none"/>
                    </w:rPr>
                  </w:pPr>
                  <w:r>
                    <w:rPr>
                      <w:color w:val="auto"/>
                      <w:kern w:val="0"/>
                      <w:sz w:val="21"/>
                      <w:szCs w:val="21"/>
                      <w:highlight w:val="none"/>
                    </w:rPr>
                    <w:t>物料平衡法</w:t>
                  </w:r>
                </w:p>
              </w:tc>
              <w:tc>
                <w:tcPr>
                  <w:tcW w:w="433" w:type="pct"/>
                  <w:vMerge w:val="restart"/>
                  <w:tcBorders>
                    <w:top w:val="single" w:color="000000" w:sz="4" w:space="0"/>
                    <w:left w:val="single" w:color="000000" w:sz="4" w:space="0"/>
                    <w:right w:val="single" w:color="000000" w:sz="4" w:space="0"/>
                  </w:tcBorders>
                  <w:shd w:val="clear" w:color="auto" w:fill="auto"/>
                  <w:vAlign w:val="center"/>
                </w:tcPr>
                <w:p w14:paraId="2B4F9F59">
                  <w:pPr>
                    <w:widowControl/>
                    <w:spacing w:line="276" w:lineRule="auto"/>
                    <w:jc w:val="center"/>
                    <w:textAlignment w:val="center"/>
                    <w:rPr>
                      <w:color w:val="auto"/>
                      <w:sz w:val="21"/>
                      <w:szCs w:val="21"/>
                      <w:highlight w:val="none"/>
                    </w:rPr>
                  </w:pPr>
                  <w:r>
                    <w:rPr>
                      <w:color w:val="auto"/>
                      <w:kern w:val="0"/>
                      <w:sz w:val="21"/>
                      <w:szCs w:val="21"/>
                      <w:highlight w:val="none"/>
                    </w:rPr>
                    <w:t>3420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CD6E">
                  <w:pPr>
                    <w:widowControl/>
                    <w:jc w:val="center"/>
                    <w:textAlignment w:val="center"/>
                    <w:rPr>
                      <w:color w:val="auto"/>
                      <w:sz w:val="21"/>
                      <w:szCs w:val="21"/>
                      <w:highlight w:val="none"/>
                    </w:rPr>
                  </w:pPr>
                  <w:r>
                    <w:rPr>
                      <w:color w:val="auto"/>
                      <w:kern w:val="0"/>
                      <w:sz w:val="21"/>
                      <w:szCs w:val="21"/>
                      <w:highlight w:val="none"/>
                    </w:rPr>
                    <w:t>200</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6F7F5">
                  <w:pPr>
                    <w:widowControl/>
                    <w:jc w:val="center"/>
                    <w:textAlignment w:val="center"/>
                    <w:rPr>
                      <w:color w:val="auto"/>
                      <w:sz w:val="21"/>
                      <w:szCs w:val="21"/>
                      <w:highlight w:val="none"/>
                    </w:rPr>
                  </w:pPr>
                  <w:r>
                    <w:rPr>
                      <w:color w:val="auto"/>
                      <w:kern w:val="0"/>
                      <w:sz w:val="21"/>
                      <w:szCs w:val="21"/>
                      <w:highlight w:val="none"/>
                    </w:rPr>
                    <w:t xml:space="preserve">0.684 </w:t>
                  </w:r>
                </w:p>
              </w:tc>
              <w:tc>
                <w:tcPr>
                  <w:tcW w:w="316" w:type="pct"/>
                  <w:vMerge w:val="restart"/>
                  <w:tcBorders>
                    <w:top w:val="single" w:color="000000" w:sz="4" w:space="0"/>
                    <w:left w:val="single" w:color="000000" w:sz="4" w:space="0"/>
                    <w:right w:val="single" w:color="000000" w:sz="4" w:space="0"/>
                  </w:tcBorders>
                  <w:shd w:val="clear" w:color="auto" w:fill="auto"/>
                  <w:vAlign w:val="center"/>
                </w:tcPr>
                <w:p w14:paraId="048A4AEC">
                  <w:pPr>
                    <w:widowControl/>
                    <w:spacing w:line="276" w:lineRule="auto"/>
                    <w:jc w:val="center"/>
                    <w:textAlignment w:val="center"/>
                    <w:rPr>
                      <w:color w:val="auto"/>
                      <w:sz w:val="21"/>
                      <w:szCs w:val="21"/>
                      <w:highlight w:val="none"/>
                    </w:rPr>
                  </w:pPr>
                  <w:r>
                    <w:rPr>
                      <w:color w:val="auto"/>
                      <w:kern w:val="0"/>
                      <w:sz w:val="21"/>
                      <w:szCs w:val="21"/>
                      <w:highlight w:val="none"/>
                    </w:rPr>
                    <w:t>7920</w:t>
                  </w:r>
                </w:p>
              </w:tc>
            </w:tr>
            <w:tr w14:paraId="5F503B12">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6B88B511">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AD78">
                  <w:pPr>
                    <w:widowControl/>
                    <w:spacing w:line="276" w:lineRule="auto"/>
                    <w:jc w:val="center"/>
                    <w:textAlignment w:val="center"/>
                    <w:rPr>
                      <w:color w:val="auto"/>
                      <w:sz w:val="21"/>
                      <w:szCs w:val="21"/>
                      <w:highlight w:val="none"/>
                    </w:rPr>
                  </w:pPr>
                  <w:r>
                    <w:rPr>
                      <w:color w:val="auto"/>
                      <w:kern w:val="0"/>
                      <w:sz w:val="21"/>
                      <w:szCs w:val="21"/>
                      <w:highlight w:val="none"/>
                    </w:rPr>
                    <w:t>BOD</w:t>
                  </w:r>
                  <w:r>
                    <w:rPr>
                      <w:color w:val="auto"/>
                      <w:kern w:val="0"/>
                      <w:sz w:val="21"/>
                      <w:szCs w:val="21"/>
                      <w:highlight w:val="none"/>
                      <w:vertAlign w:val="subscript"/>
                    </w:rPr>
                    <w:t>5</w:t>
                  </w:r>
                </w:p>
              </w:tc>
              <w:tc>
                <w:tcPr>
                  <w:tcW w:w="208" w:type="pct"/>
                  <w:vMerge w:val="continue"/>
                  <w:tcBorders>
                    <w:left w:val="single" w:color="000000" w:sz="4" w:space="0"/>
                    <w:right w:val="single" w:color="000000" w:sz="4" w:space="0"/>
                  </w:tcBorders>
                  <w:shd w:val="clear" w:color="auto" w:fill="auto"/>
                  <w:vAlign w:val="center"/>
                </w:tcPr>
                <w:p w14:paraId="67779EBD">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2DC04E8A">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46A5">
                  <w:pPr>
                    <w:widowControl/>
                    <w:spacing w:line="276" w:lineRule="auto"/>
                    <w:jc w:val="center"/>
                    <w:textAlignment w:val="center"/>
                    <w:rPr>
                      <w:color w:val="auto"/>
                      <w:sz w:val="21"/>
                      <w:szCs w:val="21"/>
                      <w:highlight w:val="none"/>
                    </w:rPr>
                  </w:pPr>
                  <w:r>
                    <w:rPr>
                      <w:color w:val="auto"/>
                      <w:kern w:val="0"/>
                      <w:sz w:val="21"/>
                      <w:szCs w:val="21"/>
                      <w:highlight w:val="none"/>
                    </w:rPr>
                    <w:t>150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066E">
                  <w:pPr>
                    <w:widowControl/>
                    <w:jc w:val="center"/>
                    <w:textAlignment w:val="center"/>
                    <w:rPr>
                      <w:color w:val="auto"/>
                      <w:sz w:val="21"/>
                      <w:szCs w:val="21"/>
                      <w:highlight w:val="none"/>
                    </w:rPr>
                  </w:pPr>
                  <w:r>
                    <w:rPr>
                      <w:color w:val="auto"/>
                      <w:kern w:val="0"/>
                      <w:sz w:val="21"/>
                      <w:szCs w:val="21"/>
                      <w:highlight w:val="none"/>
                    </w:rPr>
                    <w:t>0.513</w:t>
                  </w:r>
                </w:p>
              </w:tc>
              <w:tc>
                <w:tcPr>
                  <w:tcW w:w="343" w:type="pct"/>
                  <w:vMerge w:val="continue"/>
                  <w:tcBorders>
                    <w:left w:val="single" w:color="000000" w:sz="4" w:space="0"/>
                    <w:right w:val="single" w:color="000000" w:sz="4" w:space="0"/>
                  </w:tcBorders>
                  <w:shd w:val="clear" w:color="auto" w:fill="auto"/>
                  <w:vAlign w:val="center"/>
                </w:tcPr>
                <w:p w14:paraId="70E4A522">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03A1">
                  <w:pPr>
                    <w:widowControl/>
                    <w:spacing w:line="276" w:lineRule="auto"/>
                    <w:jc w:val="center"/>
                    <w:textAlignment w:val="center"/>
                    <w:rPr>
                      <w:color w:val="auto"/>
                      <w:sz w:val="21"/>
                      <w:szCs w:val="21"/>
                      <w:highlight w:val="none"/>
                    </w:rPr>
                  </w:pPr>
                  <w:r>
                    <w:rPr>
                      <w:color w:val="auto"/>
                      <w:kern w:val="0"/>
                      <w:sz w:val="21"/>
                      <w:szCs w:val="21"/>
                      <w:highlight w:val="none"/>
                    </w:rPr>
                    <w:t>5</w:t>
                  </w:r>
                </w:p>
              </w:tc>
              <w:tc>
                <w:tcPr>
                  <w:tcW w:w="299" w:type="pct"/>
                  <w:vMerge w:val="continue"/>
                  <w:tcBorders>
                    <w:left w:val="single" w:color="000000" w:sz="4" w:space="0"/>
                    <w:right w:val="single" w:color="000000" w:sz="4" w:space="0"/>
                  </w:tcBorders>
                  <w:shd w:val="clear" w:color="auto" w:fill="auto"/>
                  <w:vAlign w:val="center"/>
                </w:tcPr>
                <w:p w14:paraId="36B4E253">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1148BCA4">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503F9B51">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4F59">
                  <w:pPr>
                    <w:widowControl/>
                    <w:jc w:val="center"/>
                    <w:textAlignment w:val="center"/>
                    <w:rPr>
                      <w:color w:val="auto"/>
                      <w:sz w:val="21"/>
                      <w:szCs w:val="21"/>
                      <w:highlight w:val="none"/>
                    </w:rPr>
                  </w:pPr>
                  <w:r>
                    <w:rPr>
                      <w:color w:val="auto"/>
                      <w:kern w:val="0"/>
                      <w:sz w:val="21"/>
                      <w:szCs w:val="21"/>
                      <w:highlight w:val="none"/>
                    </w:rPr>
                    <w:t>142.5</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AA9D">
                  <w:pPr>
                    <w:widowControl/>
                    <w:jc w:val="center"/>
                    <w:textAlignment w:val="center"/>
                    <w:rPr>
                      <w:color w:val="auto"/>
                      <w:sz w:val="21"/>
                      <w:szCs w:val="21"/>
                      <w:highlight w:val="none"/>
                    </w:rPr>
                  </w:pPr>
                  <w:r>
                    <w:rPr>
                      <w:color w:val="auto"/>
                      <w:kern w:val="0"/>
                      <w:sz w:val="21"/>
                      <w:szCs w:val="21"/>
                      <w:highlight w:val="none"/>
                    </w:rPr>
                    <w:t xml:space="preserve">0.487 </w:t>
                  </w:r>
                </w:p>
              </w:tc>
              <w:tc>
                <w:tcPr>
                  <w:tcW w:w="316" w:type="pct"/>
                  <w:vMerge w:val="continue"/>
                  <w:tcBorders>
                    <w:left w:val="single" w:color="000000" w:sz="4" w:space="0"/>
                    <w:right w:val="single" w:color="000000" w:sz="4" w:space="0"/>
                  </w:tcBorders>
                  <w:shd w:val="clear" w:color="auto" w:fill="auto"/>
                  <w:vAlign w:val="center"/>
                </w:tcPr>
                <w:p w14:paraId="46FB8DB8">
                  <w:pPr>
                    <w:widowControl/>
                    <w:spacing w:line="276" w:lineRule="auto"/>
                    <w:jc w:val="center"/>
                    <w:rPr>
                      <w:color w:val="auto"/>
                      <w:sz w:val="21"/>
                      <w:szCs w:val="21"/>
                      <w:highlight w:val="none"/>
                    </w:rPr>
                  </w:pPr>
                </w:p>
              </w:tc>
            </w:tr>
            <w:tr w14:paraId="6A129085">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53BBFFD8">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EC6E">
                  <w:pPr>
                    <w:widowControl/>
                    <w:spacing w:line="276" w:lineRule="auto"/>
                    <w:jc w:val="center"/>
                    <w:textAlignment w:val="center"/>
                    <w:rPr>
                      <w:color w:val="auto"/>
                      <w:sz w:val="21"/>
                      <w:szCs w:val="21"/>
                      <w:highlight w:val="none"/>
                    </w:rPr>
                  </w:pPr>
                  <w:r>
                    <w:rPr>
                      <w:color w:val="auto"/>
                      <w:kern w:val="0"/>
                      <w:sz w:val="21"/>
                      <w:szCs w:val="21"/>
                      <w:highlight w:val="none"/>
                    </w:rPr>
                    <w:t>SS</w:t>
                  </w:r>
                </w:p>
              </w:tc>
              <w:tc>
                <w:tcPr>
                  <w:tcW w:w="208" w:type="pct"/>
                  <w:vMerge w:val="continue"/>
                  <w:tcBorders>
                    <w:left w:val="single" w:color="000000" w:sz="4" w:space="0"/>
                    <w:right w:val="single" w:color="000000" w:sz="4" w:space="0"/>
                  </w:tcBorders>
                  <w:shd w:val="clear" w:color="auto" w:fill="auto"/>
                  <w:vAlign w:val="center"/>
                </w:tcPr>
                <w:p w14:paraId="7A1B8F6F">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35660E56">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67EB">
                  <w:pPr>
                    <w:widowControl/>
                    <w:spacing w:line="276" w:lineRule="auto"/>
                    <w:jc w:val="center"/>
                    <w:textAlignment w:val="center"/>
                    <w:rPr>
                      <w:color w:val="auto"/>
                      <w:sz w:val="21"/>
                      <w:szCs w:val="21"/>
                      <w:highlight w:val="none"/>
                    </w:rPr>
                  </w:pPr>
                  <w:r>
                    <w:rPr>
                      <w:color w:val="auto"/>
                      <w:kern w:val="0"/>
                      <w:sz w:val="21"/>
                      <w:szCs w:val="21"/>
                      <w:highlight w:val="none"/>
                    </w:rPr>
                    <w:t>150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5AE4">
                  <w:pPr>
                    <w:widowControl/>
                    <w:jc w:val="center"/>
                    <w:textAlignment w:val="center"/>
                    <w:rPr>
                      <w:color w:val="auto"/>
                      <w:sz w:val="21"/>
                      <w:szCs w:val="21"/>
                      <w:highlight w:val="none"/>
                    </w:rPr>
                  </w:pPr>
                  <w:r>
                    <w:rPr>
                      <w:color w:val="auto"/>
                      <w:kern w:val="0"/>
                      <w:sz w:val="21"/>
                      <w:szCs w:val="21"/>
                      <w:highlight w:val="none"/>
                    </w:rPr>
                    <w:t>0.513</w:t>
                  </w:r>
                </w:p>
              </w:tc>
              <w:tc>
                <w:tcPr>
                  <w:tcW w:w="343" w:type="pct"/>
                  <w:vMerge w:val="continue"/>
                  <w:tcBorders>
                    <w:left w:val="single" w:color="000000" w:sz="4" w:space="0"/>
                    <w:right w:val="single" w:color="000000" w:sz="4" w:space="0"/>
                  </w:tcBorders>
                  <w:shd w:val="clear" w:color="auto" w:fill="auto"/>
                  <w:vAlign w:val="center"/>
                </w:tcPr>
                <w:p w14:paraId="5AA91166">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CF8FF">
                  <w:pPr>
                    <w:widowControl/>
                    <w:spacing w:line="276" w:lineRule="auto"/>
                    <w:jc w:val="center"/>
                    <w:textAlignment w:val="center"/>
                    <w:rPr>
                      <w:color w:val="auto"/>
                      <w:sz w:val="21"/>
                      <w:szCs w:val="21"/>
                      <w:highlight w:val="none"/>
                    </w:rPr>
                  </w:pPr>
                  <w:r>
                    <w:rPr>
                      <w:color w:val="auto"/>
                      <w:kern w:val="0"/>
                      <w:sz w:val="21"/>
                      <w:szCs w:val="21"/>
                      <w:highlight w:val="none"/>
                    </w:rPr>
                    <w:t>30</w:t>
                  </w:r>
                </w:p>
              </w:tc>
              <w:tc>
                <w:tcPr>
                  <w:tcW w:w="299" w:type="pct"/>
                  <w:vMerge w:val="continue"/>
                  <w:tcBorders>
                    <w:left w:val="single" w:color="000000" w:sz="4" w:space="0"/>
                    <w:right w:val="single" w:color="000000" w:sz="4" w:space="0"/>
                  </w:tcBorders>
                  <w:shd w:val="clear" w:color="auto" w:fill="auto"/>
                  <w:vAlign w:val="center"/>
                </w:tcPr>
                <w:p w14:paraId="09D50E31">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1981F72C">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51DFE0CE">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2782">
                  <w:pPr>
                    <w:widowControl/>
                    <w:jc w:val="center"/>
                    <w:textAlignment w:val="center"/>
                    <w:rPr>
                      <w:color w:val="auto"/>
                      <w:sz w:val="21"/>
                      <w:szCs w:val="21"/>
                      <w:highlight w:val="none"/>
                    </w:rPr>
                  </w:pPr>
                  <w:r>
                    <w:rPr>
                      <w:color w:val="auto"/>
                      <w:kern w:val="0"/>
                      <w:sz w:val="21"/>
                      <w:szCs w:val="21"/>
                      <w:highlight w:val="none"/>
                    </w:rPr>
                    <w:t>105</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409B">
                  <w:pPr>
                    <w:widowControl/>
                    <w:jc w:val="center"/>
                    <w:textAlignment w:val="center"/>
                    <w:rPr>
                      <w:color w:val="auto"/>
                      <w:sz w:val="21"/>
                      <w:szCs w:val="21"/>
                      <w:highlight w:val="none"/>
                    </w:rPr>
                  </w:pPr>
                  <w:r>
                    <w:rPr>
                      <w:color w:val="auto"/>
                      <w:kern w:val="0"/>
                      <w:sz w:val="21"/>
                      <w:szCs w:val="21"/>
                      <w:highlight w:val="none"/>
                    </w:rPr>
                    <w:t xml:space="preserve">0.359 </w:t>
                  </w:r>
                </w:p>
              </w:tc>
              <w:tc>
                <w:tcPr>
                  <w:tcW w:w="316" w:type="pct"/>
                  <w:vMerge w:val="continue"/>
                  <w:tcBorders>
                    <w:left w:val="single" w:color="000000" w:sz="4" w:space="0"/>
                    <w:right w:val="single" w:color="000000" w:sz="4" w:space="0"/>
                  </w:tcBorders>
                  <w:shd w:val="clear" w:color="auto" w:fill="auto"/>
                  <w:vAlign w:val="center"/>
                </w:tcPr>
                <w:p w14:paraId="32D4F0B6">
                  <w:pPr>
                    <w:widowControl/>
                    <w:spacing w:line="276" w:lineRule="auto"/>
                    <w:jc w:val="center"/>
                    <w:rPr>
                      <w:color w:val="auto"/>
                      <w:sz w:val="21"/>
                      <w:szCs w:val="21"/>
                      <w:highlight w:val="none"/>
                    </w:rPr>
                  </w:pPr>
                </w:p>
              </w:tc>
            </w:tr>
            <w:tr w14:paraId="7C42F447">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2E143E12">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37525">
                  <w:pPr>
                    <w:widowControl/>
                    <w:spacing w:line="276" w:lineRule="auto"/>
                    <w:jc w:val="center"/>
                    <w:textAlignment w:val="center"/>
                    <w:rPr>
                      <w:color w:val="auto"/>
                      <w:sz w:val="21"/>
                      <w:szCs w:val="21"/>
                      <w:highlight w:val="none"/>
                    </w:rPr>
                  </w:pPr>
                  <w:r>
                    <w:rPr>
                      <w:color w:val="auto"/>
                      <w:kern w:val="0"/>
                      <w:sz w:val="21"/>
                      <w:szCs w:val="21"/>
                      <w:highlight w:val="none"/>
                    </w:rPr>
                    <w:t>NH</w:t>
                  </w:r>
                  <w:r>
                    <w:rPr>
                      <w:color w:val="auto"/>
                      <w:kern w:val="0"/>
                      <w:sz w:val="21"/>
                      <w:szCs w:val="21"/>
                      <w:highlight w:val="none"/>
                      <w:vertAlign w:val="subscript"/>
                    </w:rPr>
                    <w:t>3</w:t>
                  </w:r>
                  <w:r>
                    <w:rPr>
                      <w:color w:val="auto"/>
                      <w:kern w:val="0"/>
                      <w:sz w:val="21"/>
                      <w:szCs w:val="21"/>
                      <w:highlight w:val="none"/>
                    </w:rPr>
                    <w:t>-N</w:t>
                  </w:r>
                </w:p>
              </w:tc>
              <w:tc>
                <w:tcPr>
                  <w:tcW w:w="208" w:type="pct"/>
                  <w:vMerge w:val="continue"/>
                  <w:tcBorders>
                    <w:left w:val="single" w:color="000000" w:sz="4" w:space="0"/>
                    <w:right w:val="single" w:color="000000" w:sz="4" w:space="0"/>
                  </w:tcBorders>
                  <w:shd w:val="clear" w:color="auto" w:fill="auto"/>
                  <w:vAlign w:val="center"/>
                </w:tcPr>
                <w:p w14:paraId="29EF40C4">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33344FE6">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5288">
                  <w:pPr>
                    <w:widowControl/>
                    <w:spacing w:line="276" w:lineRule="auto"/>
                    <w:jc w:val="center"/>
                    <w:textAlignment w:val="center"/>
                    <w:rPr>
                      <w:color w:val="auto"/>
                      <w:sz w:val="21"/>
                      <w:szCs w:val="21"/>
                      <w:highlight w:val="none"/>
                    </w:rPr>
                  </w:pPr>
                  <w:r>
                    <w:rPr>
                      <w:color w:val="auto"/>
                      <w:kern w:val="0"/>
                      <w:sz w:val="21"/>
                      <w:szCs w:val="21"/>
                      <w:highlight w:val="none"/>
                    </w:rPr>
                    <w:t>30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1BC6">
                  <w:pPr>
                    <w:widowControl/>
                    <w:jc w:val="center"/>
                    <w:textAlignment w:val="center"/>
                    <w:rPr>
                      <w:color w:val="auto"/>
                      <w:sz w:val="21"/>
                      <w:szCs w:val="21"/>
                      <w:highlight w:val="none"/>
                    </w:rPr>
                  </w:pPr>
                  <w:r>
                    <w:rPr>
                      <w:color w:val="auto"/>
                      <w:kern w:val="0"/>
                      <w:sz w:val="21"/>
                      <w:szCs w:val="21"/>
                      <w:highlight w:val="none"/>
                    </w:rPr>
                    <w:t>0.1026</w:t>
                  </w:r>
                </w:p>
              </w:tc>
              <w:tc>
                <w:tcPr>
                  <w:tcW w:w="343" w:type="pct"/>
                  <w:vMerge w:val="continue"/>
                  <w:tcBorders>
                    <w:left w:val="single" w:color="000000" w:sz="4" w:space="0"/>
                    <w:right w:val="single" w:color="000000" w:sz="4" w:space="0"/>
                  </w:tcBorders>
                  <w:shd w:val="clear" w:color="auto" w:fill="auto"/>
                  <w:vAlign w:val="center"/>
                </w:tcPr>
                <w:p w14:paraId="009EBAD0">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F9C2">
                  <w:pPr>
                    <w:widowControl/>
                    <w:spacing w:line="276" w:lineRule="auto"/>
                    <w:jc w:val="center"/>
                    <w:textAlignment w:val="center"/>
                    <w:rPr>
                      <w:color w:val="auto"/>
                      <w:sz w:val="21"/>
                      <w:szCs w:val="21"/>
                      <w:highlight w:val="none"/>
                    </w:rPr>
                  </w:pPr>
                  <w:r>
                    <w:rPr>
                      <w:color w:val="auto"/>
                      <w:kern w:val="0"/>
                      <w:sz w:val="21"/>
                      <w:szCs w:val="21"/>
                      <w:highlight w:val="none"/>
                    </w:rPr>
                    <w:t>0</w:t>
                  </w:r>
                </w:p>
              </w:tc>
              <w:tc>
                <w:tcPr>
                  <w:tcW w:w="299" w:type="pct"/>
                  <w:vMerge w:val="continue"/>
                  <w:tcBorders>
                    <w:left w:val="single" w:color="000000" w:sz="4" w:space="0"/>
                    <w:right w:val="single" w:color="000000" w:sz="4" w:space="0"/>
                  </w:tcBorders>
                  <w:shd w:val="clear" w:color="auto" w:fill="auto"/>
                  <w:vAlign w:val="center"/>
                </w:tcPr>
                <w:p w14:paraId="22F1A7D3">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4B85032B">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1F9FEA25">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54CD">
                  <w:pPr>
                    <w:widowControl/>
                    <w:jc w:val="center"/>
                    <w:textAlignment w:val="center"/>
                    <w:rPr>
                      <w:color w:val="auto"/>
                      <w:sz w:val="21"/>
                      <w:szCs w:val="21"/>
                      <w:highlight w:val="none"/>
                    </w:rPr>
                  </w:pPr>
                  <w:r>
                    <w:rPr>
                      <w:color w:val="auto"/>
                      <w:kern w:val="0"/>
                      <w:sz w:val="21"/>
                      <w:szCs w:val="21"/>
                      <w:highlight w:val="none"/>
                    </w:rPr>
                    <w:t>30</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4DBF">
                  <w:pPr>
                    <w:widowControl/>
                    <w:jc w:val="center"/>
                    <w:textAlignment w:val="center"/>
                    <w:rPr>
                      <w:color w:val="auto"/>
                      <w:sz w:val="21"/>
                      <w:szCs w:val="21"/>
                      <w:highlight w:val="none"/>
                    </w:rPr>
                  </w:pPr>
                  <w:r>
                    <w:rPr>
                      <w:color w:val="auto"/>
                      <w:kern w:val="0"/>
                      <w:sz w:val="21"/>
                      <w:szCs w:val="21"/>
                      <w:highlight w:val="none"/>
                    </w:rPr>
                    <w:t xml:space="preserve">0.103 </w:t>
                  </w:r>
                </w:p>
              </w:tc>
              <w:tc>
                <w:tcPr>
                  <w:tcW w:w="316" w:type="pct"/>
                  <w:vMerge w:val="continue"/>
                  <w:tcBorders>
                    <w:left w:val="single" w:color="000000" w:sz="4" w:space="0"/>
                    <w:right w:val="single" w:color="000000" w:sz="4" w:space="0"/>
                  </w:tcBorders>
                  <w:shd w:val="clear" w:color="auto" w:fill="auto"/>
                  <w:vAlign w:val="center"/>
                </w:tcPr>
                <w:p w14:paraId="3FBFF6B6">
                  <w:pPr>
                    <w:widowControl/>
                    <w:spacing w:line="276" w:lineRule="auto"/>
                    <w:jc w:val="center"/>
                    <w:rPr>
                      <w:color w:val="auto"/>
                      <w:sz w:val="21"/>
                      <w:szCs w:val="21"/>
                      <w:highlight w:val="none"/>
                    </w:rPr>
                  </w:pPr>
                </w:p>
              </w:tc>
            </w:tr>
            <w:tr w14:paraId="76D1A2A2">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71424179">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35E5">
                  <w:pPr>
                    <w:widowControl/>
                    <w:spacing w:line="276" w:lineRule="auto"/>
                    <w:jc w:val="center"/>
                    <w:textAlignment w:val="center"/>
                    <w:rPr>
                      <w:color w:val="auto"/>
                      <w:sz w:val="21"/>
                      <w:szCs w:val="21"/>
                      <w:highlight w:val="none"/>
                    </w:rPr>
                  </w:pPr>
                  <w:r>
                    <w:rPr>
                      <w:color w:val="auto"/>
                      <w:kern w:val="0"/>
                      <w:sz w:val="21"/>
                      <w:szCs w:val="21"/>
                      <w:highlight w:val="none"/>
                    </w:rPr>
                    <w:t>总磷</w:t>
                  </w:r>
                </w:p>
              </w:tc>
              <w:tc>
                <w:tcPr>
                  <w:tcW w:w="208" w:type="pct"/>
                  <w:vMerge w:val="continue"/>
                  <w:tcBorders>
                    <w:left w:val="single" w:color="000000" w:sz="4" w:space="0"/>
                    <w:right w:val="single" w:color="000000" w:sz="4" w:space="0"/>
                  </w:tcBorders>
                  <w:shd w:val="clear" w:color="auto" w:fill="auto"/>
                  <w:vAlign w:val="center"/>
                </w:tcPr>
                <w:p w14:paraId="0D80E217">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6DD917FB">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2B7E6">
                  <w:pPr>
                    <w:widowControl/>
                    <w:spacing w:line="276" w:lineRule="auto"/>
                    <w:jc w:val="center"/>
                    <w:textAlignment w:val="center"/>
                    <w:rPr>
                      <w:color w:val="auto"/>
                      <w:kern w:val="0"/>
                      <w:sz w:val="21"/>
                      <w:szCs w:val="21"/>
                      <w:highlight w:val="none"/>
                    </w:rPr>
                  </w:pPr>
                  <w:r>
                    <w:rPr>
                      <w:color w:val="auto"/>
                      <w:kern w:val="0"/>
                      <w:sz w:val="21"/>
                      <w:szCs w:val="21"/>
                      <w:highlight w:val="none"/>
                    </w:rPr>
                    <w:t>5</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7832">
                  <w:pPr>
                    <w:widowControl/>
                    <w:jc w:val="center"/>
                    <w:textAlignment w:val="center"/>
                    <w:rPr>
                      <w:color w:val="auto"/>
                      <w:kern w:val="0"/>
                      <w:sz w:val="21"/>
                      <w:szCs w:val="21"/>
                      <w:highlight w:val="none"/>
                    </w:rPr>
                  </w:pPr>
                  <w:r>
                    <w:rPr>
                      <w:color w:val="auto"/>
                      <w:kern w:val="0"/>
                      <w:sz w:val="21"/>
                      <w:szCs w:val="21"/>
                      <w:highlight w:val="none"/>
                    </w:rPr>
                    <w:t>0.0171</w:t>
                  </w:r>
                </w:p>
              </w:tc>
              <w:tc>
                <w:tcPr>
                  <w:tcW w:w="343" w:type="pct"/>
                  <w:vMerge w:val="continue"/>
                  <w:tcBorders>
                    <w:left w:val="single" w:color="000000" w:sz="4" w:space="0"/>
                    <w:right w:val="single" w:color="000000" w:sz="4" w:space="0"/>
                  </w:tcBorders>
                  <w:shd w:val="clear" w:color="auto" w:fill="auto"/>
                  <w:vAlign w:val="center"/>
                </w:tcPr>
                <w:p w14:paraId="04382985">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4CAA">
                  <w:pPr>
                    <w:widowControl/>
                    <w:spacing w:line="276" w:lineRule="auto"/>
                    <w:jc w:val="center"/>
                    <w:textAlignment w:val="center"/>
                    <w:rPr>
                      <w:color w:val="auto"/>
                      <w:kern w:val="0"/>
                      <w:sz w:val="21"/>
                      <w:szCs w:val="21"/>
                      <w:highlight w:val="none"/>
                    </w:rPr>
                  </w:pPr>
                  <w:r>
                    <w:rPr>
                      <w:color w:val="auto"/>
                      <w:kern w:val="0"/>
                      <w:sz w:val="21"/>
                      <w:szCs w:val="21"/>
                      <w:highlight w:val="none"/>
                    </w:rPr>
                    <w:t>20</w:t>
                  </w:r>
                </w:p>
              </w:tc>
              <w:tc>
                <w:tcPr>
                  <w:tcW w:w="299" w:type="pct"/>
                  <w:vMerge w:val="continue"/>
                  <w:tcBorders>
                    <w:left w:val="single" w:color="000000" w:sz="4" w:space="0"/>
                    <w:right w:val="single" w:color="000000" w:sz="4" w:space="0"/>
                  </w:tcBorders>
                  <w:shd w:val="clear" w:color="auto" w:fill="auto"/>
                  <w:vAlign w:val="center"/>
                </w:tcPr>
                <w:p w14:paraId="2D2B21E7">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379D917B">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64B5AC7C">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331B">
                  <w:pPr>
                    <w:widowControl/>
                    <w:jc w:val="center"/>
                    <w:textAlignment w:val="center"/>
                    <w:rPr>
                      <w:color w:val="auto"/>
                      <w:kern w:val="0"/>
                      <w:sz w:val="21"/>
                      <w:szCs w:val="21"/>
                      <w:highlight w:val="none"/>
                    </w:rPr>
                  </w:pPr>
                  <w:r>
                    <w:rPr>
                      <w:color w:val="auto"/>
                      <w:kern w:val="0"/>
                      <w:sz w:val="21"/>
                      <w:szCs w:val="21"/>
                      <w:highlight w:val="none"/>
                    </w:rPr>
                    <w:t>4</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7317">
                  <w:pPr>
                    <w:widowControl/>
                    <w:jc w:val="center"/>
                    <w:textAlignment w:val="center"/>
                    <w:rPr>
                      <w:color w:val="auto"/>
                      <w:kern w:val="0"/>
                      <w:sz w:val="21"/>
                      <w:szCs w:val="21"/>
                      <w:highlight w:val="none"/>
                    </w:rPr>
                  </w:pPr>
                  <w:r>
                    <w:rPr>
                      <w:color w:val="auto"/>
                      <w:kern w:val="0"/>
                      <w:sz w:val="21"/>
                      <w:szCs w:val="21"/>
                      <w:highlight w:val="none"/>
                    </w:rPr>
                    <w:t xml:space="preserve">0.014 </w:t>
                  </w:r>
                </w:p>
              </w:tc>
              <w:tc>
                <w:tcPr>
                  <w:tcW w:w="316" w:type="pct"/>
                  <w:vMerge w:val="continue"/>
                  <w:tcBorders>
                    <w:left w:val="single" w:color="000000" w:sz="4" w:space="0"/>
                    <w:right w:val="single" w:color="000000" w:sz="4" w:space="0"/>
                  </w:tcBorders>
                  <w:shd w:val="clear" w:color="auto" w:fill="auto"/>
                  <w:vAlign w:val="center"/>
                </w:tcPr>
                <w:p w14:paraId="0975C7B1">
                  <w:pPr>
                    <w:widowControl/>
                    <w:spacing w:line="276" w:lineRule="auto"/>
                    <w:jc w:val="center"/>
                    <w:rPr>
                      <w:color w:val="auto"/>
                      <w:sz w:val="21"/>
                      <w:szCs w:val="21"/>
                      <w:highlight w:val="none"/>
                    </w:rPr>
                  </w:pPr>
                </w:p>
              </w:tc>
            </w:tr>
            <w:tr w14:paraId="09B89845">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4ECD24E2">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767E">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LAS</w:t>
                  </w:r>
                </w:p>
              </w:tc>
              <w:tc>
                <w:tcPr>
                  <w:tcW w:w="208" w:type="pct"/>
                  <w:vMerge w:val="continue"/>
                  <w:tcBorders>
                    <w:left w:val="single" w:color="000000" w:sz="4" w:space="0"/>
                    <w:right w:val="single" w:color="000000" w:sz="4" w:space="0"/>
                  </w:tcBorders>
                  <w:shd w:val="clear" w:color="auto" w:fill="auto"/>
                  <w:vAlign w:val="center"/>
                </w:tcPr>
                <w:p w14:paraId="2444DE7D">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3160B33A">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8105">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5</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21DD">
                  <w:pPr>
                    <w:widowControl/>
                    <w:jc w:val="center"/>
                    <w:textAlignment w:val="center"/>
                    <w:rPr>
                      <w:color w:val="auto"/>
                      <w:kern w:val="0"/>
                      <w:sz w:val="21"/>
                      <w:szCs w:val="21"/>
                      <w:highlight w:val="none"/>
                    </w:rPr>
                  </w:pPr>
                  <w:r>
                    <w:rPr>
                      <w:rFonts w:hint="eastAsia"/>
                      <w:color w:val="auto"/>
                      <w:kern w:val="0"/>
                      <w:sz w:val="21"/>
                      <w:szCs w:val="21"/>
                      <w:highlight w:val="none"/>
                    </w:rPr>
                    <w:t>0.017</w:t>
                  </w:r>
                </w:p>
              </w:tc>
              <w:tc>
                <w:tcPr>
                  <w:tcW w:w="343" w:type="pct"/>
                  <w:vMerge w:val="continue"/>
                  <w:tcBorders>
                    <w:left w:val="single" w:color="000000" w:sz="4" w:space="0"/>
                    <w:right w:val="single" w:color="000000" w:sz="4" w:space="0"/>
                  </w:tcBorders>
                  <w:shd w:val="clear" w:color="auto" w:fill="auto"/>
                  <w:vAlign w:val="center"/>
                </w:tcPr>
                <w:p w14:paraId="329CBFA5">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E5DC">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0</w:t>
                  </w:r>
                </w:p>
              </w:tc>
              <w:tc>
                <w:tcPr>
                  <w:tcW w:w="299" w:type="pct"/>
                  <w:vMerge w:val="continue"/>
                  <w:tcBorders>
                    <w:left w:val="single" w:color="000000" w:sz="4" w:space="0"/>
                    <w:right w:val="single" w:color="000000" w:sz="4" w:space="0"/>
                  </w:tcBorders>
                  <w:shd w:val="clear" w:color="auto" w:fill="auto"/>
                  <w:vAlign w:val="center"/>
                </w:tcPr>
                <w:p w14:paraId="524EDC73">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12C032D5">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7D462044">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E0FD">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5</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A6E4">
                  <w:pPr>
                    <w:widowControl/>
                    <w:jc w:val="center"/>
                    <w:textAlignment w:val="center"/>
                    <w:rPr>
                      <w:color w:val="auto"/>
                      <w:kern w:val="0"/>
                      <w:sz w:val="21"/>
                      <w:szCs w:val="21"/>
                      <w:highlight w:val="none"/>
                    </w:rPr>
                  </w:pPr>
                  <w:r>
                    <w:rPr>
                      <w:rFonts w:hint="eastAsia"/>
                      <w:color w:val="auto"/>
                      <w:kern w:val="0"/>
                      <w:sz w:val="21"/>
                      <w:szCs w:val="21"/>
                      <w:highlight w:val="none"/>
                    </w:rPr>
                    <w:t>0.017</w:t>
                  </w:r>
                </w:p>
              </w:tc>
              <w:tc>
                <w:tcPr>
                  <w:tcW w:w="316" w:type="pct"/>
                  <w:vMerge w:val="continue"/>
                  <w:tcBorders>
                    <w:left w:val="single" w:color="000000" w:sz="4" w:space="0"/>
                    <w:right w:val="single" w:color="000000" w:sz="4" w:space="0"/>
                  </w:tcBorders>
                  <w:shd w:val="clear" w:color="auto" w:fill="auto"/>
                  <w:vAlign w:val="center"/>
                </w:tcPr>
                <w:p w14:paraId="72DBF415">
                  <w:pPr>
                    <w:widowControl/>
                    <w:spacing w:line="276" w:lineRule="auto"/>
                    <w:jc w:val="center"/>
                    <w:rPr>
                      <w:color w:val="auto"/>
                      <w:sz w:val="21"/>
                      <w:szCs w:val="21"/>
                      <w:highlight w:val="none"/>
                    </w:rPr>
                  </w:pPr>
                </w:p>
              </w:tc>
            </w:tr>
            <w:tr w14:paraId="0D76B244">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right w:val="single" w:color="000000" w:sz="4" w:space="0"/>
                  </w:tcBorders>
                  <w:shd w:val="clear" w:color="auto" w:fill="auto"/>
                  <w:vAlign w:val="center"/>
                </w:tcPr>
                <w:p w14:paraId="13CF2AEF">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A478">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TN</w:t>
                  </w:r>
                </w:p>
              </w:tc>
              <w:tc>
                <w:tcPr>
                  <w:tcW w:w="208" w:type="pct"/>
                  <w:vMerge w:val="continue"/>
                  <w:tcBorders>
                    <w:left w:val="single" w:color="000000" w:sz="4" w:space="0"/>
                    <w:right w:val="single" w:color="000000" w:sz="4" w:space="0"/>
                  </w:tcBorders>
                  <w:shd w:val="clear" w:color="auto" w:fill="auto"/>
                  <w:vAlign w:val="center"/>
                </w:tcPr>
                <w:p w14:paraId="4AB69126">
                  <w:pPr>
                    <w:widowControl/>
                    <w:spacing w:line="276" w:lineRule="auto"/>
                    <w:jc w:val="center"/>
                    <w:rPr>
                      <w:color w:val="auto"/>
                      <w:sz w:val="21"/>
                      <w:szCs w:val="21"/>
                      <w:highlight w:val="none"/>
                    </w:rPr>
                  </w:pPr>
                </w:p>
              </w:tc>
              <w:tc>
                <w:tcPr>
                  <w:tcW w:w="383" w:type="pct"/>
                  <w:vMerge w:val="continue"/>
                  <w:tcBorders>
                    <w:left w:val="single" w:color="000000" w:sz="4" w:space="0"/>
                    <w:right w:val="single" w:color="000000" w:sz="4" w:space="0"/>
                  </w:tcBorders>
                  <w:shd w:val="clear" w:color="auto" w:fill="auto"/>
                  <w:vAlign w:val="center"/>
                </w:tcPr>
                <w:p w14:paraId="195F334B">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C372">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40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FBC76">
                  <w:pPr>
                    <w:widowControl/>
                    <w:jc w:val="center"/>
                    <w:textAlignment w:val="center"/>
                    <w:rPr>
                      <w:color w:val="auto"/>
                      <w:kern w:val="0"/>
                      <w:sz w:val="21"/>
                      <w:szCs w:val="21"/>
                      <w:highlight w:val="none"/>
                    </w:rPr>
                  </w:pPr>
                  <w:r>
                    <w:rPr>
                      <w:rFonts w:hint="eastAsia"/>
                      <w:color w:val="auto"/>
                      <w:kern w:val="0"/>
                      <w:sz w:val="21"/>
                      <w:szCs w:val="21"/>
                      <w:highlight w:val="none"/>
                    </w:rPr>
                    <w:t>0.137</w:t>
                  </w:r>
                </w:p>
              </w:tc>
              <w:tc>
                <w:tcPr>
                  <w:tcW w:w="343" w:type="pct"/>
                  <w:vMerge w:val="continue"/>
                  <w:tcBorders>
                    <w:left w:val="single" w:color="000000" w:sz="4" w:space="0"/>
                    <w:right w:val="single" w:color="000000" w:sz="4" w:space="0"/>
                  </w:tcBorders>
                  <w:shd w:val="clear" w:color="auto" w:fill="auto"/>
                  <w:vAlign w:val="center"/>
                </w:tcPr>
                <w:p w14:paraId="1696270B">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63B32">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0</w:t>
                  </w:r>
                </w:p>
              </w:tc>
              <w:tc>
                <w:tcPr>
                  <w:tcW w:w="299" w:type="pct"/>
                  <w:vMerge w:val="continue"/>
                  <w:tcBorders>
                    <w:left w:val="single" w:color="000000" w:sz="4" w:space="0"/>
                    <w:right w:val="single" w:color="000000" w:sz="4" w:space="0"/>
                  </w:tcBorders>
                  <w:shd w:val="clear" w:color="auto" w:fill="auto"/>
                  <w:vAlign w:val="center"/>
                </w:tcPr>
                <w:p w14:paraId="76279957">
                  <w:pPr>
                    <w:widowControl/>
                    <w:spacing w:line="276" w:lineRule="auto"/>
                    <w:jc w:val="center"/>
                    <w:rPr>
                      <w:color w:val="auto"/>
                      <w:sz w:val="21"/>
                      <w:szCs w:val="21"/>
                      <w:highlight w:val="none"/>
                    </w:rPr>
                  </w:pPr>
                </w:p>
              </w:tc>
              <w:tc>
                <w:tcPr>
                  <w:tcW w:w="232" w:type="pct"/>
                  <w:vMerge w:val="continue"/>
                  <w:tcBorders>
                    <w:left w:val="single" w:color="000000" w:sz="4" w:space="0"/>
                    <w:right w:val="single" w:color="000000" w:sz="4" w:space="0"/>
                  </w:tcBorders>
                  <w:shd w:val="clear" w:color="auto" w:fill="auto"/>
                  <w:vAlign w:val="center"/>
                </w:tcPr>
                <w:p w14:paraId="426F6B4C">
                  <w:pPr>
                    <w:widowControl/>
                    <w:spacing w:line="276" w:lineRule="auto"/>
                    <w:jc w:val="center"/>
                    <w:rPr>
                      <w:color w:val="auto"/>
                      <w:sz w:val="21"/>
                      <w:szCs w:val="21"/>
                      <w:highlight w:val="none"/>
                    </w:rPr>
                  </w:pPr>
                </w:p>
              </w:tc>
              <w:tc>
                <w:tcPr>
                  <w:tcW w:w="433" w:type="pct"/>
                  <w:vMerge w:val="continue"/>
                  <w:tcBorders>
                    <w:left w:val="single" w:color="000000" w:sz="4" w:space="0"/>
                    <w:right w:val="single" w:color="000000" w:sz="4" w:space="0"/>
                  </w:tcBorders>
                  <w:shd w:val="clear" w:color="auto" w:fill="auto"/>
                  <w:vAlign w:val="center"/>
                </w:tcPr>
                <w:p w14:paraId="75064914">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7ADB1">
                  <w:pPr>
                    <w:widowControl/>
                    <w:spacing w:line="276" w:lineRule="auto"/>
                    <w:jc w:val="center"/>
                    <w:textAlignment w:val="center"/>
                    <w:rPr>
                      <w:color w:val="auto"/>
                      <w:kern w:val="0"/>
                      <w:sz w:val="21"/>
                      <w:szCs w:val="21"/>
                      <w:highlight w:val="none"/>
                    </w:rPr>
                  </w:pPr>
                  <w:r>
                    <w:rPr>
                      <w:rFonts w:hint="eastAsia"/>
                      <w:color w:val="auto"/>
                      <w:kern w:val="0"/>
                      <w:sz w:val="21"/>
                      <w:szCs w:val="21"/>
                      <w:highlight w:val="none"/>
                    </w:rPr>
                    <w:t>40</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40A1">
                  <w:pPr>
                    <w:widowControl/>
                    <w:jc w:val="center"/>
                    <w:textAlignment w:val="center"/>
                    <w:rPr>
                      <w:color w:val="auto"/>
                      <w:kern w:val="0"/>
                      <w:sz w:val="21"/>
                      <w:szCs w:val="21"/>
                      <w:highlight w:val="none"/>
                    </w:rPr>
                  </w:pPr>
                  <w:r>
                    <w:rPr>
                      <w:rFonts w:hint="eastAsia"/>
                      <w:color w:val="auto"/>
                      <w:kern w:val="0"/>
                      <w:sz w:val="21"/>
                      <w:szCs w:val="21"/>
                      <w:highlight w:val="none"/>
                    </w:rPr>
                    <w:t>0.137</w:t>
                  </w:r>
                </w:p>
              </w:tc>
              <w:tc>
                <w:tcPr>
                  <w:tcW w:w="316" w:type="pct"/>
                  <w:vMerge w:val="continue"/>
                  <w:tcBorders>
                    <w:left w:val="single" w:color="000000" w:sz="4" w:space="0"/>
                    <w:right w:val="single" w:color="000000" w:sz="4" w:space="0"/>
                  </w:tcBorders>
                  <w:shd w:val="clear" w:color="auto" w:fill="auto"/>
                  <w:vAlign w:val="center"/>
                </w:tcPr>
                <w:p w14:paraId="69E77F81">
                  <w:pPr>
                    <w:widowControl/>
                    <w:spacing w:line="276" w:lineRule="auto"/>
                    <w:jc w:val="center"/>
                    <w:rPr>
                      <w:color w:val="auto"/>
                      <w:sz w:val="21"/>
                      <w:szCs w:val="21"/>
                      <w:highlight w:val="none"/>
                    </w:rPr>
                  </w:pPr>
                </w:p>
              </w:tc>
            </w:tr>
            <w:tr w14:paraId="46ABB95D">
              <w:tblPrEx>
                <w:tblCellMar>
                  <w:top w:w="0" w:type="dxa"/>
                  <w:left w:w="108" w:type="dxa"/>
                  <w:bottom w:w="0" w:type="dxa"/>
                  <w:right w:w="108" w:type="dxa"/>
                </w:tblCellMar>
              </w:tblPrEx>
              <w:trPr>
                <w:trHeight w:val="90" w:hRule="atLeast"/>
                <w:jc w:val="center"/>
              </w:trPr>
              <w:tc>
                <w:tcPr>
                  <w:tcW w:w="216" w:type="pct"/>
                  <w:vMerge w:val="continue"/>
                  <w:tcBorders>
                    <w:left w:val="single" w:color="000000" w:sz="4" w:space="0"/>
                    <w:bottom w:val="single" w:color="auto" w:sz="4" w:space="0"/>
                    <w:right w:val="single" w:color="000000" w:sz="4" w:space="0"/>
                  </w:tcBorders>
                  <w:shd w:val="clear" w:color="auto" w:fill="auto"/>
                  <w:vAlign w:val="center"/>
                </w:tcPr>
                <w:p w14:paraId="10F2A969">
                  <w:pPr>
                    <w:widowControl/>
                    <w:spacing w:line="276" w:lineRule="auto"/>
                    <w:jc w:val="center"/>
                    <w:rPr>
                      <w:color w:val="auto"/>
                      <w:sz w:val="21"/>
                      <w:szCs w:val="21"/>
                      <w:highlight w:val="none"/>
                    </w:rPr>
                  </w:pPr>
                </w:p>
              </w:tc>
              <w:tc>
                <w:tcPr>
                  <w:tcW w:w="439" w:type="pct"/>
                  <w:tcBorders>
                    <w:top w:val="single" w:color="000000" w:sz="4" w:space="0"/>
                    <w:left w:val="single" w:color="000000" w:sz="4" w:space="0"/>
                    <w:bottom w:val="single" w:color="auto" w:sz="4" w:space="0"/>
                    <w:right w:val="single" w:color="000000" w:sz="4" w:space="0"/>
                  </w:tcBorders>
                  <w:shd w:val="clear" w:color="auto" w:fill="auto"/>
                  <w:vAlign w:val="center"/>
                </w:tcPr>
                <w:p w14:paraId="4C53579B">
                  <w:pPr>
                    <w:widowControl/>
                    <w:spacing w:line="276" w:lineRule="auto"/>
                    <w:jc w:val="center"/>
                    <w:textAlignment w:val="center"/>
                    <w:rPr>
                      <w:color w:val="auto"/>
                      <w:kern w:val="0"/>
                      <w:sz w:val="21"/>
                      <w:szCs w:val="21"/>
                      <w:highlight w:val="none"/>
                    </w:rPr>
                  </w:pPr>
                  <w:r>
                    <w:rPr>
                      <w:color w:val="auto"/>
                      <w:kern w:val="0"/>
                      <w:sz w:val="21"/>
                      <w:szCs w:val="21"/>
                      <w:highlight w:val="none"/>
                    </w:rPr>
                    <w:t>动植物油</w:t>
                  </w:r>
                </w:p>
              </w:tc>
              <w:tc>
                <w:tcPr>
                  <w:tcW w:w="208" w:type="pct"/>
                  <w:vMerge w:val="continue"/>
                  <w:tcBorders>
                    <w:left w:val="single" w:color="000000" w:sz="4" w:space="0"/>
                    <w:bottom w:val="single" w:color="auto" w:sz="4" w:space="0"/>
                    <w:right w:val="single" w:color="000000" w:sz="4" w:space="0"/>
                  </w:tcBorders>
                  <w:shd w:val="clear" w:color="auto" w:fill="auto"/>
                  <w:vAlign w:val="center"/>
                </w:tcPr>
                <w:p w14:paraId="39E8DC2D">
                  <w:pPr>
                    <w:widowControl/>
                    <w:spacing w:line="276" w:lineRule="auto"/>
                    <w:jc w:val="center"/>
                    <w:rPr>
                      <w:color w:val="auto"/>
                      <w:sz w:val="21"/>
                      <w:szCs w:val="21"/>
                      <w:highlight w:val="none"/>
                    </w:rPr>
                  </w:pPr>
                </w:p>
              </w:tc>
              <w:tc>
                <w:tcPr>
                  <w:tcW w:w="383" w:type="pct"/>
                  <w:vMerge w:val="continue"/>
                  <w:tcBorders>
                    <w:left w:val="single" w:color="000000" w:sz="4" w:space="0"/>
                    <w:bottom w:val="single" w:color="auto" w:sz="4" w:space="0"/>
                    <w:right w:val="single" w:color="000000" w:sz="4" w:space="0"/>
                  </w:tcBorders>
                  <w:shd w:val="clear" w:color="auto" w:fill="auto"/>
                  <w:vAlign w:val="center"/>
                </w:tcPr>
                <w:p w14:paraId="5E627CE5">
                  <w:pPr>
                    <w:widowControl/>
                    <w:spacing w:line="276" w:lineRule="auto"/>
                    <w:jc w:val="center"/>
                    <w:rPr>
                      <w:color w:val="auto"/>
                      <w:sz w:val="21"/>
                      <w:szCs w:val="21"/>
                      <w:highlight w:val="none"/>
                    </w:rPr>
                  </w:pPr>
                </w:p>
              </w:tc>
              <w:tc>
                <w:tcPr>
                  <w:tcW w:w="475" w:type="pct"/>
                  <w:tcBorders>
                    <w:top w:val="single" w:color="000000" w:sz="4" w:space="0"/>
                    <w:left w:val="single" w:color="000000" w:sz="4" w:space="0"/>
                    <w:bottom w:val="single" w:color="auto" w:sz="4" w:space="0"/>
                    <w:right w:val="single" w:color="000000" w:sz="4" w:space="0"/>
                  </w:tcBorders>
                  <w:shd w:val="clear" w:color="auto" w:fill="auto"/>
                  <w:vAlign w:val="center"/>
                </w:tcPr>
                <w:p w14:paraId="49DFA229">
                  <w:pPr>
                    <w:widowControl/>
                    <w:spacing w:line="276" w:lineRule="auto"/>
                    <w:jc w:val="center"/>
                    <w:textAlignment w:val="center"/>
                    <w:rPr>
                      <w:color w:val="auto"/>
                      <w:kern w:val="0"/>
                      <w:sz w:val="21"/>
                      <w:szCs w:val="21"/>
                      <w:highlight w:val="none"/>
                    </w:rPr>
                  </w:pPr>
                  <w:r>
                    <w:rPr>
                      <w:color w:val="auto"/>
                      <w:kern w:val="0"/>
                      <w:sz w:val="21"/>
                      <w:szCs w:val="21"/>
                      <w:highlight w:val="none"/>
                    </w:rPr>
                    <w:t>100</w:t>
                  </w:r>
                </w:p>
              </w:tc>
              <w:tc>
                <w:tcPr>
                  <w:tcW w:w="492" w:type="pct"/>
                  <w:tcBorders>
                    <w:top w:val="single" w:color="000000" w:sz="4" w:space="0"/>
                    <w:left w:val="single" w:color="000000" w:sz="4" w:space="0"/>
                    <w:bottom w:val="single" w:color="auto" w:sz="4" w:space="0"/>
                    <w:right w:val="single" w:color="000000" w:sz="4" w:space="0"/>
                  </w:tcBorders>
                  <w:shd w:val="clear" w:color="auto" w:fill="auto"/>
                  <w:vAlign w:val="center"/>
                </w:tcPr>
                <w:p w14:paraId="6DCACAD1">
                  <w:pPr>
                    <w:widowControl/>
                    <w:jc w:val="center"/>
                    <w:textAlignment w:val="center"/>
                    <w:rPr>
                      <w:color w:val="auto"/>
                      <w:kern w:val="0"/>
                      <w:sz w:val="21"/>
                      <w:szCs w:val="21"/>
                      <w:highlight w:val="none"/>
                    </w:rPr>
                  </w:pPr>
                  <w:r>
                    <w:rPr>
                      <w:color w:val="auto"/>
                      <w:kern w:val="0"/>
                      <w:sz w:val="21"/>
                      <w:szCs w:val="21"/>
                      <w:highlight w:val="none"/>
                    </w:rPr>
                    <w:t>0.342</w:t>
                  </w:r>
                </w:p>
              </w:tc>
              <w:tc>
                <w:tcPr>
                  <w:tcW w:w="343" w:type="pct"/>
                  <w:vMerge w:val="continue"/>
                  <w:tcBorders>
                    <w:left w:val="single" w:color="000000" w:sz="4" w:space="0"/>
                    <w:bottom w:val="single" w:color="auto" w:sz="4" w:space="0"/>
                    <w:right w:val="single" w:color="000000" w:sz="4" w:space="0"/>
                  </w:tcBorders>
                  <w:shd w:val="clear" w:color="auto" w:fill="auto"/>
                  <w:vAlign w:val="center"/>
                </w:tcPr>
                <w:p w14:paraId="1B255589">
                  <w:pPr>
                    <w:widowControl/>
                    <w:spacing w:line="276" w:lineRule="auto"/>
                    <w:jc w:val="center"/>
                    <w:rPr>
                      <w:color w:val="auto"/>
                      <w:sz w:val="21"/>
                      <w:szCs w:val="21"/>
                      <w:highlight w:val="none"/>
                    </w:rPr>
                  </w:pPr>
                </w:p>
              </w:tc>
              <w:tc>
                <w:tcPr>
                  <w:tcW w:w="299" w:type="pct"/>
                  <w:tcBorders>
                    <w:top w:val="single" w:color="000000" w:sz="4" w:space="0"/>
                    <w:left w:val="single" w:color="000000" w:sz="4" w:space="0"/>
                    <w:bottom w:val="single" w:color="auto" w:sz="4" w:space="0"/>
                    <w:right w:val="single" w:color="000000" w:sz="4" w:space="0"/>
                  </w:tcBorders>
                  <w:shd w:val="clear" w:color="auto" w:fill="auto"/>
                  <w:vAlign w:val="center"/>
                </w:tcPr>
                <w:p w14:paraId="3D2A578C">
                  <w:pPr>
                    <w:widowControl/>
                    <w:spacing w:line="276" w:lineRule="auto"/>
                    <w:jc w:val="center"/>
                    <w:textAlignment w:val="center"/>
                    <w:rPr>
                      <w:color w:val="auto"/>
                      <w:kern w:val="0"/>
                      <w:sz w:val="21"/>
                      <w:szCs w:val="21"/>
                      <w:highlight w:val="none"/>
                    </w:rPr>
                  </w:pPr>
                  <w:r>
                    <w:rPr>
                      <w:color w:val="auto"/>
                      <w:kern w:val="0"/>
                      <w:sz w:val="21"/>
                      <w:szCs w:val="21"/>
                      <w:highlight w:val="none"/>
                    </w:rPr>
                    <w:t>80</w:t>
                  </w:r>
                </w:p>
              </w:tc>
              <w:tc>
                <w:tcPr>
                  <w:tcW w:w="299" w:type="pct"/>
                  <w:vMerge w:val="continue"/>
                  <w:tcBorders>
                    <w:left w:val="single" w:color="000000" w:sz="4" w:space="0"/>
                    <w:bottom w:val="single" w:color="auto" w:sz="4" w:space="0"/>
                    <w:right w:val="single" w:color="000000" w:sz="4" w:space="0"/>
                  </w:tcBorders>
                  <w:shd w:val="clear" w:color="auto" w:fill="auto"/>
                  <w:vAlign w:val="center"/>
                </w:tcPr>
                <w:p w14:paraId="363F928B">
                  <w:pPr>
                    <w:widowControl/>
                    <w:spacing w:line="276" w:lineRule="auto"/>
                    <w:jc w:val="center"/>
                    <w:rPr>
                      <w:color w:val="auto"/>
                      <w:sz w:val="21"/>
                      <w:szCs w:val="21"/>
                      <w:highlight w:val="none"/>
                    </w:rPr>
                  </w:pPr>
                </w:p>
              </w:tc>
              <w:tc>
                <w:tcPr>
                  <w:tcW w:w="232" w:type="pct"/>
                  <w:vMerge w:val="continue"/>
                  <w:tcBorders>
                    <w:left w:val="single" w:color="000000" w:sz="4" w:space="0"/>
                    <w:bottom w:val="single" w:color="auto" w:sz="4" w:space="0"/>
                    <w:right w:val="single" w:color="000000" w:sz="4" w:space="0"/>
                  </w:tcBorders>
                  <w:shd w:val="clear" w:color="auto" w:fill="auto"/>
                  <w:vAlign w:val="center"/>
                </w:tcPr>
                <w:p w14:paraId="34941F94">
                  <w:pPr>
                    <w:widowControl/>
                    <w:spacing w:line="276" w:lineRule="auto"/>
                    <w:jc w:val="center"/>
                    <w:rPr>
                      <w:color w:val="auto"/>
                      <w:sz w:val="21"/>
                      <w:szCs w:val="21"/>
                      <w:highlight w:val="none"/>
                    </w:rPr>
                  </w:pPr>
                </w:p>
              </w:tc>
              <w:tc>
                <w:tcPr>
                  <w:tcW w:w="433" w:type="pct"/>
                  <w:vMerge w:val="continue"/>
                  <w:tcBorders>
                    <w:left w:val="single" w:color="000000" w:sz="4" w:space="0"/>
                    <w:bottom w:val="single" w:color="auto" w:sz="4" w:space="0"/>
                    <w:right w:val="single" w:color="000000" w:sz="4" w:space="0"/>
                  </w:tcBorders>
                  <w:shd w:val="clear" w:color="auto" w:fill="auto"/>
                  <w:vAlign w:val="center"/>
                </w:tcPr>
                <w:p w14:paraId="0C51E7EF">
                  <w:pPr>
                    <w:widowControl/>
                    <w:spacing w:line="276" w:lineRule="auto"/>
                    <w:jc w:val="center"/>
                    <w:rPr>
                      <w:color w:val="auto"/>
                      <w:sz w:val="21"/>
                      <w:szCs w:val="21"/>
                      <w:highlight w:val="none"/>
                    </w:rPr>
                  </w:pPr>
                </w:p>
              </w:tc>
              <w:tc>
                <w:tcPr>
                  <w:tcW w:w="429" w:type="pct"/>
                  <w:tcBorders>
                    <w:top w:val="single" w:color="000000" w:sz="4" w:space="0"/>
                    <w:left w:val="single" w:color="000000" w:sz="4" w:space="0"/>
                    <w:bottom w:val="single" w:color="auto" w:sz="4" w:space="0"/>
                    <w:right w:val="single" w:color="000000" w:sz="4" w:space="0"/>
                  </w:tcBorders>
                  <w:shd w:val="clear" w:color="auto" w:fill="auto"/>
                  <w:vAlign w:val="center"/>
                </w:tcPr>
                <w:p w14:paraId="1CCFFA09">
                  <w:pPr>
                    <w:widowControl/>
                    <w:jc w:val="center"/>
                    <w:textAlignment w:val="center"/>
                    <w:rPr>
                      <w:color w:val="auto"/>
                      <w:kern w:val="0"/>
                      <w:sz w:val="21"/>
                      <w:szCs w:val="21"/>
                      <w:highlight w:val="none"/>
                    </w:rPr>
                  </w:pPr>
                  <w:r>
                    <w:rPr>
                      <w:color w:val="auto"/>
                      <w:kern w:val="0"/>
                      <w:sz w:val="21"/>
                      <w:szCs w:val="21"/>
                      <w:highlight w:val="none"/>
                    </w:rPr>
                    <w:t>20</w:t>
                  </w:r>
                </w:p>
              </w:tc>
              <w:tc>
                <w:tcPr>
                  <w:tcW w:w="433" w:type="pct"/>
                  <w:tcBorders>
                    <w:top w:val="single" w:color="000000" w:sz="4" w:space="0"/>
                    <w:left w:val="single" w:color="000000" w:sz="4" w:space="0"/>
                    <w:bottom w:val="single" w:color="auto" w:sz="4" w:space="0"/>
                    <w:right w:val="single" w:color="000000" w:sz="4" w:space="0"/>
                  </w:tcBorders>
                  <w:shd w:val="clear" w:color="auto" w:fill="auto"/>
                  <w:vAlign w:val="center"/>
                </w:tcPr>
                <w:p w14:paraId="32F3B8DD">
                  <w:pPr>
                    <w:widowControl/>
                    <w:jc w:val="center"/>
                    <w:textAlignment w:val="center"/>
                    <w:rPr>
                      <w:color w:val="auto"/>
                      <w:kern w:val="0"/>
                      <w:sz w:val="21"/>
                      <w:szCs w:val="21"/>
                      <w:highlight w:val="none"/>
                    </w:rPr>
                  </w:pPr>
                  <w:r>
                    <w:rPr>
                      <w:color w:val="auto"/>
                      <w:kern w:val="0"/>
                      <w:sz w:val="21"/>
                      <w:szCs w:val="21"/>
                      <w:highlight w:val="none"/>
                    </w:rPr>
                    <w:t xml:space="preserve">0.068 </w:t>
                  </w:r>
                </w:p>
              </w:tc>
              <w:tc>
                <w:tcPr>
                  <w:tcW w:w="316" w:type="pct"/>
                  <w:vMerge w:val="continue"/>
                  <w:tcBorders>
                    <w:left w:val="single" w:color="000000" w:sz="4" w:space="0"/>
                    <w:bottom w:val="single" w:color="auto" w:sz="4" w:space="0"/>
                    <w:right w:val="single" w:color="000000" w:sz="4" w:space="0"/>
                  </w:tcBorders>
                  <w:shd w:val="clear" w:color="auto" w:fill="auto"/>
                  <w:vAlign w:val="center"/>
                </w:tcPr>
                <w:p w14:paraId="645E64CF">
                  <w:pPr>
                    <w:widowControl/>
                    <w:spacing w:line="276" w:lineRule="auto"/>
                    <w:jc w:val="center"/>
                    <w:rPr>
                      <w:color w:val="auto"/>
                      <w:sz w:val="21"/>
                      <w:szCs w:val="21"/>
                      <w:highlight w:val="none"/>
                    </w:rPr>
                  </w:pPr>
                </w:p>
              </w:tc>
            </w:tr>
            <w:tr w14:paraId="10336EB4">
              <w:tblPrEx>
                <w:tblCellMar>
                  <w:top w:w="0" w:type="dxa"/>
                  <w:left w:w="108" w:type="dxa"/>
                  <w:bottom w:w="0" w:type="dxa"/>
                  <w:right w:w="108" w:type="dxa"/>
                </w:tblCellMar>
              </w:tblPrEx>
              <w:trPr>
                <w:trHeight w:val="90" w:hRule="atLeast"/>
                <w:jc w:val="center"/>
              </w:trPr>
              <w:tc>
                <w:tcPr>
                  <w:tcW w:w="5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5AC373">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生产废水</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6E49106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563" w:type="dxa"/>
                  <w:vMerge w:val="restart"/>
                  <w:tcBorders>
                    <w:top w:val="single" w:color="auto" w:sz="4" w:space="0"/>
                    <w:left w:val="single" w:color="auto" w:sz="4" w:space="0"/>
                    <w:right w:val="single" w:color="auto" w:sz="4" w:space="0"/>
                  </w:tcBorders>
                  <w:shd w:val="clear" w:color="auto" w:fill="auto"/>
                  <w:vAlign w:val="center"/>
                </w:tcPr>
                <w:p w14:paraId="709C9777">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产污系数法</w:t>
                  </w:r>
                </w:p>
              </w:tc>
              <w:tc>
                <w:tcPr>
                  <w:tcW w:w="1038" w:type="dxa"/>
                  <w:vMerge w:val="restart"/>
                  <w:tcBorders>
                    <w:top w:val="single" w:color="auto" w:sz="4" w:space="0"/>
                    <w:left w:val="single" w:color="auto" w:sz="4" w:space="0"/>
                    <w:right w:val="single" w:color="auto" w:sz="4" w:space="0"/>
                  </w:tcBorders>
                  <w:shd w:val="clear" w:color="auto" w:fill="auto"/>
                  <w:vAlign w:val="center"/>
                </w:tcPr>
                <w:p w14:paraId="25B595C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64403.4</w:t>
                  </w: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24C09906">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318.1</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887FA32">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20.487 </w:t>
                  </w:r>
                </w:p>
              </w:tc>
              <w:tc>
                <w:tcPr>
                  <w:tcW w:w="929" w:type="dxa"/>
                  <w:vMerge w:val="restart"/>
                  <w:tcBorders>
                    <w:top w:val="single" w:color="auto" w:sz="4" w:space="0"/>
                    <w:left w:val="single" w:color="auto" w:sz="4" w:space="0"/>
                    <w:right w:val="single" w:color="auto" w:sz="4" w:space="0"/>
                  </w:tcBorders>
                  <w:shd w:val="clear" w:color="auto" w:fill="auto"/>
                  <w:vAlign w:val="center"/>
                </w:tcPr>
                <w:p w14:paraId="5F5EF75C">
                  <w:pPr>
                    <w:keepNext w:val="0"/>
                    <w:keepLines w:val="0"/>
                    <w:widowControl/>
                    <w:suppressLineNumbers w:val="0"/>
                    <w:spacing w:line="240" w:lineRule="auto"/>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中和调节</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絮凝沉淀</w:t>
                  </w:r>
                  <w:r>
                    <w:rPr>
                      <w:rFonts w:hint="default" w:ascii="Times New Roman" w:hAnsi="Times New Roman" w:eastAsia="宋体" w:cs="Times New Roman"/>
                      <w:i w:val="0"/>
                      <w:iCs w:val="0"/>
                      <w:color w:val="auto"/>
                      <w:kern w:val="0"/>
                      <w:sz w:val="21"/>
                      <w:szCs w:val="21"/>
                      <w:highlight w:val="none"/>
                      <w:u w:val="none"/>
                      <w:lang w:val="en-US" w:eastAsia="zh-CN" w:bidi="ar"/>
                    </w:rPr>
                    <w:t>+A/O+</w:t>
                  </w:r>
                  <w:r>
                    <w:rPr>
                      <w:rFonts w:hint="eastAsia" w:ascii="宋体" w:hAnsi="宋体" w:eastAsia="宋体" w:cs="宋体"/>
                      <w:i w:val="0"/>
                      <w:iCs w:val="0"/>
                      <w:color w:val="auto"/>
                      <w:kern w:val="0"/>
                      <w:sz w:val="21"/>
                      <w:szCs w:val="21"/>
                      <w:highlight w:val="none"/>
                      <w:u w:val="none"/>
                      <w:lang w:val="en-US" w:eastAsia="zh-CN" w:bidi="ar"/>
                    </w:rPr>
                    <w:t>二沉池</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消毒</w:t>
                  </w: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1F10B2F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810" w:type="dxa"/>
                  <w:vMerge w:val="restart"/>
                  <w:tcBorders>
                    <w:top w:val="single" w:color="auto" w:sz="4" w:space="0"/>
                    <w:left w:val="single" w:color="auto" w:sz="4" w:space="0"/>
                    <w:right w:val="single" w:color="auto" w:sz="4" w:space="0"/>
                  </w:tcBorders>
                  <w:shd w:val="clear" w:color="auto" w:fill="auto"/>
                  <w:vAlign w:val="center"/>
                </w:tcPr>
                <w:p w14:paraId="02246751">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628" w:type="dxa"/>
                  <w:vMerge w:val="restart"/>
                  <w:tcBorders>
                    <w:top w:val="single" w:color="auto" w:sz="4" w:space="0"/>
                    <w:left w:val="single" w:color="auto" w:sz="4" w:space="0"/>
                    <w:right w:val="single" w:color="auto" w:sz="4" w:space="0"/>
                  </w:tcBorders>
                  <w:shd w:val="clear" w:color="auto" w:fill="auto"/>
                  <w:vAlign w:val="center"/>
                </w:tcPr>
                <w:p w14:paraId="60E38FD5">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物料平衡法</w:t>
                  </w:r>
                </w:p>
              </w:tc>
              <w:tc>
                <w:tcPr>
                  <w:tcW w:w="1173" w:type="dxa"/>
                  <w:vMerge w:val="restart"/>
                  <w:tcBorders>
                    <w:top w:val="single" w:color="auto" w:sz="4" w:space="0"/>
                    <w:left w:val="single" w:color="auto" w:sz="4" w:space="0"/>
                    <w:right w:val="single" w:color="auto" w:sz="4" w:space="0"/>
                  </w:tcBorders>
                  <w:shd w:val="clear" w:color="auto" w:fill="auto"/>
                  <w:vAlign w:val="center"/>
                </w:tcPr>
                <w:p w14:paraId="5B386901">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2970</w:t>
                  </w: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53B3308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31.81</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1355AE9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0.094 </w:t>
                  </w:r>
                </w:p>
              </w:tc>
              <w:tc>
                <w:tcPr>
                  <w:tcW w:w="316" w:type="pct"/>
                  <w:vMerge w:val="restart"/>
                  <w:tcBorders>
                    <w:top w:val="single" w:color="auto" w:sz="4" w:space="0"/>
                    <w:left w:val="single" w:color="auto" w:sz="4" w:space="0"/>
                    <w:right w:val="single" w:color="auto" w:sz="4" w:space="0"/>
                  </w:tcBorders>
                  <w:shd w:val="clear" w:color="auto" w:fill="auto"/>
                  <w:vAlign w:val="center"/>
                </w:tcPr>
                <w:p w14:paraId="1BDF06FA">
                  <w:pPr>
                    <w:widowControl/>
                    <w:jc w:val="center"/>
                    <w:textAlignment w:val="center"/>
                    <w:rPr>
                      <w:color w:val="auto"/>
                      <w:sz w:val="21"/>
                      <w:szCs w:val="21"/>
                      <w:highlight w:val="none"/>
                    </w:rPr>
                  </w:pPr>
                  <w:r>
                    <w:rPr>
                      <w:color w:val="auto"/>
                      <w:kern w:val="0"/>
                      <w:sz w:val="20"/>
                      <w:szCs w:val="20"/>
                      <w:highlight w:val="none"/>
                    </w:rPr>
                    <w:t>7920</w:t>
                  </w:r>
                </w:p>
              </w:tc>
            </w:tr>
            <w:tr w14:paraId="2F58735E">
              <w:tblPrEx>
                <w:tblCellMar>
                  <w:top w:w="0" w:type="dxa"/>
                  <w:left w:w="108" w:type="dxa"/>
                  <w:bottom w:w="0" w:type="dxa"/>
                  <w:right w:w="108" w:type="dxa"/>
                </w:tblCellMar>
              </w:tblPrEx>
              <w:trPr>
                <w:trHeight w:val="90" w:hRule="atLeast"/>
                <w:jc w:val="center"/>
              </w:trPr>
              <w:tc>
                <w:tcPr>
                  <w:tcW w:w="585" w:type="dxa"/>
                  <w:vMerge w:val="continue"/>
                  <w:tcBorders>
                    <w:left w:val="single" w:color="auto" w:sz="4" w:space="0"/>
                    <w:right w:val="single" w:color="auto" w:sz="4" w:space="0"/>
                  </w:tcBorders>
                  <w:shd w:val="clear" w:color="auto" w:fill="auto"/>
                  <w:vAlign w:val="center"/>
                </w:tcPr>
                <w:p w14:paraId="29A9E875">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52E83B2A">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563" w:type="dxa"/>
                  <w:vMerge w:val="continue"/>
                  <w:tcBorders>
                    <w:left w:val="single" w:color="auto" w:sz="4" w:space="0"/>
                    <w:right w:val="single" w:color="auto" w:sz="4" w:space="0"/>
                  </w:tcBorders>
                  <w:shd w:val="clear" w:color="auto" w:fill="auto"/>
                  <w:vAlign w:val="center"/>
                </w:tcPr>
                <w:p w14:paraId="68B7A7CD">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003E3300">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75968C24">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2AA9C72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9.661 </w:t>
                  </w:r>
                </w:p>
              </w:tc>
              <w:tc>
                <w:tcPr>
                  <w:tcW w:w="929" w:type="dxa"/>
                  <w:vMerge w:val="continue"/>
                  <w:tcBorders>
                    <w:left w:val="single" w:color="auto" w:sz="4" w:space="0"/>
                    <w:right w:val="single" w:color="auto" w:sz="4" w:space="0"/>
                  </w:tcBorders>
                  <w:shd w:val="clear" w:color="auto" w:fill="auto"/>
                  <w:vAlign w:val="center"/>
                </w:tcPr>
                <w:p w14:paraId="5A6EEC88">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7991FDA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810" w:type="dxa"/>
                  <w:vMerge w:val="continue"/>
                  <w:tcBorders>
                    <w:left w:val="single" w:color="auto" w:sz="4" w:space="0"/>
                    <w:right w:val="single" w:color="auto" w:sz="4" w:space="0"/>
                  </w:tcBorders>
                  <w:shd w:val="clear" w:color="auto" w:fill="auto"/>
                  <w:vAlign w:val="center"/>
                </w:tcPr>
                <w:p w14:paraId="271EF38F">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35CE4BE5">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3257D53E">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7F67B66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3EE4D7A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0.022 </w:t>
                  </w:r>
                </w:p>
              </w:tc>
              <w:tc>
                <w:tcPr>
                  <w:tcW w:w="316" w:type="pct"/>
                  <w:vMerge w:val="continue"/>
                  <w:tcBorders>
                    <w:left w:val="single" w:color="auto" w:sz="4" w:space="0"/>
                    <w:right w:val="single" w:color="auto" w:sz="4" w:space="0"/>
                  </w:tcBorders>
                  <w:shd w:val="clear" w:color="auto" w:fill="auto"/>
                  <w:vAlign w:val="center"/>
                </w:tcPr>
                <w:p w14:paraId="5AB6C0D8">
                  <w:pPr>
                    <w:widowControl/>
                    <w:jc w:val="center"/>
                    <w:textAlignment w:val="center"/>
                    <w:rPr>
                      <w:color w:val="auto"/>
                      <w:sz w:val="21"/>
                      <w:szCs w:val="21"/>
                      <w:highlight w:val="none"/>
                    </w:rPr>
                  </w:pPr>
                </w:p>
              </w:tc>
            </w:tr>
            <w:tr w14:paraId="731FDACB">
              <w:tblPrEx>
                <w:tblCellMar>
                  <w:top w:w="0" w:type="dxa"/>
                  <w:left w:w="108" w:type="dxa"/>
                  <w:bottom w:w="0" w:type="dxa"/>
                  <w:right w:w="108" w:type="dxa"/>
                </w:tblCellMar>
              </w:tblPrEx>
              <w:trPr>
                <w:trHeight w:val="90" w:hRule="atLeast"/>
                <w:jc w:val="center"/>
              </w:trPr>
              <w:tc>
                <w:tcPr>
                  <w:tcW w:w="585" w:type="dxa"/>
                  <w:vMerge w:val="continue"/>
                  <w:tcBorders>
                    <w:left w:val="single" w:color="auto" w:sz="4" w:space="0"/>
                    <w:right w:val="single" w:color="auto" w:sz="4" w:space="0"/>
                  </w:tcBorders>
                  <w:shd w:val="clear" w:color="auto" w:fill="auto"/>
                  <w:vAlign w:val="center"/>
                </w:tcPr>
                <w:p w14:paraId="32539B26">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1AB6A151">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563" w:type="dxa"/>
                  <w:vMerge w:val="continue"/>
                  <w:tcBorders>
                    <w:left w:val="single" w:color="auto" w:sz="4" w:space="0"/>
                    <w:right w:val="single" w:color="auto" w:sz="4" w:space="0"/>
                  </w:tcBorders>
                  <w:shd w:val="clear" w:color="auto" w:fill="auto"/>
                  <w:vAlign w:val="center"/>
                </w:tcPr>
                <w:p w14:paraId="311E56EF">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0C0289C8">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46F7D3B6">
                  <w:pPr>
                    <w:keepNext w:val="0"/>
                    <w:keepLines w:val="0"/>
                    <w:widowControl/>
                    <w:suppressLineNumbers w:val="0"/>
                    <w:jc w:val="center"/>
                    <w:textAlignment w:val="center"/>
                    <w:rPr>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226</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FFA45FB">
                  <w:pPr>
                    <w:keepNext w:val="0"/>
                    <w:keepLines w:val="0"/>
                    <w:widowControl/>
                    <w:suppressLineNumbers w:val="0"/>
                    <w:jc w:val="center"/>
                    <w:textAlignment w:val="center"/>
                    <w:rPr>
                      <w:color w:val="auto"/>
                      <w:kern w:val="0"/>
                      <w:sz w:val="20"/>
                      <w:szCs w:val="20"/>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14.555 </w:t>
                  </w:r>
                </w:p>
              </w:tc>
              <w:tc>
                <w:tcPr>
                  <w:tcW w:w="929" w:type="dxa"/>
                  <w:vMerge w:val="continue"/>
                  <w:tcBorders>
                    <w:left w:val="single" w:color="auto" w:sz="4" w:space="0"/>
                    <w:right w:val="single" w:color="auto" w:sz="4" w:space="0"/>
                  </w:tcBorders>
                  <w:shd w:val="clear" w:color="auto" w:fill="auto"/>
                  <w:vAlign w:val="center"/>
                </w:tcPr>
                <w:p w14:paraId="5FB0E6BF">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426456A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810" w:type="dxa"/>
                  <w:vMerge w:val="continue"/>
                  <w:tcBorders>
                    <w:left w:val="single" w:color="auto" w:sz="4" w:space="0"/>
                    <w:right w:val="single" w:color="auto" w:sz="4" w:space="0"/>
                  </w:tcBorders>
                  <w:shd w:val="clear" w:color="auto" w:fill="auto"/>
                  <w:vAlign w:val="center"/>
                </w:tcPr>
                <w:p w14:paraId="5A64E144">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6BCB036C">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65988118">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6F9A6CB5">
                  <w:pPr>
                    <w:keepNext w:val="0"/>
                    <w:keepLines w:val="0"/>
                    <w:widowControl/>
                    <w:suppressLineNumbers w:val="0"/>
                    <w:jc w:val="center"/>
                    <w:textAlignment w:val="center"/>
                    <w:rPr>
                      <w:rFonts w:hint="default"/>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22.6</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55F0C78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0.067 </w:t>
                  </w:r>
                </w:p>
              </w:tc>
              <w:tc>
                <w:tcPr>
                  <w:tcW w:w="316" w:type="pct"/>
                  <w:vMerge w:val="continue"/>
                  <w:tcBorders>
                    <w:left w:val="single" w:color="auto" w:sz="4" w:space="0"/>
                    <w:right w:val="single" w:color="auto" w:sz="4" w:space="0"/>
                  </w:tcBorders>
                  <w:shd w:val="clear" w:color="auto" w:fill="auto"/>
                  <w:vAlign w:val="center"/>
                </w:tcPr>
                <w:p w14:paraId="08F28088">
                  <w:pPr>
                    <w:widowControl/>
                    <w:jc w:val="center"/>
                    <w:textAlignment w:val="center"/>
                    <w:rPr>
                      <w:color w:val="auto"/>
                      <w:sz w:val="21"/>
                      <w:szCs w:val="21"/>
                      <w:highlight w:val="none"/>
                    </w:rPr>
                  </w:pPr>
                </w:p>
              </w:tc>
            </w:tr>
            <w:tr w14:paraId="67786FDD">
              <w:tblPrEx>
                <w:tblCellMar>
                  <w:top w:w="0" w:type="dxa"/>
                  <w:left w:w="108" w:type="dxa"/>
                  <w:bottom w:w="0" w:type="dxa"/>
                  <w:right w:w="108" w:type="dxa"/>
                </w:tblCellMar>
              </w:tblPrEx>
              <w:trPr>
                <w:trHeight w:val="90" w:hRule="atLeast"/>
                <w:jc w:val="center"/>
              </w:trPr>
              <w:tc>
                <w:tcPr>
                  <w:tcW w:w="585" w:type="dxa"/>
                  <w:vMerge w:val="continue"/>
                  <w:tcBorders>
                    <w:left w:val="single" w:color="auto" w:sz="4" w:space="0"/>
                    <w:right w:val="single" w:color="auto" w:sz="4" w:space="0"/>
                  </w:tcBorders>
                  <w:shd w:val="clear" w:color="auto" w:fill="auto"/>
                  <w:vAlign w:val="center"/>
                </w:tcPr>
                <w:p w14:paraId="1A59B7AE">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7EA81020">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氨氮</w:t>
                  </w:r>
                </w:p>
              </w:tc>
              <w:tc>
                <w:tcPr>
                  <w:tcW w:w="563" w:type="dxa"/>
                  <w:vMerge w:val="continue"/>
                  <w:tcBorders>
                    <w:left w:val="single" w:color="auto" w:sz="4" w:space="0"/>
                    <w:right w:val="single" w:color="auto" w:sz="4" w:space="0"/>
                  </w:tcBorders>
                  <w:shd w:val="clear" w:color="auto" w:fill="auto"/>
                  <w:vAlign w:val="center"/>
                </w:tcPr>
                <w:p w14:paraId="6BA9BF29">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1EA4D09A">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78A8FFE4">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17.2</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1EFA588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 </w:t>
                  </w:r>
                </w:p>
              </w:tc>
              <w:tc>
                <w:tcPr>
                  <w:tcW w:w="929" w:type="dxa"/>
                  <w:vMerge w:val="continue"/>
                  <w:tcBorders>
                    <w:left w:val="single" w:color="auto" w:sz="4" w:space="0"/>
                    <w:right w:val="single" w:color="auto" w:sz="4" w:space="0"/>
                  </w:tcBorders>
                  <w:shd w:val="clear" w:color="auto" w:fill="auto"/>
                  <w:vAlign w:val="center"/>
                </w:tcPr>
                <w:p w14:paraId="6215E7E5">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2815CD8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810" w:type="dxa"/>
                  <w:vMerge w:val="continue"/>
                  <w:tcBorders>
                    <w:left w:val="single" w:color="auto" w:sz="4" w:space="0"/>
                    <w:right w:val="single" w:color="auto" w:sz="4" w:space="0"/>
                  </w:tcBorders>
                  <w:shd w:val="clear" w:color="auto" w:fill="auto"/>
                  <w:vAlign w:val="center"/>
                </w:tcPr>
                <w:p w14:paraId="4B27533E">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499291B5">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1F124AB3">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1552B7D9">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3.44</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07DC711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0.010 </w:t>
                  </w:r>
                </w:p>
              </w:tc>
              <w:tc>
                <w:tcPr>
                  <w:tcW w:w="316" w:type="pct"/>
                  <w:vMerge w:val="continue"/>
                  <w:tcBorders>
                    <w:left w:val="single" w:color="auto" w:sz="4" w:space="0"/>
                    <w:right w:val="single" w:color="auto" w:sz="4" w:space="0"/>
                  </w:tcBorders>
                  <w:shd w:val="clear" w:color="auto" w:fill="auto"/>
                  <w:vAlign w:val="center"/>
                </w:tcPr>
                <w:p w14:paraId="0134B90F">
                  <w:pPr>
                    <w:widowControl/>
                    <w:jc w:val="center"/>
                    <w:textAlignment w:val="center"/>
                    <w:rPr>
                      <w:color w:val="auto"/>
                      <w:sz w:val="21"/>
                      <w:szCs w:val="21"/>
                      <w:highlight w:val="none"/>
                    </w:rPr>
                  </w:pPr>
                </w:p>
              </w:tc>
            </w:tr>
            <w:tr w14:paraId="3983FB2D">
              <w:tblPrEx>
                <w:tblCellMar>
                  <w:top w:w="0" w:type="dxa"/>
                  <w:left w:w="108" w:type="dxa"/>
                  <w:bottom w:w="0" w:type="dxa"/>
                  <w:right w:w="108" w:type="dxa"/>
                </w:tblCellMar>
              </w:tblPrEx>
              <w:trPr>
                <w:trHeight w:val="90" w:hRule="atLeast"/>
                <w:jc w:val="center"/>
              </w:trPr>
              <w:tc>
                <w:tcPr>
                  <w:tcW w:w="5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CCC70A">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0B9325DA">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总磷</w:t>
                  </w:r>
                </w:p>
              </w:tc>
              <w:tc>
                <w:tcPr>
                  <w:tcW w:w="563" w:type="dxa"/>
                  <w:vMerge w:val="continue"/>
                  <w:tcBorders>
                    <w:left w:val="single" w:color="auto" w:sz="4" w:space="0"/>
                    <w:right w:val="single" w:color="auto" w:sz="4" w:space="0"/>
                  </w:tcBorders>
                  <w:shd w:val="clear" w:color="auto" w:fill="auto"/>
                  <w:vAlign w:val="center"/>
                </w:tcPr>
                <w:p w14:paraId="0F656F50">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690616B0">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277EA5BC">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5A2ECEA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0.064 </w:t>
                  </w:r>
                </w:p>
              </w:tc>
              <w:tc>
                <w:tcPr>
                  <w:tcW w:w="929" w:type="dxa"/>
                  <w:vMerge w:val="continue"/>
                  <w:tcBorders>
                    <w:left w:val="single" w:color="auto" w:sz="4" w:space="0"/>
                    <w:right w:val="single" w:color="auto" w:sz="4" w:space="0"/>
                  </w:tcBorders>
                  <w:shd w:val="clear" w:color="auto" w:fill="auto"/>
                  <w:vAlign w:val="center"/>
                </w:tcPr>
                <w:p w14:paraId="7B2619AA">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49F10A9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810" w:type="dxa"/>
                  <w:vMerge w:val="continue"/>
                  <w:tcBorders>
                    <w:left w:val="single" w:color="auto" w:sz="4" w:space="0"/>
                    <w:right w:val="single" w:color="auto" w:sz="4" w:space="0"/>
                  </w:tcBorders>
                  <w:shd w:val="clear" w:color="auto" w:fill="auto"/>
                  <w:vAlign w:val="center"/>
                </w:tcPr>
                <w:p w14:paraId="193EDD59">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40A98B80">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666CB8F0">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40904301">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7428AF8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0.001 </w:t>
                  </w:r>
                </w:p>
              </w:tc>
              <w:tc>
                <w:tcPr>
                  <w:tcW w:w="316" w:type="pct"/>
                  <w:vMerge w:val="continue"/>
                  <w:tcBorders>
                    <w:left w:val="single" w:color="auto" w:sz="4" w:space="0"/>
                    <w:right w:val="single" w:color="auto" w:sz="4" w:space="0"/>
                  </w:tcBorders>
                  <w:shd w:val="clear" w:color="auto" w:fill="auto"/>
                  <w:vAlign w:val="center"/>
                </w:tcPr>
                <w:p w14:paraId="63E5EA28">
                  <w:pPr>
                    <w:widowControl/>
                    <w:jc w:val="center"/>
                    <w:textAlignment w:val="center"/>
                    <w:rPr>
                      <w:color w:val="auto"/>
                      <w:sz w:val="21"/>
                      <w:szCs w:val="21"/>
                      <w:highlight w:val="none"/>
                    </w:rPr>
                  </w:pPr>
                </w:p>
              </w:tc>
            </w:tr>
            <w:tr w14:paraId="5232E01B">
              <w:tblPrEx>
                <w:tblCellMar>
                  <w:top w:w="0" w:type="dxa"/>
                  <w:left w:w="108" w:type="dxa"/>
                  <w:bottom w:w="0" w:type="dxa"/>
                  <w:right w:w="108" w:type="dxa"/>
                </w:tblCellMar>
              </w:tblPrEx>
              <w:trPr>
                <w:trHeight w:val="90" w:hRule="atLeast"/>
                <w:jc w:val="center"/>
              </w:trPr>
              <w:tc>
                <w:tcPr>
                  <w:tcW w:w="5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8036B6">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3CCCB3E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LAS</w:t>
                  </w:r>
                </w:p>
              </w:tc>
              <w:tc>
                <w:tcPr>
                  <w:tcW w:w="563" w:type="dxa"/>
                  <w:vMerge w:val="continue"/>
                  <w:tcBorders>
                    <w:left w:val="single" w:color="auto" w:sz="4" w:space="0"/>
                    <w:right w:val="single" w:color="auto" w:sz="4" w:space="0"/>
                  </w:tcBorders>
                  <w:shd w:val="clear" w:color="auto" w:fill="auto"/>
                  <w:vAlign w:val="center"/>
                </w:tcPr>
                <w:p w14:paraId="7E4606B8">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2167C720">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6A2DE807">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2062623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0.129 </w:t>
                  </w:r>
                </w:p>
              </w:tc>
              <w:tc>
                <w:tcPr>
                  <w:tcW w:w="929" w:type="dxa"/>
                  <w:vMerge w:val="continue"/>
                  <w:tcBorders>
                    <w:left w:val="single" w:color="auto" w:sz="4" w:space="0"/>
                    <w:right w:val="single" w:color="auto" w:sz="4" w:space="0"/>
                  </w:tcBorders>
                  <w:shd w:val="clear" w:color="auto" w:fill="auto"/>
                  <w:vAlign w:val="center"/>
                </w:tcPr>
                <w:p w14:paraId="0B7DB8AF">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096E4FA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810" w:type="dxa"/>
                  <w:vMerge w:val="continue"/>
                  <w:tcBorders>
                    <w:left w:val="single" w:color="auto" w:sz="4" w:space="0"/>
                    <w:right w:val="single" w:color="auto" w:sz="4" w:space="0"/>
                  </w:tcBorders>
                  <w:shd w:val="clear" w:color="auto" w:fill="auto"/>
                  <w:vAlign w:val="center"/>
                </w:tcPr>
                <w:p w14:paraId="1D365E33">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358814C3">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39A0FFA0">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1C8B759B">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7A711111">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0.001 </w:t>
                  </w:r>
                </w:p>
              </w:tc>
              <w:tc>
                <w:tcPr>
                  <w:tcW w:w="316" w:type="pct"/>
                  <w:vMerge w:val="continue"/>
                  <w:tcBorders>
                    <w:left w:val="single" w:color="auto" w:sz="4" w:space="0"/>
                    <w:right w:val="single" w:color="auto" w:sz="4" w:space="0"/>
                  </w:tcBorders>
                  <w:shd w:val="clear" w:color="auto" w:fill="auto"/>
                  <w:vAlign w:val="center"/>
                </w:tcPr>
                <w:p w14:paraId="78DA3668">
                  <w:pPr>
                    <w:widowControl/>
                    <w:jc w:val="center"/>
                    <w:textAlignment w:val="center"/>
                    <w:rPr>
                      <w:color w:val="auto"/>
                      <w:sz w:val="21"/>
                      <w:szCs w:val="21"/>
                      <w:highlight w:val="none"/>
                    </w:rPr>
                  </w:pPr>
                </w:p>
              </w:tc>
            </w:tr>
            <w:tr w14:paraId="0A73359A">
              <w:tblPrEx>
                <w:tblCellMar>
                  <w:top w:w="0" w:type="dxa"/>
                  <w:left w:w="108" w:type="dxa"/>
                  <w:bottom w:w="0" w:type="dxa"/>
                  <w:right w:w="108" w:type="dxa"/>
                </w:tblCellMar>
              </w:tblPrEx>
              <w:trPr>
                <w:trHeight w:val="90" w:hRule="atLeast"/>
                <w:jc w:val="center"/>
              </w:trPr>
              <w:tc>
                <w:tcPr>
                  <w:tcW w:w="5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D9BC64">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5B4ED8DC">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总氮</w:t>
                  </w:r>
                </w:p>
              </w:tc>
              <w:tc>
                <w:tcPr>
                  <w:tcW w:w="563" w:type="dxa"/>
                  <w:vMerge w:val="continue"/>
                  <w:tcBorders>
                    <w:left w:val="single" w:color="auto" w:sz="4" w:space="0"/>
                    <w:right w:val="single" w:color="auto" w:sz="4" w:space="0"/>
                  </w:tcBorders>
                  <w:shd w:val="clear" w:color="auto" w:fill="auto"/>
                  <w:vAlign w:val="center"/>
                </w:tcPr>
                <w:p w14:paraId="21C596A4">
                  <w:pPr>
                    <w:jc w:val="center"/>
                    <w:rPr>
                      <w:color w:val="auto"/>
                      <w:sz w:val="21"/>
                      <w:szCs w:val="21"/>
                      <w:highlight w:val="none"/>
                    </w:rPr>
                  </w:pPr>
                </w:p>
              </w:tc>
              <w:tc>
                <w:tcPr>
                  <w:tcW w:w="1038" w:type="dxa"/>
                  <w:vMerge w:val="continue"/>
                  <w:tcBorders>
                    <w:left w:val="single" w:color="auto" w:sz="4" w:space="0"/>
                    <w:right w:val="single" w:color="auto" w:sz="4" w:space="0"/>
                  </w:tcBorders>
                  <w:shd w:val="clear" w:color="auto" w:fill="auto"/>
                  <w:vAlign w:val="center"/>
                </w:tcPr>
                <w:p w14:paraId="6DCE32F2">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0933022F">
                  <w:pPr>
                    <w:keepNext w:val="0"/>
                    <w:keepLines w:val="0"/>
                    <w:widowControl/>
                    <w:suppressLineNumbers w:val="0"/>
                    <w:jc w:val="center"/>
                    <w:textAlignment w:val="center"/>
                    <w:rPr>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25.9</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631EB2E0">
                  <w:pPr>
                    <w:keepNext w:val="0"/>
                    <w:keepLines w:val="0"/>
                    <w:widowControl/>
                    <w:suppressLineNumbers w:val="0"/>
                    <w:jc w:val="center"/>
                    <w:textAlignment w:val="center"/>
                    <w:rPr>
                      <w:color w:val="auto"/>
                      <w:kern w:val="0"/>
                      <w:sz w:val="20"/>
                      <w:szCs w:val="20"/>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1.668 </w:t>
                  </w:r>
                </w:p>
              </w:tc>
              <w:tc>
                <w:tcPr>
                  <w:tcW w:w="929" w:type="dxa"/>
                  <w:vMerge w:val="continue"/>
                  <w:tcBorders>
                    <w:left w:val="single" w:color="auto" w:sz="4" w:space="0"/>
                    <w:right w:val="single" w:color="auto" w:sz="4" w:space="0"/>
                  </w:tcBorders>
                  <w:shd w:val="clear" w:color="auto" w:fill="auto"/>
                  <w:vAlign w:val="center"/>
                </w:tcPr>
                <w:p w14:paraId="25C61B3B">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13EEA05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810" w:type="dxa"/>
                  <w:vMerge w:val="continue"/>
                  <w:tcBorders>
                    <w:left w:val="single" w:color="auto" w:sz="4" w:space="0"/>
                    <w:right w:val="single" w:color="auto" w:sz="4" w:space="0"/>
                  </w:tcBorders>
                  <w:shd w:val="clear" w:color="auto" w:fill="auto"/>
                  <w:vAlign w:val="center"/>
                </w:tcPr>
                <w:p w14:paraId="12AAF7A8">
                  <w:pPr>
                    <w:jc w:val="center"/>
                    <w:rPr>
                      <w:color w:val="auto"/>
                      <w:sz w:val="21"/>
                      <w:szCs w:val="21"/>
                      <w:highlight w:val="none"/>
                    </w:rPr>
                  </w:pPr>
                </w:p>
              </w:tc>
              <w:tc>
                <w:tcPr>
                  <w:tcW w:w="628" w:type="dxa"/>
                  <w:vMerge w:val="continue"/>
                  <w:tcBorders>
                    <w:left w:val="single" w:color="auto" w:sz="4" w:space="0"/>
                    <w:right w:val="single" w:color="auto" w:sz="4" w:space="0"/>
                  </w:tcBorders>
                  <w:shd w:val="clear" w:color="auto" w:fill="auto"/>
                  <w:vAlign w:val="center"/>
                </w:tcPr>
                <w:p w14:paraId="0F41BAC1">
                  <w:pPr>
                    <w:jc w:val="center"/>
                    <w:rPr>
                      <w:color w:val="auto"/>
                      <w:sz w:val="21"/>
                      <w:szCs w:val="21"/>
                      <w:highlight w:val="none"/>
                    </w:rPr>
                  </w:pPr>
                </w:p>
              </w:tc>
              <w:tc>
                <w:tcPr>
                  <w:tcW w:w="1173" w:type="dxa"/>
                  <w:vMerge w:val="continue"/>
                  <w:tcBorders>
                    <w:left w:val="single" w:color="auto" w:sz="4" w:space="0"/>
                    <w:right w:val="single" w:color="auto" w:sz="4" w:space="0"/>
                  </w:tcBorders>
                  <w:shd w:val="clear" w:color="auto" w:fill="auto"/>
                  <w:vAlign w:val="center"/>
                </w:tcPr>
                <w:p w14:paraId="4CD21763">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2EE6743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12.95</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5383A27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0.038 </w:t>
                  </w:r>
                </w:p>
              </w:tc>
              <w:tc>
                <w:tcPr>
                  <w:tcW w:w="316" w:type="pct"/>
                  <w:vMerge w:val="continue"/>
                  <w:tcBorders>
                    <w:left w:val="single" w:color="auto" w:sz="4" w:space="0"/>
                    <w:right w:val="single" w:color="auto" w:sz="4" w:space="0"/>
                  </w:tcBorders>
                  <w:shd w:val="clear" w:color="auto" w:fill="auto"/>
                  <w:vAlign w:val="center"/>
                </w:tcPr>
                <w:p w14:paraId="060E868B">
                  <w:pPr>
                    <w:widowControl/>
                    <w:jc w:val="center"/>
                    <w:textAlignment w:val="center"/>
                    <w:rPr>
                      <w:color w:val="auto"/>
                      <w:sz w:val="21"/>
                      <w:szCs w:val="21"/>
                      <w:highlight w:val="none"/>
                    </w:rPr>
                  </w:pPr>
                </w:p>
              </w:tc>
            </w:tr>
            <w:tr w14:paraId="099340E1">
              <w:tblPrEx>
                <w:tblCellMar>
                  <w:top w:w="0" w:type="dxa"/>
                  <w:left w:w="108" w:type="dxa"/>
                  <w:bottom w:w="0" w:type="dxa"/>
                  <w:right w:w="108" w:type="dxa"/>
                </w:tblCellMar>
              </w:tblPrEx>
              <w:trPr>
                <w:trHeight w:val="90" w:hRule="atLeast"/>
                <w:jc w:val="center"/>
              </w:trPr>
              <w:tc>
                <w:tcPr>
                  <w:tcW w:w="5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8B84C7">
                  <w:pPr>
                    <w:jc w:val="center"/>
                    <w:rPr>
                      <w:color w:val="auto"/>
                      <w:sz w:val="21"/>
                      <w:szCs w:val="21"/>
                      <w:highlight w:val="none"/>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6FDF3BF6">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石油类</w:t>
                  </w:r>
                </w:p>
              </w:tc>
              <w:tc>
                <w:tcPr>
                  <w:tcW w:w="563" w:type="dxa"/>
                  <w:vMerge w:val="continue"/>
                  <w:tcBorders>
                    <w:left w:val="single" w:color="auto" w:sz="4" w:space="0"/>
                    <w:bottom w:val="single" w:color="auto" w:sz="4" w:space="0"/>
                    <w:right w:val="single" w:color="auto" w:sz="4" w:space="0"/>
                  </w:tcBorders>
                  <w:shd w:val="clear" w:color="auto" w:fill="auto"/>
                  <w:vAlign w:val="center"/>
                </w:tcPr>
                <w:p w14:paraId="66D0C533">
                  <w:pPr>
                    <w:jc w:val="center"/>
                    <w:rPr>
                      <w:color w:val="auto"/>
                      <w:sz w:val="21"/>
                      <w:szCs w:val="21"/>
                      <w:highlight w:val="none"/>
                    </w:rPr>
                  </w:pPr>
                </w:p>
              </w:tc>
              <w:tc>
                <w:tcPr>
                  <w:tcW w:w="1038" w:type="dxa"/>
                  <w:vMerge w:val="continue"/>
                  <w:tcBorders>
                    <w:left w:val="single" w:color="auto" w:sz="4" w:space="0"/>
                    <w:bottom w:val="single" w:color="auto" w:sz="4" w:space="0"/>
                    <w:right w:val="single" w:color="auto" w:sz="4" w:space="0"/>
                  </w:tcBorders>
                  <w:shd w:val="clear" w:color="auto" w:fill="auto"/>
                  <w:vAlign w:val="center"/>
                </w:tcPr>
                <w:p w14:paraId="6EF8595F">
                  <w:pPr>
                    <w:jc w:val="center"/>
                    <w:rPr>
                      <w:color w:val="auto"/>
                      <w:sz w:val="21"/>
                      <w:szCs w:val="21"/>
                      <w:highlight w:val="none"/>
                    </w:rPr>
                  </w:pPr>
                </w:p>
              </w:tc>
              <w:tc>
                <w:tcPr>
                  <w:tcW w:w="1287" w:type="dxa"/>
                  <w:tcBorders>
                    <w:top w:val="single" w:color="auto" w:sz="4" w:space="0"/>
                    <w:left w:val="single" w:color="auto" w:sz="4" w:space="0"/>
                    <w:bottom w:val="single" w:color="auto" w:sz="4" w:space="0"/>
                    <w:right w:val="single" w:color="auto" w:sz="4" w:space="0"/>
                  </w:tcBorders>
                  <w:shd w:val="clear" w:color="auto" w:fill="auto"/>
                  <w:vAlign w:val="center"/>
                </w:tcPr>
                <w:p w14:paraId="12D233FA">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14.2</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747B582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0.915 </w:t>
                  </w:r>
                </w:p>
              </w:tc>
              <w:tc>
                <w:tcPr>
                  <w:tcW w:w="929" w:type="dxa"/>
                  <w:vMerge w:val="continue"/>
                  <w:tcBorders>
                    <w:left w:val="single" w:color="auto" w:sz="4" w:space="0"/>
                    <w:bottom w:val="single" w:color="auto" w:sz="4" w:space="0"/>
                    <w:right w:val="single" w:color="auto" w:sz="4" w:space="0"/>
                  </w:tcBorders>
                  <w:shd w:val="clear" w:color="auto" w:fill="auto"/>
                  <w:vAlign w:val="center"/>
                </w:tcPr>
                <w:p w14:paraId="46895CE3">
                  <w:pPr>
                    <w:jc w:val="center"/>
                    <w:rPr>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1B6CD2A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93.25</w:t>
                  </w:r>
                </w:p>
              </w:tc>
              <w:tc>
                <w:tcPr>
                  <w:tcW w:w="810" w:type="dxa"/>
                  <w:vMerge w:val="continue"/>
                  <w:tcBorders>
                    <w:left w:val="single" w:color="auto" w:sz="4" w:space="0"/>
                    <w:bottom w:val="single" w:color="auto" w:sz="4" w:space="0"/>
                    <w:right w:val="single" w:color="auto" w:sz="4" w:space="0"/>
                  </w:tcBorders>
                  <w:shd w:val="clear" w:color="auto" w:fill="auto"/>
                  <w:vAlign w:val="center"/>
                </w:tcPr>
                <w:p w14:paraId="54DB0BE4">
                  <w:pPr>
                    <w:jc w:val="center"/>
                    <w:rPr>
                      <w:color w:val="auto"/>
                      <w:sz w:val="21"/>
                      <w:szCs w:val="21"/>
                      <w:highlight w:val="none"/>
                    </w:rPr>
                  </w:pPr>
                </w:p>
              </w:tc>
              <w:tc>
                <w:tcPr>
                  <w:tcW w:w="628" w:type="dxa"/>
                  <w:vMerge w:val="continue"/>
                  <w:tcBorders>
                    <w:left w:val="single" w:color="auto" w:sz="4" w:space="0"/>
                    <w:bottom w:val="single" w:color="auto" w:sz="4" w:space="0"/>
                    <w:right w:val="single" w:color="auto" w:sz="4" w:space="0"/>
                  </w:tcBorders>
                  <w:shd w:val="clear" w:color="auto" w:fill="auto"/>
                  <w:vAlign w:val="center"/>
                </w:tcPr>
                <w:p w14:paraId="62AFFB77">
                  <w:pPr>
                    <w:jc w:val="center"/>
                    <w:rPr>
                      <w:color w:val="auto"/>
                      <w:sz w:val="21"/>
                      <w:szCs w:val="21"/>
                      <w:highlight w:val="none"/>
                    </w:rPr>
                  </w:pPr>
                </w:p>
              </w:tc>
              <w:tc>
                <w:tcPr>
                  <w:tcW w:w="1173" w:type="dxa"/>
                  <w:vMerge w:val="continue"/>
                  <w:tcBorders>
                    <w:left w:val="single" w:color="auto" w:sz="4" w:space="0"/>
                    <w:bottom w:val="single" w:color="auto" w:sz="4" w:space="0"/>
                    <w:right w:val="single" w:color="auto" w:sz="4" w:space="0"/>
                  </w:tcBorders>
                  <w:shd w:val="clear" w:color="auto" w:fill="auto"/>
                  <w:vAlign w:val="center"/>
                </w:tcPr>
                <w:p w14:paraId="11C34B13">
                  <w:pPr>
                    <w:jc w:val="center"/>
                    <w:rPr>
                      <w:color w:val="auto"/>
                      <w:sz w:val="21"/>
                      <w:szCs w:val="21"/>
                      <w:highlight w:val="none"/>
                    </w:rPr>
                  </w:pP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69C8EA6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0.96</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179744A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c>
                <w:tcPr>
                  <w:tcW w:w="316" w:type="pct"/>
                  <w:vMerge w:val="continue"/>
                  <w:tcBorders>
                    <w:left w:val="single" w:color="auto" w:sz="4" w:space="0"/>
                    <w:bottom w:val="single" w:color="auto" w:sz="4" w:space="0"/>
                    <w:right w:val="single" w:color="auto" w:sz="4" w:space="0"/>
                  </w:tcBorders>
                  <w:shd w:val="clear" w:color="auto" w:fill="auto"/>
                  <w:vAlign w:val="center"/>
                </w:tcPr>
                <w:p w14:paraId="1C251CAB">
                  <w:pPr>
                    <w:widowControl/>
                    <w:jc w:val="center"/>
                    <w:textAlignment w:val="center"/>
                    <w:rPr>
                      <w:color w:val="auto"/>
                      <w:sz w:val="21"/>
                      <w:szCs w:val="21"/>
                      <w:highlight w:val="none"/>
                    </w:rPr>
                  </w:pPr>
                </w:p>
              </w:tc>
            </w:tr>
          </w:tbl>
          <w:p w14:paraId="2D370CDB">
            <w:pPr>
              <w:keepNext/>
              <w:keepLines/>
              <w:tabs>
                <w:tab w:val="left" w:pos="0"/>
              </w:tabs>
              <w:ind w:firstLine="480" w:firstLineChars="200"/>
              <w:outlineLvl w:val="3"/>
              <w:rPr>
                <w:b/>
                <w:bCs/>
                <w:color w:val="auto"/>
                <w:highlight w:val="none"/>
              </w:rPr>
            </w:pPr>
            <w:r>
              <w:rPr>
                <w:b/>
                <w:bCs/>
                <w:color w:val="auto"/>
                <w:highlight w:val="none"/>
              </w:rPr>
              <w:t>2、废水收集处理情况</w:t>
            </w:r>
          </w:p>
          <w:p w14:paraId="1763260C">
            <w:pPr>
              <w:pStyle w:val="2"/>
              <w:ind w:firstLine="480" w:firstLineChars="200"/>
              <w:jc w:val="left"/>
              <w:rPr>
                <w:rFonts w:ascii="Times New Roman" w:cs="Times New Roman"/>
                <w:color w:val="auto"/>
                <w:highlight w:val="none"/>
              </w:rPr>
            </w:pPr>
            <w:r>
              <w:rPr>
                <w:rFonts w:ascii="Times New Roman" w:cs="Times New Roman"/>
                <w:color w:val="auto"/>
                <w:highlight w:val="none"/>
              </w:rPr>
              <w:t>项目生产废水经“中和</w:t>
            </w:r>
            <w:r>
              <w:rPr>
                <w:rFonts w:hint="eastAsia" w:ascii="Times New Roman" w:cs="Times New Roman"/>
                <w:color w:val="auto"/>
                <w:highlight w:val="none"/>
              </w:rPr>
              <w:t>调节+絮凝沉淀+A/O+二沉池+消毒</w:t>
            </w:r>
            <w:r>
              <w:rPr>
                <w:rFonts w:ascii="Times New Roman" w:cs="Times New Roman"/>
                <w:color w:val="auto"/>
                <w:highlight w:val="none"/>
              </w:rPr>
              <w:t>”处理，生活污水经“三级化粪池、隔油隔渣池”处理，两股废水处理达到广东省地方标准《水污染物排放限值》（DB44/26-2001）第二时段三级标准及园区污水处理厂接管水质要求两者较严值要求后，排入园区污水处理厂处理，园区污水处理厂处理后达到广东省《水污染物排放限值》（DB44/26-2001）第二时段一级标准和《城镇污水处理厂污染物排放标准》（GB18919-2002）一级B标准中严者后排入武江。生产废水回用水水质执行《城市污水再生利用 工业用水水质》《GB/T19923-2024》要求。</w:t>
            </w:r>
          </w:p>
          <w:p w14:paraId="4D1C441A">
            <w:pPr>
              <w:keepNext/>
              <w:keepLines/>
              <w:tabs>
                <w:tab w:val="left" w:pos="0"/>
              </w:tabs>
              <w:ind w:firstLine="480" w:firstLineChars="200"/>
              <w:outlineLvl w:val="3"/>
              <w:rPr>
                <w:b/>
                <w:bCs/>
                <w:color w:val="auto"/>
                <w:highlight w:val="none"/>
              </w:rPr>
            </w:pPr>
            <w:r>
              <w:rPr>
                <w:b/>
                <w:bCs/>
                <w:color w:val="auto"/>
                <w:highlight w:val="none"/>
              </w:rPr>
              <w:t>3、排放口基本情况</w:t>
            </w:r>
          </w:p>
          <w:p w14:paraId="33A20B0A">
            <w:pPr>
              <w:ind w:firstLine="480" w:firstLineChars="200"/>
              <w:rPr>
                <w:color w:val="auto"/>
                <w:highlight w:val="none"/>
              </w:rPr>
            </w:pPr>
            <w:r>
              <w:rPr>
                <w:color w:val="auto"/>
                <w:highlight w:val="none"/>
              </w:rPr>
              <w:t>营运期排放的废水主要为生产废水2970t/a、生活污水3420t/a，排放量合计为6390t/a，主要污染物为COD</w:t>
            </w:r>
            <w:r>
              <w:rPr>
                <w:color w:val="auto"/>
                <w:highlight w:val="none"/>
                <w:vertAlign w:val="subscript"/>
              </w:rPr>
              <w:t>Cr</w:t>
            </w:r>
            <w:r>
              <w:rPr>
                <w:color w:val="auto"/>
                <w:highlight w:val="none"/>
              </w:rPr>
              <w:t>、BOD</w:t>
            </w:r>
            <w:r>
              <w:rPr>
                <w:color w:val="auto"/>
                <w:highlight w:val="none"/>
                <w:vertAlign w:val="subscript"/>
              </w:rPr>
              <w:t>5</w:t>
            </w:r>
            <w:r>
              <w:rPr>
                <w:color w:val="auto"/>
                <w:highlight w:val="none"/>
              </w:rPr>
              <w:t>、SS、氨氮等。本项目生产废水经自建污水处理站处理达标后部分回用于生产，部分排入园区污水处理厂进一步处理后排放。生活污水经三级化粪池、隔油隔渣池处理，两股排废水排入园区污水处理厂进一步处理后排放，属于一般排放口。</w:t>
            </w:r>
          </w:p>
          <w:p w14:paraId="587CCF07">
            <w:pPr>
              <w:tabs>
                <w:tab w:val="left" w:pos="0"/>
              </w:tabs>
              <w:autoSpaceDE w:val="0"/>
              <w:autoSpaceDN w:val="0"/>
              <w:ind w:firstLine="40"/>
              <w:jc w:val="center"/>
              <w:textAlignment w:val="baseline"/>
              <w:rPr>
                <w:b/>
                <w:color w:val="auto"/>
                <w:sz w:val="21"/>
                <w:szCs w:val="21"/>
                <w:highlight w:val="none"/>
              </w:rPr>
            </w:pPr>
            <w:r>
              <w:rPr>
                <w:b/>
                <w:color w:val="auto"/>
                <w:sz w:val="21"/>
                <w:szCs w:val="21"/>
                <w:highlight w:val="none"/>
              </w:rPr>
              <w:t>表4-16 项目废水排放口基本情况表</w:t>
            </w:r>
          </w:p>
          <w:tbl>
            <w:tblPr>
              <w:tblStyle w:val="5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3"/>
              <w:gridCol w:w="868"/>
              <w:gridCol w:w="1054"/>
              <w:gridCol w:w="955"/>
              <w:gridCol w:w="968"/>
              <w:gridCol w:w="1190"/>
              <w:gridCol w:w="1627"/>
              <w:gridCol w:w="904"/>
              <w:gridCol w:w="807"/>
              <w:gridCol w:w="1743"/>
              <w:gridCol w:w="2568"/>
            </w:tblGrid>
            <w:tr w14:paraId="4D85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restart"/>
                  <w:vAlign w:val="center"/>
                </w:tcPr>
                <w:p w14:paraId="601EA280">
                  <w:pPr>
                    <w:pStyle w:val="64"/>
                    <w:snapToGrid w:val="0"/>
                    <w:spacing w:line="276" w:lineRule="auto"/>
                    <w:rPr>
                      <w:b/>
                      <w:bCs/>
                      <w:color w:val="auto"/>
                      <w:kern w:val="2"/>
                      <w:highlight w:val="none"/>
                    </w:rPr>
                  </w:pPr>
                  <w:r>
                    <w:rPr>
                      <w:b/>
                      <w:bCs/>
                      <w:color w:val="auto"/>
                      <w:kern w:val="2"/>
                      <w:highlight w:val="none"/>
                    </w:rPr>
                    <w:t>排放口编号</w:t>
                  </w:r>
                </w:p>
              </w:tc>
              <w:tc>
                <w:tcPr>
                  <w:tcW w:w="322" w:type="pct"/>
                  <w:vMerge w:val="restart"/>
                  <w:vAlign w:val="center"/>
                </w:tcPr>
                <w:p w14:paraId="054CDFC7">
                  <w:pPr>
                    <w:pStyle w:val="64"/>
                    <w:snapToGrid w:val="0"/>
                    <w:spacing w:line="276" w:lineRule="auto"/>
                    <w:rPr>
                      <w:b/>
                      <w:bCs/>
                      <w:color w:val="auto"/>
                      <w:kern w:val="2"/>
                      <w:highlight w:val="none"/>
                    </w:rPr>
                  </w:pPr>
                  <w:r>
                    <w:rPr>
                      <w:b/>
                      <w:bCs/>
                      <w:color w:val="auto"/>
                      <w:kern w:val="2"/>
                      <w:highlight w:val="none"/>
                    </w:rPr>
                    <w:t>排放口名称</w:t>
                  </w:r>
                </w:p>
              </w:tc>
              <w:tc>
                <w:tcPr>
                  <w:tcW w:w="745" w:type="pct"/>
                  <w:gridSpan w:val="2"/>
                  <w:vAlign w:val="center"/>
                </w:tcPr>
                <w:p w14:paraId="5D8A25DB">
                  <w:pPr>
                    <w:pStyle w:val="64"/>
                    <w:snapToGrid w:val="0"/>
                    <w:spacing w:line="276" w:lineRule="auto"/>
                    <w:rPr>
                      <w:b/>
                      <w:bCs/>
                      <w:color w:val="auto"/>
                      <w:kern w:val="2"/>
                      <w:highlight w:val="none"/>
                    </w:rPr>
                  </w:pPr>
                  <w:r>
                    <w:rPr>
                      <w:b/>
                      <w:bCs/>
                      <w:color w:val="auto"/>
                      <w:kern w:val="2"/>
                      <w:highlight w:val="none"/>
                    </w:rPr>
                    <w:t>排放口坐标</w:t>
                  </w:r>
                </w:p>
              </w:tc>
              <w:tc>
                <w:tcPr>
                  <w:tcW w:w="359" w:type="pct"/>
                  <w:vMerge w:val="restart"/>
                  <w:vAlign w:val="center"/>
                </w:tcPr>
                <w:p w14:paraId="0A7F5527">
                  <w:pPr>
                    <w:pStyle w:val="64"/>
                    <w:snapToGrid w:val="0"/>
                    <w:spacing w:line="276" w:lineRule="auto"/>
                    <w:rPr>
                      <w:b/>
                      <w:bCs/>
                      <w:color w:val="auto"/>
                      <w:kern w:val="2"/>
                      <w:highlight w:val="none"/>
                    </w:rPr>
                  </w:pPr>
                  <w:r>
                    <w:rPr>
                      <w:b/>
                      <w:bCs/>
                      <w:color w:val="auto"/>
                      <w:kern w:val="2"/>
                      <w:highlight w:val="none"/>
                    </w:rPr>
                    <w:t>废水排放量/（万t/a）</w:t>
                  </w:r>
                </w:p>
              </w:tc>
              <w:tc>
                <w:tcPr>
                  <w:tcW w:w="441" w:type="pct"/>
                  <w:vMerge w:val="restart"/>
                  <w:vAlign w:val="center"/>
                </w:tcPr>
                <w:p w14:paraId="1E220CA1">
                  <w:pPr>
                    <w:pStyle w:val="64"/>
                    <w:snapToGrid w:val="0"/>
                    <w:spacing w:line="276" w:lineRule="auto"/>
                    <w:rPr>
                      <w:b/>
                      <w:bCs/>
                      <w:color w:val="auto"/>
                      <w:kern w:val="2"/>
                      <w:highlight w:val="none"/>
                    </w:rPr>
                  </w:pPr>
                  <w:r>
                    <w:rPr>
                      <w:b/>
                      <w:bCs/>
                      <w:color w:val="auto"/>
                      <w:kern w:val="2"/>
                      <w:highlight w:val="none"/>
                    </w:rPr>
                    <w:t>排放去向</w:t>
                  </w:r>
                </w:p>
              </w:tc>
              <w:tc>
                <w:tcPr>
                  <w:tcW w:w="603" w:type="pct"/>
                  <w:vMerge w:val="restart"/>
                  <w:vAlign w:val="center"/>
                </w:tcPr>
                <w:p w14:paraId="00916BC1">
                  <w:pPr>
                    <w:pStyle w:val="64"/>
                    <w:snapToGrid w:val="0"/>
                    <w:spacing w:line="276" w:lineRule="auto"/>
                    <w:rPr>
                      <w:b/>
                      <w:bCs/>
                      <w:color w:val="auto"/>
                      <w:kern w:val="2"/>
                      <w:highlight w:val="none"/>
                    </w:rPr>
                  </w:pPr>
                  <w:r>
                    <w:rPr>
                      <w:b/>
                      <w:bCs/>
                      <w:color w:val="auto"/>
                      <w:kern w:val="2"/>
                      <w:highlight w:val="none"/>
                    </w:rPr>
                    <w:t>排放规律</w:t>
                  </w:r>
                </w:p>
              </w:tc>
              <w:tc>
                <w:tcPr>
                  <w:tcW w:w="335" w:type="pct"/>
                  <w:vMerge w:val="restart"/>
                  <w:vAlign w:val="center"/>
                </w:tcPr>
                <w:p w14:paraId="487B2B83">
                  <w:pPr>
                    <w:pStyle w:val="64"/>
                    <w:snapToGrid w:val="0"/>
                    <w:spacing w:line="276" w:lineRule="auto"/>
                    <w:rPr>
                      <w:b/>
                      <w:bCs/>
                      <w:color w:val="auto"/>
                      <w:kern w:val="2"/>
                      <w:highlight w:val="none"/>
                    </w:rPr>
                  </w:pPr>
                  <w:r>
                    <w:rPr>
                      <w:b/>
                      <w:bCs/>
                      <w:color w:val="auto"/>
                      <w:kern w:val="2"/>
                      <w:highlight w:val="none"/>
                    </w:rPr>
                    <w:t>排放口类型</w:t>
                  </w:r>
                </w:p>
              </w:tc>
              <w:tc>
                <w:tcPr>
                  <w:tcW w:w="1895" w:type="pct"/>
                  <w:gridSpan w:val="3"/>
                  <w:vAlign w:val="center"/>
                </w:tcPr>
                <w:p w14:paraId="0FC6C467">
                  <w:pPr>
                    <w:pStyle w:val="64"/>
                    <w:snapToGrid w:val="0"/>
                    <w:spacing w:line="276" w:lineRule="auto"/>
                    <w:rPr>
                      <w:b/>
                      <w:bCs/>
                      <w:color w:val="auto"/>
                      <w:kern w:val="2"/>
                      <w:highlight w:val="none"/>
                    </w:rPr>
                  </w:pPr>
                  <w:r>
                    <w:rPr>
                      <w:b/>
                      <w:bCs/>
                      <w:color w:val="auto"/>
                      <w:kern w:val="2"/>
                      <w:highlight w:val="none"/>
                    </w:rPr>
                    <w:t>受纳污水处理厂信息</w:t>
                  </w:r>
                </w:p>
              </w:tc>
            </w:tr>
            <w:tr w14:paraId="357C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298" w:type="pct"/>
                  <w:vMerge w:val="continue"/>
                  <w:vAlign w:val="center"/>
                </w:tcPr>
                <w:p w14:paraId="7E8BAD9F">
                  <w:pPr>
                    <w:pStyle w:val="64"/>
                    <w:snapToGrid w:val="0"/>
                    <w:spacing w:line="276" w:lineRule="auto"/>
                    <w:rPr>
                      <w:b/>
                      <w:bCs/>
                      <w:color w:val="auto"/>
                      <w:kern w:val="2"/>
                      <w:highlight w:val="none"/>
                    </w:rPr>
                  </w:pPr>
                </w:p>
              </w:tc>
              <w:tc>
                <w:tcPr>
                  <w:tcW w:w="322" w:type="pct"/>
                  <w:vMerge w:val="continue"/>
                  <w:vAlign w:val="center"/>
                </w:tcPr>
                <w:p w14:paraId="66901A1E">
                  <w:pPr>
                    <w:pStyle w:val="64"/>
                    <w:snapToGrid w:val="0"/>
                    <w:spacing w:line="276" w:lineRule="auto"/>
                    <w:rPr>
                      <w:b/>
                      <w:bCs/>
                      <w:color w:val="auto"/>
                      <w:kern w:val="2"/>
                      <w:highlight w:val="none"/>
                    </w:rPr>
                  </w:pPr>
                </w:p>
              </w:tc>
              <w:tc>
                <w:tcPr>
                  <w:tcW w:w="391" w:type="pct"/>
                  <w:vAlign w:val="center"/>
                </w:tcPr>
                <w:p w14:paraId="75EF3A01">
                  <w:pPr>
                    <w:pStyle w:val="64"/>
                    <w:snapToGrid w:val="0"/>
                    <w:spacing w:line="276" w:lineRule="auto"/>
                    <w:rPr>
                      <w:rFonts w:hint="default" w:eastAsia="宋体"/>
                      <w:b/>
                      <w:bCs/>
                      <w:color w:val="auto"/>
                      <w:kern w:val="2"/>
                      <w:highlight w:val="none"/>
                      <w:lang w:val="en-US" w:eastAsia="zh-CN"/>
                    </w:rPr>
                  </w:pPr>
                  <w:r>
                    <w:rPr>
                      <w:rFonts w:hint="eastAsia"/>
                      <w:b/>
                      <w:bCs/>
                      <w:color w:val="auto"/>
                      <w:kern w:val="2"/>
                      <w:highlight w:val="none"/>
                      <w:lang w:val="en-US" w:eastAsia="zh-CN"/>
                    </w:rPr>
                    <w:t>经度</w:t>
                  </w:r>
                </w:p>
              </w:tc>
              <w:tc>
                <w:tcPr>
                  <w:tcW w:w="353" w:type="pct"/>
                  <w:vAlign w:val="center"/>
                </w:tcPr>
                <w:p w14:paraId="2D9E180A">
                  <w:pPr>
                    <w:pStyle w:val="64"/>
                    <w:snapToGrid w:val="0"/>
                    <w:spacing w:line="276" w:lineRule="auto"/>
                    <w:rPr>
                      <w:rFonts w:hint="default" w:eastAsia="宋体"/>
                      <w:b/>
                      <w:bCs/>
                      <w:color w:val="auto"/>
                      <w:kern w:val="2"/>
                      <w:highlight w:val="none"/>
                      <w:lang w:val="en-US" w:eastAsia="zh-CN"/>
                    </w:rPr>
                  </w:pPr>
                  <w:r>
                    <w:rPr>
                      <w:rFonts w:hint="eastAsia"/>
                      <w:b/>
                      <w:bCs/>
                      <w:color w:val="auto"/>
                      <w:kern w:val="2"/>
                      <w:highlight w:val="none"/>
                      <w:lang w:val="en-US" w:eastAsia="zh-CN"/>
                    </w:rPr>
                    <w:t>纬度</w:t>
                  </w:r>
                </w:p>
              </w:tc>
              <w:tc>
                <w:tcPr>
                  <w:tcW w:w="359" w:type="pct"/>
                  <w:vMerge w:val="continue"/>
                  <w:vAlign w:val="center"/>
                </w:tcPr>
                <w:p w14:paraId="54383213">
                  <w:pPr>
                    <w:pStyle w:val="64"/>
                    <w:snapToGrid w:val="0"/>
                    <w:spacing w:line="276" w:lineRule="auto"/>
                    <w:rPr>
                      <w:b/>
                      <w:bCs/>
                      <w:color w:val="auto"/>
                      <w:kern w:val="2"/>
                      <w:highlight w:val="none"/>
                    </w:rPr>
                  </w:pPr>
                </w:p>
              </w:tc>
              <w:tc>
                <w:tcPr>
                  <w:tcW w:w="441" w:type="pct"/>
                  <w:vMerge w:val="continue"/>
                  <w:vAlign w:val="center"/>
                </w:tcPr>
                <w:p w14:paraId="525013E5">
                  <w:pPr>
                    <w:pStyle w:val="64"/>
                    <w:snapToGrid w:val="0"/>
                    <w:spacing w:line="276" w:lineRule="auto"/>
                    <w:rPr>
                      <w:b/>
                      <w:bCs/>
                      <w:color w:val="auto"/>
                      <w:kern w:val="2"/>
                      <w:highlight w:val="none"/>
                    </w:rPr>
                  </w:pPr>
                </w:p>
              </w:tc>
              <w:tc>
                <w:tcPr>
                  <w:tcW w:w="603" w:type="pct"/>
                  <w:vMerge w:val="continue"/>
                  <w:vAlign w:val="center"/>
                </w:tcPr>
                <w:p w14:paraId="796A8F31">
                  <w:pPr>
                    <w:pStyle w:val="64"/>
                    <w:snapToGrid w:val="0"/>
                    <w:spacing w:line="276" w:lineRule="auto"/>
                    <w:rPr>
                      <w:b/>
                      <w:bCs/>
                      <w:color w:val="auto"/>
                      <w:kern w:val="2"/>
                      <w:highlight w:val="none"/>
                    </w:rPr>
                  </w:pPr>
                </w:p>
              </w:tc>
              <w:tc>
                <w:tcPr>
                  <w:tcW w:w="335" w:type="pct"/>
                  <w:vMerge w:val="continue"/>
                  <w:vAlign w:val="center"/>
                </w:tcPr>
                <w:p w14:paraId="6170D309">
                  <w:pPr>
                    <w:pStyle w:val="64"/>
                    <w:snapToGrid w:val="0"/>
                    <w:spacing w:line="276" w:lineRule="auto"/>
                    <w:rPr>
                      <w:b/>
                      <w:bCs/>
                      <w:color w:val="auto"/>
                      <w:kern w:val="2"/>
                      <w:highlight w:val="none"/>
                    </w:rPr>
                  </w:pPr>
                </w:p>
              </w:tc>
              <w:tc>
                <w:tcPr>
                  <w:tcW w:w="299" w:type="pct"/>
                  <w:vAlign w:val="center"/>
                </w:tcPr>
                <w:p w14:paraId="4212E328">
                  <w:pPr>
                    <w:pStyle w:val="64"/>
                    <w:snapToGrid w:val="0"/>
                    <w:spacing w:line="276" w:lineRule="auto"/>
                    <w:rPr>
                      <w:b/>
                      <w:bCs/>
                      <w:color w:val="auto"/>
                      <w:kern w:val="2"/>
                      <w:highlight w:val="none"/>
                    </w:rPr>
                  </w:pPr>
                  <w:r>
                    <w:rPr>
                      <w:b/>
                      <w:bCs/>
                      <w:color w:val="auto"/>
                      <w:kern w:val="2"/>
                      <w:highlight w:val="none"/>
                    </w:rPr>
                    <w:t>名称</w:t>
                  </w:r>
                </w:p>
              </w:tc>
              <w:tc>
                <w:tcPr>
                  <w:tcW w:w="646" w:type="pct"/>
                  <w:vAlign w:val="center"/>
                </w:tcPr>
                <w:p w14:paraId="0513F18A">
                  <w:pPr>
                    <w:pStyle w:val="64"/>
                    <w:snapToGrid w:val="0"/>
                    <w:spacing w:line="276" w:lineRule="auto"/>
                    <w:rPr>
                      <w:b/>
                      <w:bCs/>
                      <w:color w:val="auto"/>
                      <w:kern w:val="2"/>
                      <w:highlight w:val="none"/>
                    </w:rPr>
                  </w:pPr>
                  <w:r>
                    <w:rPr>
                      <w:b/>
                      <w:bCs/>
                      <w:color w:val="auto"/>
                      <w:kern w:val="2"/>
                      <w:highlight w:val="none"/>
                    </w:rPr>
                    <w:t>污染物种类</w:t>
                  </w:r>
                </w:p>
              </w:tc>
              <w:tc>
                <w:tcPr>
                  <w:tcW w:w="950" w:type="pct"/>
                  <w:vAlign w:val="center"/>
                </w:tcPr>
                <w:p w14:paraId="6BA466DA">
                  <w:pPr>
                    <w:pStyle w:val="64"/>
                    <w:snapToGrid w:val="0"/>
                    <w:spacing w:line="276" w:lineRule="auto"/>
                    <w:rPr>
                      <w:b/>
                      <w:bCs/>
                      <w:color w:val="auto"/>
                      <w:kern w:val="2"/>
                      <w:highlight w:val="none"/>
                    </w:rPr>
                  </w:pPr>
                  <w:r>
                    <w:rPr>
                      <w:b/>
                      <w:bCs/>
                      <w:color w:val="auto"/>
                      <w:kern w:val="2"/>
                      <w:highlight w:val="none"/>
                    </w:rPr>
                    <w:t>国家或地方污染物排放标准浓度限值/(mg/L)</w:t>
                  </w:r>
                </w:p>
              </w:tc>
            </w:tr>
            <w:tr w14:paraId="4218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restart"/>
                  <w:vAlign w:val="center"/>
                </w:tcPr>
                <w:p w14:paraId="7D775977">
                  <w:pPr>
                    <w:pStyle w:val="64"/>
                    <w:snapToGrid w:val="0"/>
                    <w:spacing w:line="276" w:lineRule="auto"/>
                    <w:rPr>
                      <w:color w:val="auto"/>
                      <w:kern w:val="2"/>
                      <w:highlight w:val="none"/>
                    </w:rPr>
                  </w:pPr>
                  <w:r>
                    <w:rPr>
                      <w:color w:val="auto"/>
                      <w:kern w:val="2"/>
                      <w:highlight w:val="none"/>
                    </w:rPr>
                    <w:t>DW001</w:t>
                  </w:r>
                </w:p>
              </w:tc>
              <w:tc>
                <w:tcPr>
                  <w:tcW w:w="322" w:type="pct"/>
                  <w:vMerge w:val="restart"/>
                  <w:vAlign w:val="center"/>
                </w:tcPr>
                <w:p w14:paraId="211EC9E3">
                  <w:pPr>
                    <w:pStyle w:val="64"/>
                    <w:snapToGrid w:val="0"/>
                    <w:spacing w:line="276" w:lineRule="auto"/>
                    <w:rPr>
                      <w:color w:val="auto"/>
                      <w:kern w:val="2"/>
                      <w:highlight w:val="none"/>
                    </w:rPr>
                  </w:pPr>
                  <w:r>
                    <w:rPr>
                      <w:color w:val="auto"/>
                      <w:kern w:val="2"/>
                      <w:highlight w:val="none"/>
                    </w:rPr>
                    <w:t>综合废水排放口</w:t>
                  </w:r>
                </w:p>
              </w:tc>
              <w:tc>
                <w:tcPr>
                  <w:tcW w:w="391" w:type="pct"/>
                  <w:vMerge w:val="restart"/>
                  <w:vAlign w:val="center"/>
                </w:tcPr>
                <w:p w14:paraId="16F92DD7">
                  <w:pPr>
                    <w:pStyle w:val="64"/>
                    <w:snapToGrid w:val="0"/>
                    <w:spacing w:line="276" w:lineRule="auto"/>
                    <w:rPr>
                      <w:color w:val="auto"/>
                      <w:kern w:val="2"/>
                      <w:highlight w:val="none"/>
                    </w:rPr>
                  </w:pPr>
                  <w:r>
                    <w:rPr>
                      <w:rFonts w:hint="eastAsia"/>
                      <w:color w:val="auto"/>
                      <w:kern w:val="2"/>
                      <w:highlight w:val="none"/>
                    </w:rPr>
                    <w:t>113°24′33.225″</w:t>
                  </w:r>
                </w:p>
              </w:tc>
              <w:tc>
                <w:tcPr>
                  <w:tcW w:w="353" w:type="pct"/>
                  <w:vMerge w:val="restart"/>
                  <w:vAlign w:val="center"/>
                </w:tcPr>
                <w:p w14:paraId="21475112">
                  <w:pPr>
                    <w:pStyle w:val="64"/>
                    <w:snapToGrid w:val="0"/>
                    <w:spacing w:line="276" w:lineRule="auto"/>
                    <w:rPr>
                      <w:color w:val="auto"/>
                      <w:kern w:val="2"/>
                      <w:highlight w:val="none"/>
                    </w:rPr>
                  </w:pPr>
                  <w:r>
                    <w:rPr>
                      <w:rFonts w:hint="eastAsia"/>
                      <w:color w:val="auto"/>
                      <w:kern w:val="2"/>
                      <w:highlight w:val="none"/>
                    </w:rPr>
                    <w:t>25°9′14.35</w:t>
                  </w:r>
                  <w:r>
                    <w:rPr>
                      <w:rFonts w:hint="eastAsia"/>
                      <w:color w:val="auto"/>
                      <w:kern w:val="2"/>
                      <w:highlight w:val="none"/>
                      <w:lang w:val="en-US" w:eastAsia="zh-CN"/>
                    </w:rPr>
                    <w:t>6</w:t>
                  </w:r>
                  <w:r>
                    <w:rPr>
                      <w:rFonts w:hint="eastAsia"/>
                      <w:color w:val="auto"/>
                      <w:kern w:val="2"/>
                      <w:highlight w:val="none"/>
                    </w:rPr>
                    <w:t>″</w:t>
                  </w:r>
                </w:p>
              </w:tc>
              <w:tc>
                <w:tcPr>
                  <w:tcW w:w="359" w:type="pct"/>
                  <w:vMerge w:val="restart"/>
                  <w:shd w:val="clear" w:color="auto" w:fill="auto"/>
                  <w:vAlign w:val="center"/>
                </w:tcPr>
                <w:p w14:paraId="1E0AE158">
                  <w:pPr>
                    <w:pStyle w:val="64"/>
                    <w:snapToGrid w:val="0"/>
                    <w:spacing w:line="276" w:lineRule="auto"/>
                    <w:rPr>
                      <w:color w:val="auto"/>
                      <w:kern w:val="2"/>
                      <w:highlight w:val="none"/>
                    </w:rPr>
                  </w:pPr>
                  <w:r>
                    <w:rPr>
                      <w:color w:val="auto"/>
                      <w:highlight w:val="none"/>
                    </w:rPr>
                    <w:t>0.6</w:t>
                  </w:r>
                  <w:r>
                    <w:rPr>
                      <w:rFonts w:hint="eastAsia"/>
                      <w:color w:val="auto"/>
                      <w:highlight w:val="none"/>
                    </w:rPr>
                    <w:t>4</w:t>
                  </w:r>
                </w:p>
              </w:tc>
              <w:tc>
                <w:tcPr>
                  <w:tcW w:w="441" w:type="pct"/>
                  <w:vMerge w:val="restart"/>
                  <w:vAlign w:val="center"/>
                </w:tcPr>
                <w:p w14:paraId="09292094">
                  <w:pPr>
                    <w:pStyle w:val="64"/>
                    <w:snapToGrid w:val="0"/>
                    <w:spacing w:line="276" w:lineRule="auto"/>
                    <w:rPr>
                      <w:color w:val="auto"/>
                      <w:kern w:val="2"/>
                      <w:highlight w:val="none"/>
                    </w:rPr>
                  </w:pPr>
                  <w:r>
                    <w:rPr>
                      <w:color w:val="auto"/>
                      <w:kern w:val="2"/>
                      <w:highlight w:val="none"/>
                    </w:rPr>
                    <w:t>集中式工业污水处理厂</w:t>
                  </w:r>
                </w:p>
                <w:p w14:paraId="67AE85E4">
                  <w:pPr>
                    <w:pStyle w:val="64"/>
                    <w:snapToGrid w:val="0"/>
                    <w:spacing w:line="276" w:lineRule="auto"/>
                    <w:rPr>
                      <w:color w:val="auto"/>
                      <w:kern w:val="2"/>
                      <w:highlight w:val="none"/>
                    </w:rPr>
                  </w:pPr>
                </w:p>
              </w:tc>
              <w:tc>
                <w:tcPr>
                  <w:tcW w:w="603" w:type="pct"/>
                  <w:vMerge w:val="restart"/>
                  <w:vAlign w:val="center"/>
                </w:tcPr>
                <w:p w14:paraId="0CA179AC">
                  <w:pPr>
                    <w:pStyle w:val="64"/>
                    <w:snapToGrid w:val="0"/>
                    <w:spacing w:line="276" w:lineRule="auto"/>
                    <w:rPr>
                      <w:color w:val="auto"/>
                      <w:kern w:val="2"/>
                      <w:highlight w:val="none"/>
                    </w:rPr>
                  </w:pPr>
                  <w:r>
                    <w:rPr>
                      <w:color w:val="auto"/>
                      <w:kern w:val="2"/>
                      <w:highlight w:val="none"/>
                    </w:rPr>
                    <w:t>间歇排放，流量不稳定，但不属于冲击型排放</w:t>
                  </w:r>
                </w:p>
              </w:tc>
              <w:tc>
                <w:tcPr>
                  <w:tcW w:w="335" w:type="pct"/>
                  <w:vMerge w:val="restart"/>
                  <w:vAlign w:val="center"/>
                </w:tcPr>
                <w:p w14:paraId="7B37A0CA">
                  <w:pPr>
                    <w:pStyle w:val="64"/>
                    <w:snapToGrid w:val="0"/>
                    <w:spacing w:line="276" w:lineRule="auto"/>
                    <w:rPr>
                      <w:color w:val="auto"/>
                      <w:kern w:val="2"/>
                      <w:highlight w:val="none"/>
                    </w:rPr>
                  </w:pPr>
                  <w:r>
                    <w:rPr>
                      <w:color w:val="auto"/>
                      <w:kern w:val="2"/>
                      <w:highlight w:val="none"/>
                    </w:rPr>
                    <w:t>一般排放口</w:t>
                  </w:r>
                </w:p>
              </w:tc>
              <w:tc>
                <w:tcPr>
                  <w:tcW w:w="299" w:type="pct"/>
                  <w:vMerge w:val="restart"/>
                  <w:vAlign w:val="center"/>
                </w:tcPr>
                <w:p w14:paraId="088F7B75">
                  <w:pPr>
                    <w:pStyle w:val="64"/>
                    <w:snapToGrid w:val="0"/>
                    <w:spacing w:line="276" w:lineRule="auto"/>
                    <w:rPr>
                      <w:color w:val="auto"/>
                      <w:kern w:val="2"/>
                      <w:highlight w:val="none"/>
                    </w:rPr>
                  </w:pPr>
                  <w:r>
                    <w:rPr>
                      <w:color w:val="auto"/>
                      <w:kern w:val="2"/>
                      <w:highlight w:val="none"/>
                    </w:rPr>
                    <w:t>园区污水处理厂</w:t>
                  </w:r>
                </w:p>
              </w:tc>
              <w:tc>
                <w:tcPr>
                  <w:tcW w:w="646" w:type="pct"/>
                  <w:vAlign w:val="center"/>
                </w:tcPr>
                <w:p w14:paraId="3D9ED321">
                  <w:pPr>
                    <w:pStyle w:val="64"/>
                    <w:snapToGrid w:val="0"/>
                    <w:spacing w:line="276" w:lineRule="auto"/>
                    <w:rPr>
                      <w:color w:val="auto"/>
                      <w:kern w:val="2"/>
                      <w:highlight w:val="none"/>
                    </w:rPr>
                  </w:pPr>
                  <w:r>
                    <w:rPr>
                      <w:color w:val="auto"/>
                      <w:kern w:val="2"/>
                      <w:highlight w:val="none"/>
                    </w:rPr>
                    <w:t>pH</w:t>
                  </w:r>
                </w:p>
              </w:tc>
              <w:tc>
                <w:tcPr>
                  <w:tcW w:w="950" w:type="pct"/>
                  <w:vAlign w:val="center"/>
                </w:tcPr>
                <w:p w14:paraId="724B3999">
                  <w:pPr>
                    <w:pStyle w:val="64"/>
                    <w:snapToGrid w:val="0"/>
                    <w:spacing w:line="276" w:lineRule="auto"/>
                    <w:rPr>
                      <w:color w:val="auto"/>
                      <w:kern w:val="2"/>
                      <w:highlight w:val="none"/>
                    </w:rPr>
                  </w:pPr>
                  <w:r>
                    <w:rPr>
                      <w:color w:val="auto"/>
                      <w:kern w:val="2"/>
                      <w:highlight w:val="none"/>
                    </w:rPr>
                    <w:t>6~9</w:t>
                  </w:r>
                </w:p>
              </w:tc>
            </w:tr>
            <w:tr w14:paraId="0F4F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326C2411">
                  <w:pPr>
                    <w:pStyle w:val="64"/>
                    <w:snapToGrid w:val="0"/>
                    <w:spacing w:line="276" w:lineRule="auto"/>
                    <w:rPr>
                      <w:color w:val="auto"/>
                      <w:kern w:val="2"/>
                      <w:highlight w:val="none"/>
                    </w:rPr>
                  </w:pPr>
                </w:p>
              </w:tc>
              <w:tc>
                <w:tcPr>
                  <w:tcW w:w="322" w:type="pct"/>
                  <w:vMerge w:val="continue"/>
                  <w:vAlign w:val="center"/>
                </w:tcPr>
                <w:p w14:paraId="0E414A28">
                  <w:pPr>
                    <w:pStyle w:val="64"/>
                    <w:snapToGrid w:val="0"/>
                    <w:spacing w:line="276" w:lineRule="auto"/>
                    <w:rPr>
                      <w:color w:val="auto"/>
                      <w:kern w:val="2"/>
                      <w:highlight w:val="none"/>
                    </w:rPr>
                  </w:pPr>
                </w:p>
              </w:tc>
              <w:tc>
                <w:tcPr>
                  <w:tcW w:w="391" w:type="pct"/>
                  <w:vMerge w:val="continue"/>
                  <w:vAlign w:val="center"/>
                </w:tcPr>
                <w:p w14:paraId="66F83F6C">
                  <w:pPr>
                    <w:pStyle w:val="64"/>
                    <w:snapToGrid w:val="0"/>
                    <w:spacing w:line="276" w:lineRule="auto"/>
                    <w:rPr>
                      <w:color w:val="auto"/>
                      <w:kern w:val="2"/>
                      <w:highlight w:val="none"/>
                    </w:rPr>
                  </w:pPr>
                </w:p>
              </w:tc>
              <w:tc>
                <w:tcPr>
                  <w:tcW w:w="353" w:type="pct"/>
                  <w:vMerge w:val="continue"/>
                  <w:vAlign w:val="center"/>
                </w:tcPr>
                <w:p w14:paraId="585C3AF8">
                  <w:pPr>
                    <w:pStyle w:val="64"/>
                    <w:snapToGrid w:val="0"/>
                    <w:spacing w:line="276" w:lineRule="auto"/>
                    <w:rPr>
                      <w:color w:val="auto"/>
                      <w:kern w:val="2"/>
                      <w:highlight w:val="none"/>
                    </w:rPr>
                  </w:pPr>
                </w:p>
              </w:tc>
              <w:tc>
                <w:tcPr>
                  <w:tcW w:w="359" w:type="pct"/>
                  <w:vMerge w:val="continue"/>
                  <w:vAlign w:val="center"/>
                </w:tcPr>
                <w:p w14:paraId="78B8553E">
                  <w:pPr>
                    <w:pStyle w:val="64"/>
                    <w:snapToGrid w:val="0"/>
                    <w:spacing w:line="276" w:lineRule="auto"/>
                    <w:rPr>
                      <w:color w:val="auto"/>
                      <w:kern w:val="2"/>
                      <w:highlight w:val="none"/>
                    </w:rPr>
                  </w:pPr>
                </w:p>
              </w:tc>
              <w:tc>
                <w:tcPr>
                  <w:tcW w:w="441" w:type="pct"/>
                  <w:vMerge w:val="continue"/>
                  <w:vAlign w:val="center"/>
                </w:tcPr>
                <w:p w14:paraId="6623A373">
                  <w:pPr>
                    <w:pStyle w:val="64"/>
                    <w:snapToGrid w:val="0"/>
                    <w:spacing w:line="276" w:lineRule="auto"/>
                    <w:rPr>
                      <w:color w:val="auto"/>
                      <w:kern w:val="2"/>
                      <w:highlight w:val="none"/>
                    </w:rPr>
                  </w:pPr>
                </w:p>
              </w:tc>
              <w:tc>
                <w:tcPr>
                  <w:tcW w:w="603" w:type="pct"/>
                  <w:vMerge w:val="continue"/>
                  <w:vAlign w:val="center"/>
                </w:tcPr>
                <w:p w14:paraId="393A1BB0">
                  <w:pPr>
                    <w:pStyle w:val="64"/>
                    <w:snapToGrid w:val="0"/>
                    <w:spacing w:line="276" w:lineRule="auto"/>
                    <w:rPr>
                      <w:color w:val="auto"/>
                      <w:kern w:val="2"/>
                      <w:highlight w:val="none"/>
                    </w:rPr>
                  </w:pPr>
                </w:p>
              </w:tc>
              <w:tc>
                <w:tcPr>
                  <w:tcW w:w="335" w:type="pct"/>
                  <w:vMerge w:val="continue"/>
                  <w:vAlign w:val="center"/>
                </w:tcPr>
                <w:p w14:paraId="3A753F9C">
                  <w:pPr>
                    <w:pStyle w:val="64"/>
                    <w:snapToGrid w:val="0"/>
                    <w:spacing w:line="276" w:lineRule="auto"/>
                    <w:rPr>
                      <w:color w:val="auto"/>
                      <w:kern w:val="2"/>
                      <w:highlight w:val="none"/>
                    </w:rPr>
                  </w:pPr>
                </w:p>
              </w:tc>
              <w:tc>
                <w:tcPr>
                  <w:tcW w:w="299" w:type="pct"/>
                  <w:vMerge w:val="continue"/>
                  <w:vAlign w:val="center"/>
                </w:tcPr>
                <w:p w14:paraId="1A0F4E5D">
                  <w:pPr>
                    <w:pStyle w:val="64"/>
                    <w:snapToGrid w:val="0"/>
                    <w:spacing w:line="276" w:lineRule="auto"/>
                    <w:rPr>
                      <w:color w:val="auto"/>
                      <w:kern w:val="2"/>
                      <w:highlight w:val="none"/>
                    </w:rPr>
                  </w:pPr>
                </w:p>
              </w:tc>
              <w:tc>
                <w:tcPr>
                  <w:tcW w:w="646" w:type="pct"/>
                  <w:vAlign w:val="center"/>
                </w:tcPr>
                <w:p w14:paraId="3F66C921">
                  <w:pPr>
                    <w:pStyle w:val="64"/>
                    <w:snapToGrid w:val="0"/>
                    <w:spacing w:line="276" w:lineRule="auto"/>
                    <w:rPr>
                      <w:color w:val="auto"/>
                      <w:kern w:val="2"/>
                      <w:highlight w:val="none"/>
                    </w:rPr>
                  </w:pPr>
                  <w:r>
                    <w:rPr>
                      <w:color w:val="auto"/>
                      <w:kern w:val="2"/>
                      <w:highlight w:val="none"/>
                    </w:rPr>
                    <w:t>COD</w:t>
                  </w:r>
                  <w:r>
                    <w:rPr>
                      <w:color w:val="auto"/>
                      <w:kern w:val="2"/>
                      <w:highlight w:val="none"/>
                      <w:vertAlign w:val="subscript"/>
                    </w:rPr>
                    <w:t>Cr</w:t>
                  </w:r>
                </w:p>
              </w:tc>
              <w:tc>
                <w:tcPr>
                  <w:tcW w:w="950" w:type="pct"/>
                  <w:vAlign w:val="center"/>
                </w:tcPr>
                <w:p w14:paraId="57A5E945">
                  <w:pPr>
                    <w:snapToGrid w:val="0"/>
                    <w:spacing w:line="276" w:lineRule="auto"/>
                    <w:jc w:val="center"/>
                    <w:rPr>
                      <w:rFonts w:hint="default" w:eastAsia="宋体"/>
                      <w:color w:val="auto"/>
                      <w:sz w:val="21"/>
                      <w:szCs w:val="21"/>
                      <w:highlight w:val="none"/>
                      <w:lang w:val="en-US" w:eastAsia="zh-CN"/>
                    </w:rPr>
                  </w:pPr>
                  <w:r>
                    <w:rPr>
                      <w:rFonts w:hint="eastAsia"/>
                      <w:bCs/>
                      <w:color w:val="auto"/>
                      <w:sz w:val="21"/>
                      <w:szCs w:val="21"/>
                      <w:highlight w:val="none"/>
                      <w:lang w:val="en-US" w:eastAsia="zh-CN"/>
                    </w:rPr>
                    <w:t>40</w:t>
                  </w:r>
                </w:p>
              </w:tc>
            </w:tr>
            <w:tr w14:paraId="0266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0FD194BD">
                  <w:pPr>
                    <w:pStyle w:val="64"/>
                    <w:snapToGrid w:val="0"/>
                    <w:spacing w:line="276" w:lineRule="auto"/>
                    <w:rPr>
                      <w:color w:val="auto"/>
                      <w:kern w:val="2"/>
                      <w:highlight w:val="none"/>
                    </w:rPr>
                  </w:pPr>
                </w:p>
              </w:tc>
              <w:tc>
                <w:tcPr>
                  <w:tcW w:w="322" w:type="pct"/>
                  <w:vMerge w:val="continue"/>
                  <w:vAlign w:val="center"/>
                </w:tcPr>
                <w:p w14:paraId="2B4C851E">
                  <w:pPr>
                    <w:pStyle w:val="64"/>
                    <w:snapToGrid w:val="0"/>
                    <w:spacing w:line="276" w:lineRule="auto"/>
                    <w:rPr>
                      <w:color w:val="auto"/>
                      <w:kern w:val="2"/>
                      <w:highlight w:val="none"/>
                    </w:rPr>
                  </w:pPr>
                </w:p>
              </w:tc>
              <w:tc>
                <w:tcPr>
                  <w:tcW w:w="391" w:type="pct"/>
                  <w:vMerge w:val="continue"/>
                  <w:vAlign w:val="center"/>
                </w:tcPr>
                <w:p w14:paraId="2DA62D01">
                  <w:pPr>
                    <w:pStyle w:val="64"/>
                    <w:snapToGrid w:val="0"/>
                    <w:spacing w:line="276" w:lineRule="auto"/>
                    <w:rPr>
                      <w:color w:val="auto"/>
                      <w:kern w:val="2"/>
                      <w:highlight w:val="none"/>
                    </w:rPr>
                  </w:pPr>
                </w:p>
              </w:tc>
              <w:tc>
                <w:tcPr>
                  <w:tcW w:w="353" w:type="pct"/>
                  <w:vMerge w:val="continue"/>
                  <w:vAlign w:val="center"/>
                </w:tcPr>
                <w:p w14:paraId="2195A7A1">
                  <w:pPr>
                    <w:pStyle w:val="64"/>
                    <w:snapToGrid w:val="0"/>
                    <w:spacing w:line="276" w:lineRule="auto"/>
                    <w:rPr>
                      <w:color w:val="auto"/>
                      <w:kern w:val="2"/>
                      <w:highlight w:val="none"/>
                    </w:rPr>
                  </w:pPr>
                </w:p>
              </w:tc>
              <w:tc>
                <w:tcPr>
                  <w:tcW w:w="359" w:type="pct"/>
                  <w:vMerge w:val="continue"/>
                  <w:vAlign w:val="center"/>
                </w:tcPr>
                <w:p w14:paraId="46CDECB6">
                  <w:pPr>
                    <w:pStyle w:val="64"/>
                    <w:snapToGrid w:val="0"/>
                    <w:spacing w:line="276" w:lineRule="auto"/>
                    <w:rPr>
                      <w:color w:val="auto"/>
                      <w:kern w:val="2"/>
                      <w:highlight w:val="none"/>
                    </w:rPr>
                  </w:pPr>
                </w:p>
              </w:tc>
              <w:tc>
                <w:tcPr>
                  <w:tcW w:w="441" w:type="pct"/>
                  <w:vMerge w:val="continue"/>
                  <w:vAlign w:val="center"/>
                </w:tcPr>
                <w:p w14:paraId="60AA4980">
                  <w:pPr>
                    <w:pStyle w:val="64"/>
                    <w:snapToGrid w:val="0"/>
                    <w:spacing w:line="276" w:lineRule="auto"/>
                    <w:rPr>
                      <w:color w:val="auto"/>
                      <w:kern w:val="2"/>
                      <w:highlight w:val="none"/>
                    </w:rPr>
                  </w:pPr>
                </w:p>
              </w:tc>
              <w:tc>
                <w:tcPr>
                  <w:tcW w:w="603" w:type="pct"/>
                  <w:vMerge w:val="continue"/>
                  <w:vAlign w:val="center"/>
                </w:tcPr>
                <w:p w14:paraId="56A18451">
                  <w:pPr>
                    <w:pStyle w:val="64"/>
                    <w:snapToGrid w:val="0"/>
                    <w:spacing w:line="276" w:lineRule="auto"/>
                    <w:rPr>
                      <w:color w:val="auto"/>
                      <w:kern w:val="2"/>
                      <w:highlight w:val="none"/>
                    </w:rPr>
                  </w:pPr>
                </w:p>
              </w:tc>
              <w:tc>
                <w:tcPr>
                  <w:tcW w:w="335" w:type="pct"/>
                  <w:vMerge w:val="continue"/>
                  <w:vAlign w:val="center"/>
                </w:tcPr>
                <w:p w14:paraId="4283DE1A">
                  <w:pPr>
                    <w:pStyle w:val="64"/>
                    <w:snapToGrid w:val="0"/>
                    <w:spacing w:line="276" w:lineRule="auto"/>
                    <w:rPr>
                      <w:color w:val="auto"/>
                      <w:kern w:val="2"/>
                      <w:highlight w:val="none"/>
                    </w:rPr>
                  </w:pPr>
                </w:p>
              </w:tc>
              <w:tc>
                <w:tcPr>
                  <w:tcW w:w="299" w:type="pct"/>
                  <w:vMerge w:val="continue"/>
                  <w:vAlign w:val="center"/>
                </w:tcPr>
                <w:p w14:paraId="73E15901">
                  <w:pPr>
                    <w:pStyle w:val="64"/>
                    <w:snapToGrid w:val="0"/>
                    <w:spacing w:line="276" w:lineRule="auto"/>
                    <w:rPr>
                      <w:color w:val="auto"/>
                      <w:kern w:val="2"/>
                      <w:highlight w:val="none"/>
                    </w:rPr>
                  </w:pPr>
                </w:p>
              </w:tc>
              <w:tc>
                <w:tcPr>
                  <w:tcW w:w="646" w:type="pct"/>
                  <w:vAlign w:val="center"/>
                </w:tcPr>
                <w:p w14:paraId="2A6E0778">
                  <w:pPr>
                    <w:pStyle w:val="64"/>
                    <w:snapToGrid w:val="0"/>
                    <w:spacing w:line="276" w:lineRule="auto"/>
                    <w:rPr>
                      <w:color w:val="auto"/>
                      <w:kern w:val="2"/>
                      <w:highlight w:val="none"/>
                    </w:rPr>
                  </w:pPr>
                  <w:r>
                    <w:rPr>
                      <w:color w:val="auto"/>
                      <w:kern w:val="2"/>
                      <w:highlight w:val="none"/>
                    </w:rPr>
                    <w:t>BOD</w:t>
                  </w:r>
                  <w:r>
                    <w:rPr>
                      <w:color w:val="auto"/>
                      <w:kern w:val="2"/>
                      <w:highlight w:val="none"/>
                      <w:vertAlign w:val="subscript"/>
                    </w:rPr>
                    <w:t>5</w:t>
                  </w:r>
                </w:p>
              </w:tc>
              <w:tc>
                <w:tcPr>
                  <w:tcW w:w="950" w:type="pct"/>
                  <w:vAlign w:val="center"/>
                </w:tcPr>
                <w:p w14:paraId="483B3E85">
                  <w:pPr>
                    <w:snapToGrid w:val="0"/>
                    <w:spacing w:line="276" w:lineRule="auto"/>
                    <w:jc w:val="center"/>
                    <w:rPr>
                      <w:rFonts w:hint="default" w:eastAsia="宋体"/>
                      <w:color w:val="auto"/>
                      <w:sz w:val="21"/>
                      <w:szCs w:val="21"/>
                      <w:highlight w:val="none"/>
                      <w:lang w:val="en-US" w:eastAsia="zh-CN"/>
                    </w:rPr>
                  </w:pPr>
                  <w:r>
                    <w:rPr>
                      <w:rFonts w:hint="eastAsia"/>
                      <w:bCs/>
                      <w:color w:val="auto"/>
                      <w:sz w:val="21"/>
                      <w:szCs w:val="21"/>
                      <w:highlight w:val="none"/>
                      <w:lang w:val="en-US" w:eastAsia="zh-CN"/>
                    </w:rPr>
                    <w:t>20</w:t>
                  </w:r>
                </w:p>
              </w:tc>
            </w:tr>
            <w:tr w14:paraId="215A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44B7A89C">
                  <w:pPr>
                    <w:pStyle w:val="64"/>
                    <w:snapToGrid w:val="0"/>
                    <w:spacing w:line="276" w:lineRule="auto"/>
                    <w:rPr>
                      <w:color w:val="auto"/>
                      <w:kern w:val="2"/>
                      <w:highlight w:val="none"/>
                    </w:rPr>
                  </w:pPr>
                </w:p>
              </w:tc>
              <w:tc>
                <w:tcPr>
                  <w:tcW w:w="322" w:type="pct"/>
                  <w:vMerge w:val="continue"/>
                  <w:vAlign w:val="center"/>
                </w:tcPr>
                <w:p w14:paraId="6BA39B99">
                  <w:pPr>
                    <w:pStyle w:val="64"/>
                    <w:snapToGrid w:val="0"/>
                    <w:spacing w:line="276" w:lineRule="auto"/>
                    <w:rPr>
                      <w:color w:val="auto"/>
                      <w:kern w:val="2"/>
                      <w:highlight w:val="none"/>
                    </w:rPr>
                  </w:pPr>
                </w:p>
              </w:tc>
              <w:tc>
                <w:tcPr>
                  <w:tcW w:w="391" w:type="pct"/>
                  <w:vMerge w:val="continue"/>
                  <w:vAlign w:val="center"/>
                </w:tcPr>
                <w:p w14:paraId="3993E04C">
                  <w:pPr>
                    <w:pStyle w:val="64"/>
                    <w:snapToGrid w:val="0"/>
                    <w:spacing w:line="276" w:lineRule="auto"/>
                    <w:rPr>
                      <w:color w:val="auto"/>
                      <w:kern w:val="2"/>
                      <w:highlight w:val="none"/>
                    </w:rPr>
                  </w:pPr>
                </w:p>
              </w:tc>
              <w:tc>
                <w:tcPr>
                  <w:tcW w:w="353" w:type="pct"/>
                  <w:vMerge w:val="continue"/>
                  <w:vAlign w:val="center"/>
                </w:tcPr>
                <w:p w14:paraId="17DFDE18">
                  <w:pPr>
                    <w:pStyle w:val="64"/>
                    <w:snapToGrid w:val="0"/>
                    <w:spacing w:line="276" w:lineRule="auto"/>
                    <w:rPr>
                      <w:color w:val="auto"/>
                      <w:kern w:val="2"/>
                      <w:highlight w:val="none"/>
                    </w:rPr>
                  </w:pPr>
                </w:p>
              </w:tc>
              <w:tc>
                <w:tcPr>
                  <w:tcW w:w="359" w:type="pct"/>
                  <w:vMerge w:val="continue"/>
                  <w:vAlign w:val="center"/>
                </w:tcPr>
                <w:p w14:paraId="637B58F6">
                  <w:pPr>
                    <w:pStyle w:val="64"/>
                    <w:snapToGrid w:val="0"/>
                    <w:spacing w:line="276" w:lineRule="auto"/>
                    <w:rPr>
                      <w:color w:val="auto"/>
                      <w:kern w:val="2"/>
                      <w:highlight w:val="none"/>
                    </w:rPr>
                  </w:pPr>
                </w:p>
              </w:tc>
              <w:tc>
                <w:tcPr>
                  <w:tcW w:w="441" w:type="pct"/>
                  <w:vMerge w:val="continue"/>
                  <w:vAlign w:val="center"/>
                </w:tcPr>
                <w:p w14:paraId="5CC4DC0B">
                  <w:pPr>
                    <w:pStyle w:val="64"/>
                    <w:snapToGrid w:val="0"/>
                    <w:spacing w:line="276" w:lineRule="auto"/>
                    <w:rPr>
                      <w:color w:val="auto"/>
                      <w:kern w:val="2"/>
                      <w:highlight w:val="none"/>
                    </w:rPr>
                  </w:pPr>
                </w:p>
              </w:tc>
              <w:tc>
                <w:tcPr>
                  <w:tcW w:w="603" w:type="pct"/>
                  <w:vMerge w:val="continue"/>
                  <w:vAlign w:val="center"/>
                </w:tcPr>
                <w:p w14:paraId="1E0856FC">
                  <w:pPr>
                    <w:pStyle w:val="64"/>
                    <w:snapToGrid w:val="0"/>
                    <w:spacing w:line="276" w:lineRule="auto"/>
                    <w:rPr>
                      <w:color w:val="auto"/>
                      <w:kern w:val="2"/>
                      <w:highlight w:val="none"/>
                    </w:rPr>
                  </w:pPr>
                </w:p>
              </w:tc>
              <w:tc>
                <w:tcPr>
                  <w:tcW w:w="335" w:type="pct"/>
                  <w:vMerge w:val="continue"/>
                  <w:vAlign w:val="center"/>
                </w:tcPr>
                <w:p w14:paraId="38D5090B">
                  <w:pPr>
                    <w:pStyle w:val="64"/>
                    <w:snapToGrid w:val="0"/>
                    <w:spacing w:line="276" w:lineRule="auto"/>
                    <w:rPr>
                      <w:color w:val="auto"/>
                      <w:kern w:val="2"/>
                      <w:highlight w:val="none"/>
                    </w:rPr>
                  </w:pPr>
                </w:p>
              </w:tc>
              <w:tc>
                <w:tcPr>
                  <w:tcW w:w="299" w:type="pct"/>
                  <w:vMerge w:val="continue"/>
                  <w:vAlign w:val="center"/>
                </w:tcPr>
                <w:p w14:paraId="3A84182E">
                  <w:pPr>
                    <w:pStyle w:val="64"/>
                    <w:snapToGrid w:val="0"/>
                    <w:spacing w:line="276" w:lineRule="auto"/>
                    <w:rPr>
                      <w:color w:val="auto"/>
                      <w:kern w:val="2"/>
                      <w:highlight w:val="none"/>
                    </w:rPr>
                  </w:pPr>
                </w:p>
              </w:tc>
              <w:tc>
                <w:tcPr>
                  <w:tcW w:w="646" w:type="pct"/>
                  <w:vAlign w:val="center"/>
                </w:tcPr>
                <w:p w14:paraId="61F276C9">
                  <w:pPr>
                    <w:pStyle w:val="64"/>
                    <w:snapToGrid w:val="0"/>
                    <w:spacing w:line="276" w:lineRule="auto"/>
                    <w:rPr>
                      <w:color w:val="auto"/>
                      <w:kern w:val="2"/>
                      <w:highlight w:val="none"/>
                    </w:rPr>
                  </w:pPr>
                  <w:r>
                    <w:rPr>
                      <w:color w:val="auto"/>
                      <w:kern w:val="2"/>
                      <w:highlight w:val="none"/>
                    </w:rPr>
                    <w:t>SS</w:t>
                  </w:r>
                </w:p>
              </w:tc>
              <w:tc>
                <w:tcPr>
                  <w:tcW w:w="950" w:type="pct"/>
                  <w:vAlign w:val="center"/>
                </w:tcPr>
                <w:p w14:paraId="279B8354">
                  <w:pPr>
                    <w:snapToGrid w:val="0"/>
                    <w:spacing w:line="276" w:lineRule="auto"/>
                    <w:jc w:val="center"/>
                    <w:rPr>
                      <w:color w:val="auto"/>
                      <w:sz w:val="21"/>
                      <w:szCs w:val="21"/>
                      <w:highlight w:val="none"/>
                    </w:rPr>
                  </w:pPr>
                  <w:r>
                    <w:rPr>
                      <w:rFonts w:hint="eastAsia"/>
                      <w:bCs/>
                      <w:color w:val="auto"/>
                      <w:sz w:val="21"/>
                      <w:szCs w:val="21"/>
                      <w:highlight w:val="none"/>
                      <w:lang w:val="en-US" w:eastAsia="zh-CN"/>
                    </w:rPr>
                    <w:t>2</w:t>
                  </w:r>
                  <w:r>
                    <w:rPr>
                      <w:bCs/>
                      <w:color w:val="auto"/>
                      <w:sz w:val="21"/>
                      <w:szCs w:val="21"/>
                      <w:highlight w:val="none"/>
                    </w:rPr>
                    <w:t>0</w:t>
                  </w:r>
                </w:p>
              </w:tc>
            </w:tr>
            <w:tr w14:paraId="66B9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7FCFF482">
                  <w:pPr>
                    <w:pStyle w:val="64"/>
                    <w:snapToGrid w:val="0"/>
                    <w:spacing w:line="276" w:lineRule="auto"/>
                    <w:rPr>
                      <w:color w:val="auto"/>
                      <w:kern w:val="2"/>
                      <w:highlight w:val="none"/>
                    </w:rPr>
                  </w:pPr>
                </w:p>
              </w:tc>
              <w:tc>
                <w:tcPr>
                  <w:tcW w:w="322" w:type="pct"/>
                  <w:vMerge w:val="continue"/>
                  <w:vAlign w:val="center"/>
                </w:tcPr>
                <w:p w14:paraId="159C60F3">
                  <w:pPr>
                    <w:pStyle w:val="64"/>
                    <w:snapToGrid w:val="0"/>
                    <w:spacing w:line="276" w:lineRule="auto"/>
                    <w:rPr>
                      <w:color w:val="auto"/>
                      <w:kern w:val="2"/>
                      <w:highlight w:val="none"/>
                    </w:rPr>
                  </w:pPr>
                </w:p>
              </w:tc>
              <w:tc>
                <w:tcPr>
                  <w:tcW w:w="391" w:type="pct"/>
                  <w:vMerge w:val="continue"/>
                  <w:vAlign w:val="center"/>
                </w:tcPr>
                <w:p w14:paraId="29B55FCC">
                  <w:pPr>
                    <w:pStyle w:val="64"/>
                    <w:snapToGrid w:val="0"/>
                    <w:spacing w:line="276" w:lineRule="auto"/>
                    <w:rPr>
                      <w:color w:val="auto"/>
                      <w:kern w:val="2"/>
                      <w:highlight w:val="none"/>
                    </w:rPr>
                  </w:pPr>
                </w:p>
              </w:tc>
              <w:tc>
                <w:tcPr>
                  <w:tcW w:w="353" w:type="pct"/>
                  <w:vMerge w:val="continue"/>
                  <w:vAlign w:val="center"/>
                </w:tcPr>
                <w:p w14:paraId="2A824865">
                  <w:pPr>
                    <w:pStyle w:val="64"/>
                    <w:snapToGrid w:val="0"/>
                    <w:spacing w:line="276" w:lineRule="auto"/>
                    <w:rPr>
                      <w:color w:val="auto"/>
                      <w:kern w:val="2"/>
                      <w:highlight w:val="none"/>
                    </w:rPr>
                  </w:pPr>
                </w:p>
              </w:tc>
              <w:tc>
                <w:tcPr>
                  <w:tcW w:w="359" w:type="pct"/>
                  <w:vMerge w:val="continue"/>
                  <w:vAlign w:val="center"/>
                </w:tcPr>
                <w:p w14:paraId="31609777">
                  <w:pPr>
                    <w:pStyle w:val="64"/>
                    <w:snapToGrid w:val="0"/>
                    <w:spacing w:line="276" w:lineRule="auto"/>
                    <w:rPr>
                      <w:color w:val="auto"/>
                      <w:kern w:val="2"/>
                      <w:highlight w:val="none"/>
                    </w:rPr>
                  </w:pPr>
                </w:p>
              </w:tc>
              <w:tc>
                <w:tcPr>
                  <w:tcW w:w="441" w:type="pct"/>
                  <w:vMerge w:val="continue"/>
                  <w:vAlign w:val="center"/>
                </w:tcPr>
                <w:p w14:paraId="1F5598FD">
                  <w:pPr>
                    <w:pStyle w:val="64"/>
                    <w:snapToGrid w:val="0"/>
                    <w:spacing w:line="276" w:lineRule="auto"/>
                    <w:rPr>
                      <w:color w:val="auto"/>
                      <w:kern w:val="2"/>
                      <w:highlight w:val="none"/>
                    </w:rPr>
                  </w:pPr>
                </w:p>
              </w:tc>
              <w:tc>
                <w:tcPr>
                  <w:tcW w:w="603" w:type="pct"/>
                  <w:vMerge w:val="continue"/>
                  <w:vAlign w:val="center"/>
                </w:tcPr>
                <w:p w14:paraId="699ACFE3">
                  <w:pPr>
                    <w:pStyle w:val="64"/>
                    <w:snapToGrid w:val="0"/>
                    <w:spacing w:line="276" w:lineRule="auto"/>
                    <w:rPr>
                      <w:color w:val="auto"/>
                      <w:kern w:val="2"/>
                      <w:highlight w:val="none"/>
                    </w:rPr>
                  </w:pPr>
                </w:p>
              </w:tc>
              <w:tc>
                <w:tcPr>
                  <w:tcW w:w="335" w:type="pct"/>
                  <w:vMerge w:val="continue"/>
                  <w:vAlign w:val="center"/>
                </w:tcPr>
                <w:p w14:paraId="6106E3A7">
                  <w:pPr>
                    <w:pStyle w:val="64"/>
                    <w:snapToGrid w:val="0"/>
                    <w:spacing w:line="276" w:lineRule="auto"/>
                    <w:rPr>
                      <w:color w:val="auto"/>
                      <w:kern w:val="2"/>
                      <w:highlight w:val="none"/>
                    </w:rPr>
                  </w:pPr>
                </w:p>
              </w:tc>
              <w:tc>
                <w:tcPr>
                  <w:tcW w:w="299" w:type="pct"/>
                  <w:vMerge w:val="continue"/>
                  <w:vAlign w:val="center"/>
                </w:tcPr>
                <w:p w14:paraId="2C1DFC1B">
                  <w:pPr>
                    <w:pStyle w:val="64"/>
                    <w:snapToGrid w:val="0"/>
                    <w:spacing w:line="276" w:lineRule="auto"/>
                    <w:rPr>
                      <w:color w:val="auto"/>
                      <w:kern w:val="2"/>
                      <w:highlight w:val="none"/>
                    </w:rPr>
                  </w:pPr>
                </w:p>
              </w:tc>
              <w:tc>
                <w:tcPr>
                  <w:tcW w:w="646" w:type="pct"/>
                  <w:vAlign w:val="center"/>
                </w:tcPr>
                <w:p w14:paraId="06BD6C07">
                  <w:pPr>
                    <w:pStyle w:val="64"/>
                    <w:snapToGrid w:val="0"/>
                    <w:spacing w:line="276" w:lineRule="auto"/>
                    <w:rPr>
                      <w:color w:val="auto"/>
                      <w:kern w:val="2"/>
                      <w:highlight w:val="none"/>
                    </w:rPr>
                  </w:pPr>
                  <w:r>
                    <w:rPr>
                      <w:color w:val="auto"/>
                      <w:kern w:val="2"/>
                      <w:highlight w:val="none"/>
                    </w:rPr>
                    <w:t>氨氮</w:t>
                  </w:r>
                </w:p>
              </w:tc>
              <w:tc>
                <w:tcPr>
                  <w:tcW w:w="950" w:type="pct"/>
                  <w:vAlign w:val="center"/>
                </w:tcPr>
                <w:p w14:paraId="2AB7F264">
                  <w:pPr>
                    <w:snapToGrid w:val="0"/>
                    <w:spacing w:line="276" w:lineRule="auto"/>
                    <w:jc w:val="center"/>
                    <w:rPr>
                      <w:rFonts w:hint="eastAsia" w:eastAsia="宋体"/>
                      <w:color w:val="auto"/>
                      <w:sz w:val="21"/>
                      <w:szCs w:val="21"/>
                      <w:highlight w:val="none"/>
                      <w:lang w:eastAsia="zh-CN"/>
                    </w:rPr>
                  </w:pPr>
                  <w:r>
                    <w:rPr>
                      <w:rFonts w:hint="eastAsia"/>
                      <w:bCs/>
                      <w:color w:val="auto"/>
                      <w:sz w:val="21"/>
                      <w:szCs w:val="21"/>
                      <w:highlight w:val="none"/>
                      <w:lang w:val="en-US" w:eastAsia="zh-CN"/>
                    </w:rPr>
                    <w:t>8</w:t>
                  </w:r>
                </w:p>
              </w:tc>
            </w:tr>
            <w:tr w14:paraId="0A3E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7D636D43">
                  <w:pPr>
                    <w:pStyle w:val="64"/>
                    <w:snapToGrid w:val="0"/>
                    <w:spacing w:line="276" w:lineRule="auto"/>
                    <w:rPr>
                      <w:color w:val="auto"/>
                      <w:kern w:val="2"/>
                      <w:highlight w:val="none"/>
                    </w:rPr>
                  </w:pPr>
                </w:p>
              </w:tc>
              <w:tc>
                <w:tcPr>
                  <w:tcW w:w="322" w:type="pct"/>
                  <w:vMerge w:val="continue"/>
                  <w:vAlign w:val="center"/>
                </w:tcPr>
                <w:p w14:paraId="2BB350CF">
                  <w:pPr>
                    <w:pStyle w:val="64"/>
                    <w:snapToGrid w:val="0"/>
                    <w:spacing w:line="276" w:lineRule="auto"/>
                    <w:rPr>
                      <w:color w:val="auto"/>
                      <w:kern w:val="2"/>
                      <w:highlight w:val="none"/>
                    </w:rPr>
                  </w:pPr>
                </w:p>
              </w:tc>
              <w:tc>
                <w:tcPr>
                  <w:tcW w:w="391" w:type="pct"/>
                  <w:vMerge w:val="continue"/>
                  <w:vAlign w:val="center"/>
                </w:tcPr>
                <w:p w14:paraId="6C6ADCDC">
                  <w:pPr>
                    <w:pStyle w:val="64"/>
                    <w:snapToGrid w:val="0"/>
                    <w:spacing w:line="276" w:lineRule="auto"/>
                    <w:rPr>
                      <w:color w:val="auto"/>
                      <w:kern w:val="2"/>
                      <w:highlight w:val="none"/>
                    </w:rPr>
                  </w:pPr>
                </w:p>
              </w:tc>
              <w:tc>
                <w:tcPr>
                  <w:tcW w:w="353" w:type="pct"/>
                  <w:vMerge w:val="continue"/>
                  <w:vAlign w:val="center"/>
                </w:tcPr>
                <w:p w14:paraId="1C4D7A7D">
                  <w:pPr>
                    <w:pStyle w:val="64"/>
                    <w:snapToGrid w:val="0"/>
                    <w:spacing w:line="276" w:lineRule="auto"/>
                    <w:rPr>
                      <w:color w:val="auto"/>
                      <w:kern w:val="2"/>
                      <w:highlight w:val="none"/>
                    </w:rPr>
                  </w:pPr>
                </w:p>
              </w:tc>
              <w:tc>
                <w:tcPr>
                  <w:tcW w:w="359" w:type="pct"/>
                  <w:vMerge w:val="continue"/>
                  <w:vAlign w:val="center"/>
                </w:tcPr>
                <w:p w14:paraId="2A31A080">
                  <w:pPr>
                    <w:pStyle w:val="64"/>
                    <w:snapToGrid w:val="0"/>
                    <w:spacing w:line="276" w:lineRule="auto"/>
                    <w:rPr>
                      <w:color w:val="auto"/>
                      <w:kern w:val="2"/>
                      <w:highlight w:val="none"/>
                    </w:rPr>
                  </w:pPr>
                </w:p>
              </w:tc>
              <w:tc>
                <w:tcPr>
                  <w:tcW w:w="441" w:type="pct"/>
                  <w:vMerge w:val="continue"/>
                  <w:vAlign w:val="center"/>
                </w:tcPr>
                <w:p w14:paraId="6202A5A6">
                  <w:pPr>
                    <w:pStyle w:val="64"/>
                    <w:snapToGrid w:val="0"/>
                    <w:spacing w:line="276" w:lineRule="auto"/>
                    <w:rPr>
                      <w:color w:val="auto"/>
                      <w:kern w:val="2"/>
                      <w:highlight w:val="none"/>
                    </w:rPr>
                  </w:pPr>
                </w:p>
              </w:tc>
              <w:tc>
                <w:tcPr>
                  <w:tcW w:w="603" w:type="pct"/>
                  <w:vMerge w:val="continue"/>
                  <w:vAlign w:val="center"/>
                </w:tcPr>
                <w:p w14:paraId="65606755">
                  <w:pPr>
                    <w:pStyle w:val="64"/>
                    <w:snapToGrid w:val="0"/>
                    <w:spacing w:line="276" w:lineRule="auto"/>
                    <w:rPr>
                      <w:color w:val="auto"/>
                      <w:kern w:val="2"/>
                      <w:highlight w:val="none"/>
                    </w:rPr>
                  </w:pPr>
                </w:p>
              </w:tc>
              <w:tc>
                <w:tcPr>
                  <w:tcW w:w="335" w:type="pct"/>
                  <w:vMerge w:val="continue"/>
                  <w:vAlign w:val="center"/>
                </w:tcPr>
                <w:p w14:paraId="460944E3">
                  <w:pPr>
                    <w:pStyle w:val="64"/>
                    <w:snapToGrid w:val="0"/>
                    <w:spacing w:line="276" w:lineRule="auto"/>
                    <w:rPr>
                      <w:color w:val="auto"/>
                      <w:kern w:val="2"/>
                      <w:highlight w:val="none"/>
                    </w:rPr>
                  </w:pPr>
                </w:p>
              </w:tc>
              <w:tc>
                <w:tcPr>
                  <w:tcW w:w="299" w:type="pct"/>
                  <w:vMerge w:val="continue"/>
                  <w:vAlign w:val="center"/>
                </w:tcPr>
                <w:p w14:paraId="59143D5A">
                  <w:pPr>
                    <w:pStyle w:val="64"/>
                    <w:snapToGrid w:val="0"/>
                    <w:spacing w:line="276" w:lineRule="auto"/>
                    <w:rPr>
                      <w:color w:val="auto"/>
                      <w:kern w:val="2"/>
                      <w:highlight w:val="none"/>
                    </w:rPr>
                  </w:pPr>
                </w:p>
              </w:tc>
              <w:tc>
                <w:tcPr>
                  <w:tcW w:w="646" w:type="pct"/>
                  <w:vAlign w:val="center"/>
                </w:tcPr>
                <w:p w14:paraId="11430375">
                  <w:pPr>
                    <w:pStyle w:val="64"/>
                    <w:snapToGrid w:val="0"/>
                    <w:spacing w:line="276" w:lineRule="auto"/>
                    <w:rPr>
                      <w:color w:val="auto"/>
                      <w:kern w:val="2"/>
                      <w:highlight w:val="none"/>
                    </w:rPr>
                  </w:pPr>
                  <w:r>
                    <w:rPr>
                      <w:color w:val="auto"/>
                      <w:kern w:val="2"/>
                      <w:highlight w:val="none"/>
                    </w:rPr>
                    <w:t>总磷</w:t>
                  </w:r>
                </w:p>
              </w:tc>
              <w:tc>
                <w:tcPr>
                  <w:tcW w:w="950" w:type="pct"/>
                  <w:vAlign w:val="center"/>
                </w:tcPr>
                <w:p w14:paraId="7A362ABA">
                  <w:pPr>
                    <w:snapToGrid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0.5</w:t>
                  </w:r>
                </w:p>
              </w:tc>
            </w:tr>
            <w:tr w14:paraId="7EBF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01095047">
                  <w:pPr>
                    <w:pStyle w:val="64"/>
                    <w:snapToGrid w:val="0"/>
                    <w:spacing w:line="276" w:lineRule="auto"/>
                    <w:rPr>
                      <w:color w:val="auto"/>
                      <w:kern w:val="2"/>
                      <w:highlight w:val="none"/>
                    </w:rPr>
                  </w:pPr>
                </w:p>
              </w:tc>
              <w:tc>
                <w:tcPr>
                  <w:tcW w:w="322" w:type="pct"/>
                  <w:vMerge w:val="continue"/>
                  <w:vAlign w:val="center"/>
                </w:tcPr>
                <w:p w14:paraId="68265E30">
                  <w:pPr>
                    <w:pStyle w:val="64"/>
                    <w:snapToGrid w:val="0"/>
                    <w:spacing w:line="276" w:lineRule="auto"/>
                    <w:rPr>
                      <w:color w:val="auto"/>
                      <w:kern w:val="2"/>
                      <w:highlight w:val="none"/>
                    </w:rPr>
                  </w:pPr>
                </w:p>
              </w:tc>
              <w:tc>
                <w:tcPr>
                  <w:tcW w:w="391" w:type="pct"/>
                  <w:vMerge w:val="continue"/>
                  <w:vAlign w:val="center"/>
                </w:tcPr>
                <w:p w14:paraId="08557C7B">
                  <w:pPr>
                    <w:pStyle w:val="64"/>
                    <w:snapToGrid w:val="0"/>
                    <w:spacing w:line="276" w:lineRule="auto"/>
                    <w:rPr>
                      <w:color w:val="auto"/>
                      <w:kern w:val="2"/>
                      <w:highlight w:val="none"/>
                    </w:rPr>
                  </w:pPr>
                </w:p>
              </w:tc>
              <w:tc>
                <w:tcPr>
                  <w:tcW w:w="353" w:type="pct"/>
                  <w:vMerge w:val="continue"/>
                  <w:vAlign w:val="center"/>
                </w:tcPr>
                <w:p w14:paraId="0DF2B203">
                  <w:pPr>
                    <w:pStyle w:val="64"/>
                    <w:snapToGrid w:val="0"/>
                    <w:spacing w:line="276" w:lineRule="auto"/>
                    <w:rPr>
                      <w:color w:val="auto"/>
                      <w:kern w:val="2"/>
                      <w:highlight w:val="none"/>
                    </w:rPr>
                  </w:pPr>
                </w:p>
              </w:tc>
              <w:tc>
                <w:tcPr>
                  <w:tcW w:w="359" w:type="pct"/>
                  <w:vMerge w:val="continue"/>
                  <w:vAlign w:val="center"/>
                </w:tcPr>
                <w:p w14:paraId="09DCEC75">
                  <w:pPr>
                    <w:pStyle w:val="64"/>
                    <w:snapToGrid w:val="0"/>
                    <w:spacing w:line="276" w:lineRule="auto"/>
                    <w:rPr>
                      <w:color w:val="auto"/>
                      <w:kern w:val="2"/>
                      <w:highlight w:val="none"/>
                    </w:rPr>
                  </w:pPr>
                </w:p>
              </w:tc>
              <w:tc>
                <w:tcPr>
                  <w:tcW w:w="441" w:type="pct"/>
                  <w:vMerge w:val="continue"/>
                  <w:vAlign w:val="center"/>
                </w:tcPr>
                <w:p w14:paraId="43610DC4">
                  <w:pPr>
                    <w:pStyle w:val="64"/>
                    <w:snapToGrid w:val="0"/>
                    <w:spacing w:line="276" w:lineRule="auto"/>
                    <w:rPr>
                      <w:color w:val="auto"/>
                      <w:kern w:val="2"/>
                      <w:highlight w:val="none"/>
                    </w:rPr>
                  </w:pPr>
                </w:p>
              </w:tc>
              <w:tc>
                <w:tcPr>
                  <w:tcW w:w="603" w:type="pct"/>
                  <w:vMerge w:val="continue"/>
                  <w:vAlign w:val="center"/>
                </w:tcPr>
                <w:p w14:paraId="2745DAE2">
                  <w:pPr>
                    <w:pStyle w:val="64"/>
                    <w:snapToGrid w:val="0"/>
                    <w:spacing w:line="276" w:lineRule="auto"/>
                    <w:rPr>
                      <w:color w:val="auto"/>
                      <w:kern w:val="2"/>
                      <w:highlight w:val="none"/>
                    </w:rPr>
                  </w:pPr>
                </w:p>
              </w:tc>
              <w:tc>
                <w:tcPr>
                  <w:tcW w:w="335" w:type="pct"/>
                  <w:vMerge w:val="continue"/>
                  <w:vAlign w:val="center"/>
                </w:tcPr>
                <w:p w14:paraId="31CAD9D3">
                  <w:pPr>
                    <w:pStyle w:val="64"/>
                    <w:snapToGrid w:val="0"/>
                    <w:spacing w:line="276" w:lineRule="auto"/>
                    <w:rPr>
                      <w:color w:val="auto"/>
                      <w:kern w:val="2"/>
                      <w:highlight w:val="none"/>
                    </w:rPr>
                  </w:pPr>
                </w:p>
              </w:tc>
              <w:tc>
                <w:tcPr>
                  <w:tcW w:w="299" w:type="pct"/>
                  <w:vMerge w:val="continue"/>
                  <w:vAlign w:val="center"/>
                </w:tcPr>
                <w:p w14:paraId="6A26E6F6">
                  <w:pPr>
                    <w:pStyle w:val="64"/>
                    <w:snapToGrid w:val="0"/>
                    <w:spacing w:line="276" w:lineRule="auto"/>
                    <w:rPr>
                      <w:color w:val="auto"/>
                      <w:kern w:val="2"/>
                      <w:highlight w:val="none"/>
                    </w:rPr>
                  </w:pPr>
                </w:p>
              </w:tc>
              <w:tc>
                <w:tcPr>
                  <w:tcW w:w="646" w:type="pct"/>
                  <w:vAlign w:val="center"/>
                </w:tcPr>
                <w:p w14:paraId="6A69CA23">
                  <w:pPr>
                    <w:pStyle w:val="64"/>
                    <w:snapToGrid w:val="0"/>
                    <w:spacing w:line="276" w:lineRule="auto"/>
                    <w:rPr>
                      <w:color w:val="auto"/>
                      <w:kern w:val="2"/>
                      <w:highlight w:val="none"/>
                    </w:rPr>
                  </w:pPr>
                  <w:r>
                    <w:rPr>
                      <w:color w:val="auto"/>
                      <w:kern w:val="2"/>
                      <w:highlight w:val="none"/>
                    </w:rPr>
                    <w:t>总氮</w:t>
                  </w:r>
                </w:p>
              </w:tc>
              <w:tc>
                <w:tcPr>
                  <w:tcW w:w="950" w:type="pct"/>
                  <w:vAlign w:val="center"/>
                </w:tcPr>
                <w:p w14:paraId="34C60EF1">
                  <w:pPr>
                    <w:pStyle w:val="64"/>
                    <w:snapToGrid w:val="0"/>
                    <w:spacing w:line="276" w:lineRule="auto"/>
                    <w:rPr>
                      <w:rFonts w:hint="default" w:eastAsia="宋体"/>
                      <w:color w:val="auto"/>
                      <w:kern w:val="2"/>
                      <w:highlight w:val="none"/>
                      <w:lang w:val="en-US" w:eastAsia="zh-CN"/>
                    </w:rPr>
                  </w:pPr>
                  <w:r>
                    <w:rPr>
                      <w:rFonts w:hint="eastAsia"/>
                      <w:color w:val="auto"/>
                      <w:kern w:val="2"/>
                      <w:highlight w:val="none"/>
                      <w:lang w:val="en-US" w:eastAsia="zh-CN"/>
                    </w:rPr>
                    <w:t>20</w:t>
                  </w:r>
                </w:p>
              </w:tc>
            </w:tr>
            <w:tr w14:paraId="1DA5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30949F8D">
                  <w:pPr>
                    <w:pStyle w:val="64"/>
                    <w:snapToGrid w:val="0"/>
                    <w:spacing w:line="276" w:lineRule="auto"/>
                    <w:rPr>
                      <w:color w:val="auto"/>
                      <w:kern w:val="2"/>
                      <w:highlight w:val="none"/>
                    </w:rPr>
                  </w:pPr>
                </w:p>
              </w:tc>
              <w:tc>
                <w:tcPr>
                  <w:tcW w:w="322" w:type="pct"/>
                  <w:vMerge w:val="continue"/>
                  <w:vAlign w:val="center"/>
                </w:tcPr>
                <w:p w14:paraId="0A528965">
                  <w:pPr>
                    <w:pStyle w:val="64"/>
                    <w:snapToGrid w:val="0"/>
                    <w:spacing w:line="276" w:lineRule="auto"/>
                    <w:rPr>
                      <w:color w:val="auto"/>
                      <w:kern w:val="2"/>
                      <w:highlight w:val="none"/>
                    </w:rPr>
                  </w:pPr>
                </w:p>
              </w:tc>
              <w:tc>
                <w:tcPr>
                  <w:tcW w:w="391" w:type="pct"/>
                  <w:vMerge w:val="continue"/>
                  <w:vAlign w:val="center"/>
                </w:tcPr>
                <w:p w14:paraId="26AB67A2">
                  <w:pPr>
                    <w:pStyle w:val="64"/>
                    <w:snapToGrid w:val="0"/>
                    <w:spacing w:line="276" w:lineRule="auto"/>
                    <w:rPr>
                      <w:color w:val="auto"/>
                      <w:kern w:val="2"/>
                      <w:highlight w:val="none"/>
                    </w:rPr>
                  </w:pPr>
                </w:p>
              </w:tc>
              <w:tc>
                <w:tcPr>
                  <w:tcW w:w="353" w:type="pct"/>
                  <w:vMerge w:val="continue"/>
                  <w:vAlign w:val="center"/>
                </w:tcPr>
                <w:p w14:paraId="15BD5D5F">
                  <w:pPr>
                    <w:pStyle w:val="64"/>
                    <w:snapToGrid w:val="0"/>
                    <w:spacing w:line="276" w:lineRule="auto"/>
                    <w:rPr>
                      <w:color w:val="auto"/>
                      <w:kern w:val="2"/>
                      <w:highlight w:val="none"/>
                    </w:rPr>
                  </w:pPr>
                </w:p>
              </w:tc>
              <w:tc>
                <w:tcPr>
                  <w:tcW w:w="359" w:type="pct"/>
                  <w:vMerge w:val="continue"/>
                  <w:vAlign w:val="center"/>
                </w:tcPr>
                <w:p w14:paraId="69BEF539">
                  <w:pPr>
                    <w:pStyle w:val="64"/>
                    <w:snapToGrid w:val="0"/>
                    <w:spacing w:line="276" w:lineRule="auto"/>
                    <w:rPr>
                      <w:color w:val="auto"/>
                      <w:kern w:val="2"/>
                      <w:highlight w:val="none"/>
                    </w:rPr>
                  </w:pPr>
                </w:p>
              </w:tc>
              <w:tc>
                <w:tcPr>
                  <w:tcW w:w="441" w:type="pct"/>
                  <w:vMerge w:val="continue"/>
                  <w:vAlign w:val="center"/>
                </w:tcPr>
                <w:p w14:paraId="0EB5B4AF">
                  <w:pPr>
                    <w:pStyle w:val="64"/>
                    <w:snapToGrid w:val="0"/>
                    <w:spacing w:line="276" w:lineRule="auto"/>
                    <w:rPr>
                      <w:color w:val="auto"/>
                      <w:kern w:val="2"/>
                      <w:highlight w:val="none"/>
                    </w:rPr>
                  </w:pPr>
                </w:p>
              </w:tc>
              <w:tc>
                <w:tcPr>
                  <w:tcW w:w="603" w:type="pct"/>
                  <w:vMerge w:val="continue"/>
                  <w:vAlign w:val="center"/>
                </w:tcPr>
                <w:p w14:paraId="23E0AA10">
                  <w:pPr>
                    <w:pStyle w:val="64"/>
                    <w:snapToGrid w:val="0"/>
                    <w:spacing w:line="276" w:lineRule="auto"/>
                    <w:rPr>
                      <w:color w:val="auto"/>
                      <w:kern w:val="2"/>
                      <w:highlight w:val="none"/>
                    </w:rPr>
                  </w:pPr>
                </w:p>
              </w:tc>
              <w:tc>
                <w:tcPr>
                  <w:tcW w:w="335" w:type="pct"/>
                  <w:vMerge w:val="continue"/>
                  <w:vAlign w:val="center"/>
                </w:tcPr>
                <w:p w14:paraId="5174878A">
                  <w:pPr>
                    <w:pStyle w:val="64"/>
                    <w:snapToGrid w:val="0"/>
                    <w:spacing w:line="276" w:lineRule="auto"/>
                    <w:rPr>
                      <w:color w:val="auto"/>
                      <w:kern w:val="2"/>
                      <w:highlight w:val="none"/>
                    </w:rPr>
                  </w:pPr>
                </w:p>
              </w:tc>
              <w:tc>
                <w:tcPr>
                  <w:tcW w:w="299" w:type="pct"/>
                  <w:vMerge w:val="continue"/>
                  <w:vAlign w:val="center"/>
                </w:tcPr>
                <w:p w14:paraId="50EB5F3B">
                  <w:pPr>
                    <w:pStyle w:val="64"/>
                    <w:snapToGrid w:val="0"/>
                    <w:spacing w:line="276" w:lineRule="auto"/>
                    <w:rPr>
                      <w:color w:val="auto"/>
                      <w:kern w:val="2"/>
                      <w:highlight w:val="none"/>
                    </w:rPr>
                  </w:pPr>
                </w:p>
              </w:tc>
              <w:tc>
                <w:tcPr>
                  <w:tcW w:w="646" w:type="pct"/>
                  <w:vAlign w:val="center"/>
                </w:tcPr>
                <w:p w14:paraId="5F445CE0">
                  <w:pPr>
                    <w:pStyle w:val="64"/>
                    <w:snapToGrid w:val="0"/>
                    <w:spacing w:line="276" w:lineRule="auto"/>
                    <w:rPr>
                      <w:color w:val="auto"/>
                      <w:kern w:val="2"/>
                      <w:highlight w:val="none"/>
                    </w:rPr>
                  </w:pPr>
                  <w:r>
                    <w:rPr>
                      <w:color w:val="auto"/>
                      <w:kern w:val="2"/>
                      <w:highlight w:val="none"/>
                    </w:rPr>
                    <w:t>石油类</w:t>
                  </w:r>
                </w:p>
              </w:tc>
              <w:tc>
                <w:tcPr>
                  <w:tcW w:w="950" w:type="pct"/>
                  <w:vAlign w:val="center"/>
                </w:tcPr>
                <w:p w14:paraId="00242A01">
                  <w:pPr>
                    <w:pStyle w:val="64"/>
                    <w:snapToGrid w:val="0"/>
                    <w:spacing w:line="276" w:lineRule="auto"/>
                    <w:rPr>
                      <w:rFonts w:hint="default" w:eastAsia="宋体"/>
                      <w:color w:val="auto"/>
                      <w:kern w:val="2"/>
                      <w:highlight w:val="none"/>
                      <w:lang w:val="en-US" w:eastAsia="zh-CN"/>
                    </w:rPr>
                  </w:pPr>
                  <w:r>
                    <w:rPr>
                      <w:rFonts w:hint="eastAsia"/>
                      <w:color w:val="auto"/>
                      <w:kern w:val="2"/>
                      <w:highlight w:val="none"/>
                      <w:lang w:val="en-US" w:eastAsia="zh-CN"/>
                    </w:rPr>
                    <w:t>3.0</w:t>
                  </w:r>
                </w:p>
              </w:tc>
            </w:tr>
            <w:tr w14:paraId="6C61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298" w:type="pct"/>
                  <w:vMerge w:val="continue"/>
                  <w:vAlign w:val="center"/>
                </w:tcPr>
                <w:p w14:paraId="67F6FF70">
                  <w:pPr>
                    <w:pStyle w:val="64"/>
                    <w:snapToGrid w:val="0"/>
                    <w:spacing w:line="276" w:lineRule="auto"/>
                    <w:rPr>
                      <w:color w:val="auto"/>
                      <w:kern w:val="2"/>
                      <w:highlight w:val="none"/>
                    </w:rPr>
                  </w:pPr>
                </w:p>
              </w:tc>
              <w:tc>
                <w:tcPr>
                  <w:tcW w:w="322" w:type="pct"/>
                  <w:vMerge w:val="continue"/>
                  <w:vAlign w:val="center"/>
                </w:tcPr>
                <w:p w14:paraId="29BDE377">
                  <w:pPr>
                    <w:pStyle w:val="64"/>
                    <w:snapToGrid w:val="0"/>
                    <w:spacing w:line="276" w:lineRule="auto"/>
                    <w:rPr>
                      <w:color w:val="auto"/>
                      <w:kern w:val="2"/>
                      <w:highlight w:val="none"/>
                    </w:rPr>
                  </w:pPr>
                </w:p>
              </w:tc>
              <w:tc>
                <w:tcPr>
                  <w:tcW w:w="391" w:type="pct"/>
                  <w:vMerge w:val="continue"/>
                  <w:vAlign w:val="center"/>
                </w:tcPr>
                <w:p w14:paraId="61B3ADBF">
                  <w:pPr>
                    <w:pStyle w:val="64"/>
                    <w:snapToGrid w:val="0"/>
                    <w:spacing w:line="276" w:lineRule="auto"/>
                    <w:rPr>
                      <w:color w:val="auto"/>
                      <w:kern w:val="2"/>
                      <w:highlight w:val="none"/>
                    </w:rPr>
                  </w:pPr>
                </w:p>
              </w:tc>
              <w:tc>
                <w:tcPr>
                  <w:tcW w:w="353" w:type="pct"/>
                  <w:vMerge w:val="continue"/>
                  <w:vAlign w:val="center"/>
                </w:tcPr>
                <w:p w14:paraId="7161CCD3">
                  <w:pPr>
                    <w:pStyle w:val="64"/>
                    <w:snapToGrid w:val="0"/>
                    <w:spacing w:line="276" w:lineRule="auto"/>
                    <w:rPr>
                      <w:color w:val="auto"/>
                      <w:kern w:val="2"/>
                      <w:highlight w:val="none"/>
                    </w:rPr>
                  </w:pPr>
                </w:p>
              </w:tc>
              <w:tc>
                <w:tcPr>
                  <w:tcW w:w="359" w:type="pct"/>
                  <w:vMerge w:val="continue"/>
                  <w:vAlign w:val="center"/>
                </w:tcPr>
                <w:p w14:paraId="69A8835E">
                  <w:pPr>
                    <w:pStyle w:val="64"/>
                    <w:snapToGrid w:val="0"/>
                    <w:spacing w:line="276" w:lineRule="auto"/>
                    <w:rPr>
                      <w:color w:val="auto"/>
                      <w:kern w:val="2"/>
                      <w:highlight w:val="none"/>
                    </w:rPr>
                  </w:pPr>
                </w:p>
              </w:tc>
              <w:tc>
                <w:tcPr>
                  <w:tcW w:w="441" w:type="pct"/>
                  <w:vMerge w:val="continue"/>
                  <w:vAlign w:val="center"/>
                </w:tcPr>
                <w:p w14:paraId="15BD7C8C">
                  <w:pPr>
                    <w:pStyle w:val="64"/>
                    <w:snapToGrid w:val="0"/>
                    <w:spacing w:line="276" w:lineRule="auto"/>
                    <w:rPr>
                      <w:color w:val="auto"/>
                      <w:kern w:val="2"/>
                      <w:highlight w:val="none"/>
                    </w:rPr>
                  </w:pPr>
                </w:p>
              </w:tc>
              <w:tc>
                <w:tcPr>
                  <w:tcW w:w="603" w:type="pct"/>
                  <w:vMerge w:val="continue"/>
                  <w:vAlign w:val="center"/>
                </w:tcPr>
                <w:p w14:paraId="02C14A68">
                  <w:pPr>
                    <w:pStyle w:val="64"/>
                    <w:snapToGrid w:val="0"/>
                    <w:spacing w:line="276" w:lineRule="auto"/>
                    <w:rPr>
                      <w:color w:val="auto"/>
                      <w:kern w:val="2"/>
                      <w:highlight w:val="none"/>
                    </w:rPr>
                  </w:pPr>
                </w:p>
              </w:tc>
              <w:tc>
                <w:tcPr>
                  <w:tcW w:w="335" w:type="pct"/>
                  <w:vMerge w:val="continue"/>
                  <w:vAlign w:val="center"/>
                </w:tcPr>
                <w:p w14:paraId="3C874F54">
                  <w:pPr>
                    <w:pStyle w:val="64"/>
                    <w:snapToGrid w:val="0"/>
                    <w:spacing w:line="276" w:lineRule="auto"/>
                    <w:rPr>
                      <w:color w:val="auto"/>
                      <w:kern w:val="2"/>
                      <w:highlight w:val="none"/>
                    </w:rPr>
                  </w:pPr>
                </w:p>
              </w:tc>
              <w:tc>
                <w:tcPr>
                  <w:tcW w:w="299" w:type="pct"/>
                  <w:vMerge w:val="continue"/>
                  <w:vAlign w:val="center"/>
                </w:tcPr>
                <w:p w14:paraId="1CCDB89B">
                  <w:pPr>
                    <w:pStyle w:val="64"/>
                    <w:snapToGrid w:val="0"/>
                    <w:spacing w:line="276" w:lineRule="auto"/>
                    <w:rPr>
                      <w:color w:val="auto"/>
                      <w:kern w:val="2"/>
                      <w:highlight w:val="none"/>
                    </w:rPr>
                  </w:pPr>
                </w:p>
              </w:tc>
              <w:tc>
                <w:tcPr>
                  <w:tcW w:w="646" w:type="pct"/>
                  <w:vAlign w:val="center"/>
                </w:tcPr>
                <w:p w14:paraId="5714AED6">
                  <w:pPr>
                    <w:pStyle w:val="64"/>
                    <w:snapToGrid w:val="0"/>
                    <w:spacing w:line="276" w:lineRule="auto"/>
                    <w:rPr>
                      <w:color w:val="auto"/>
                      <w:kern w:val="2"/>
                      <w:highlight w:val="none"/>
                    </w:rPr>
                  </w:pPr>
                  <w:r>
                    <w:rPr>
                      <w:rFonts w:hint="eastAsia"/>
                      <w:color w:val="auto"/>
                      <w:kern w:val="2"/>
                      <w:highlight w:val="none"/>
                    </w:rPr>
                    <w:t>LAS</w:t>
                  </w:r>
                </w:p>
              </w:tc>
              <w:tc>
                <w:tcPr>
                  <w:tcW w:w="950" w:type="pct"/>
                  <w:vAlign w:val="center"/>
                </w:tcPr>
                <w:p w14:paraId="599F0295">
                  <w:pPr>
                    <w:pStyle w:val="64"/>
                    <w:snapToGrid w:val="0"/>
                    <w:spacing w:line="276" w:lineRule="auto"/>
                    <w:rPr>
                      <w:rFonts w:hint="default" w:eastAsia="宋体"/>
                      <w:color w:val="auto"/>
                      <w:kern w:val="2"/>
                      <w:highlight w:val="none"/>
                      <w:lang w:val="en-US" w:eastAsia="zh-CN"/>
                    </w:rPr>
                  </w:pPr>
                  <w:r>
                    <w:rPr>
                      <w:rFonts w:hint="eastAsia"/>
                      <w:color w:val="auto"/>
                      <w:kern w:val="2"/>
                      <w:highlight w:val="none"/>
                      <w:lang w:val="en-US" w:eastAsia="zh-CN"/>
                    </w:rPr>
                    <w:t>1.0</w:t>
                  </w:r>
                </w:p>
              </w:tc>
            </w:tr>
            <w:tr w14:paraId="23EF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5000" w:type="pct"/>
                  <w:gridSpan w:val="11"/>
                  <w:vAlign w:val="center"/>
                </w:tcPr>
                <w:p w14:paraId="106DF26E">
                  <w:pPr>
                    <w:pStyle w:val="64"/>
                    <w:snapToGrid w:val="0"/>
                    <w:spacing w:line="276" w:lineRule="auto"/>
                    <w:jc w:val="left"/>
                    <w:rPr>
                      <w:color w:val="auto"/>
                      <w:kern w:val="2"/>
                      <w:highlight w:val="none"/>
                    </w:rPr>
                  </w:pPr>
                  <w:r>
                    <w:rPr>
                      <w:color w:val="auto"/>
                      <w:kern w:val="2"/>
                      <w:highlight w:val="none"/>
                    </w:rPr>
                    <w:t>注：</w:t>
                  </w:r>
                  <w:r>
                    <w:rPr>
                      <w:color w:val="auto"/>
                      <w:highlight w:val="none"/>
                    </w:rPr>
                    <w:t>园区污水处理厂出水水质标准执行广东省《</w:t>
                  </w:r>
                  <w:r>
                    <w:rPr>
                      <w:rFonts w:hint="eastAsia"/>
                      <w:color w:val="auto"/>
                      <w:highlight w:val="none"/>
                    </w:rPr>
                    <w:t>水污染物排放限值</w:t>
                  </w:r>
                  <w:r>
                    <w:rPr>
                      <w:color w:val="auto"/>
                      <w:highlight w:val="none"/>
                    </w:rPr>
                    <w:t>》（DB44/26-2001）第二时段一级标准和《城镇污水处理厂污染物排放标准》（GB18919-2002）一级B标准中严者</w:t>
                  </w:r>
                  <w:r>
                    <w:rPr>
                      <w:color w:val="auto"/>
                      <w:kern w:val="2"/>
                      <w:highlight w:val="none"/>
                    </w:rPr>
                    <w:t>。</w:t>
                  </w:r>
                </w:p>
              </w:tc>
            </w:tr>
          </w:tbl>
          <w:p w14:paraId="0973BBAD">
            <w:pPr>
              <w:tabs>
                <w:tab w:val="left" w:pos="0"/>
              </w:tabs>
              <w:autoSpaceDE w:val="0"/>
              <w:autoSpaceDN w:val="0"/>
              <w:ind w:firstLine="40"/>
              <w:jc w:val="center"/>
              <w:textAlignment w:val="baseline"/>
              <w:rPr>
                <w:b/>
                <w:color w:val="auto"/>
                <w:sz w:val="21"/>
                <w:szCs w:val="21"/>
                <w:highlight w:val="none"/>
              </w:rPr>
            </w:pPr>
            <w:r>
              <w:rPr>
                <w:b/>
                <w:color w:val="auto"/>
                <w:sz w:val="21"/>
                <w:szCs w:val="21"/>
                <w:highlight w:val="none"/>
              </w:rPr>
              <w:t>表4-17 废水污染物排放信息表</w:t>
            </w:r>
          </w:p>
          <w:tbl>
            <w:tblPr>
              <w:tblStyle w:val="49"/>
              <w:tblW w:w="13682" w:type="dxa"/>
              <w:tblInd w:w="0" w:type="dxa"/>
              <w:tblLayout w:type="fixed"/>
              <w:tblCellMar>
                <w:top w:w="0" w:type="dxa"/>
                <w:left w:w="108" w:type="dxa"/>
                <w:bottom w:w="0" w:type="dxa"/>
                <w:right w:w="108" w:type="dxa"/>
              </w:tblCellMar>
            </w:tblPr>
            <w:tblGrid>
              <w:gridCol w:w="942"/>
              <w:gridCol w:w="2037"/>
              <w:gridCol w:w="2759"/>
              <w:gridCol w:w="2587"/>
              <w:gridCol w:w="2685"/>
              <w:gridCol w:w="2672"/>
            </w:tblGrid>
            <w:tr w14:paraId="1A5F1526">
              <w:tblPrEx>
                <w:tblCellMar>
                  <w:top w:w="0" w:type="dxa"/>
                  <w:left w:w="108" w:type="dxa"/>
                  <w:bottom w:w="0" w:type="dxa"/>
                  <w:right w:w="108" w:type="dxa"/>
                </w:tblCellMar>
              </w:tblPrEx>
              <w:trPr>
                <w:trHeight w:val="382"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E542A">
                  <w:pPr>
                    <w:widowControl/>
                    <w:spacing w:line="240" w:lineRule="auto"/>
                    <w:jc w:val="center"/>
                    <w:textAlignment w:val="center"/>
                    <w:rPr>
                      <w:b/>
                      <w:bCs/>
                      <w:color w:val="auto"/>
                      <w:sz w:val="21"/>
                      <w:szCs w:val="21"/>
                      <w:highlight w:val="none"/>
                    </w:rPr>
                  </w:pPr>
                  <w:r>
                    <w:rPr>
                      <w:b/>
                      <w:bCs/>
                      <w:color w:val="auto"/>
                      <w:kern w:val="0"/>
                      <w:sz w:val="21"/>
                      <w:szCs w:val="21"/>
                      <w:highlight w:val="none"/>
                    </w:rPr>
                    <w:t>序号</w:t>
                  </w:r>
                </w:p>
              </w:tc>
              <w:tc>
                <w:tcPr>
                  <w:tcW w:w="7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D330C">
                  <w:pPr>
                    <w:widowControl/>
                    <w:spacing w:line="240" w:lineRule="auto"/>
                    <w:jc w:val="center"/>
                    <w:textAlignment w:val="center"/>
                    <w:rPr>
                      <w:b/>
                      <w:bCs/>
                      <w:color w:val="auto"/>
                      <w:sz w:val="21"/>
                      <w:szCs w:val="21"/>
                      <w:highlight w:val="none"/>
                    </w:rPr>
                  </w:pPr>
                  <w:r>
                    <w:rPr>
                      <w:b/>
                      <w:bCs/>
                      <w:color w:val="auto"/>
                      <w:kern w:val="0"/>
                      <w:sz w:val="21"/>
                      <w:szCs w:val="21"/>
                      <w:highlight w:val="none"/>
                    </w:rPr>
                    <w:t>排放口编号</w:t>
                  </w:r>
                </w:p>
              </w:tc>
              <w:tc>
                <w:tcPr>
                  <w:tcW w:w="10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A951A">
                  <w:pPr>
                    <w:widowControl/>
                    <w:spacing w:line="240" w:lineRule="auto"/>
                    <w:jc w:val="center"/>
                    <w:textAlignment w:val="center"/>
                    <w:rPr>
                      <w:b/>
                      <w:bCs/>
                      <w:color w:val="auto"/>
                      <w:sz w:val="21"/>
                      <w:szCs w:val="21"/>
                      <w:highlight w:val="none"/>
                    </w:rPr>
                  </w:pPr>
                  <w:r>
                    <w:rPr>
                      <w:b/>
                      <w:bCs/>
                      <w:color w:val="auto"/>
                      <w:kern w:val="0"/>
                      <w:sz w:val="21"/>
                      <w:szCs w:val="21"/>
                      <w:highlight w:val="none"/>
                    </w:rPr>
                    <w:t>污染物种类</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CD7A2">
                  <w:pPr>
                    <w:widowControl/>
                    <w:spacing w:line="240" w:lineRule="auto"/>
                    <w:jc w:val="center"/>
                    <w:textAlignment w:val="center"/>
                    <w:rPr>
                      <w:b/>
                      <w:bCs/>
                      <w:color w:val="auto"/>
                      <w:sz w:val="21"/>
                      <w:szCs w:val="21"/>
                      <w:highlight w:val="none"/>
                    </w:rPr>
                  </w:pPr>
                  <w:r>
                    <w:rPr>
                      <w:b/>
                      <w:bCs/>
                      <w:color w:val="auto"/>
                      <w:kern w:val="0"/>
                      <w:sz w:val="21"/>
                      <w:szCs w:val="21"/>
                      <w:highlight w:val="none"/>
                    </w:rPr>
                    <w:t>排放浓度/（mg/L）</w:t>
                  </w:r>
                </w:p>
              </w:tc>
              <w:tc>
                <w:tcPr>
                  <w:tcW w:w="9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A88EE">
                  <w:pPr>
                    <w:widowControl/>
                    <w:spacing w:line="240" w:lineRule="auto"/>
                    <w:jc w:val="center"/>
                    <w:textAlignment w:val="center"/>
                    <w:rPr>
                      <w:b/>
                      <w:bCs/>
                      <w:color w:val="auto"/>
                      <w:sz w:val="21"/>
                      <w:szCs w:val="21"/>
                      <w:highlight w:val="none"/>
                    </w:rPr>
                  </w:pPr>
                  <w:r>
                    <w:rPr>
                      <w:b/>
                      <w:bCs/>
                      <w:color w:val="auto"/>
                      <w:kern w:val="0"/>
                      <w:sz w:val="21"/>
                      <w:szCs w:val="21"/>
                      <w:highlight w:val="none"/>
                    </w:rPr>
                    <w:t>全厂日排放量/（kg/d）</w:t>
                  </w:r>
                </w:p>
              </w:tc>
              <w:tc>
                <w:tcPr>
                  <w:tcW w:w="9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316BB8">
                  <w:pPr>
                    <w:widowControl/>
                    <w:spacing w:line="240" w:lineRule="auto"/>
                    <w:jc w:val="center"/>
                    <w:textAlignment w:val="center"/>
                    <w:rPr>
                      <w:b/>
                      <w:bCs/>
                      <w:color w:val="auto"/>
                      <w:sz w:val="21"/>
                      <w:szCs w:val="21"/>
                      <w:highlight w:val="none"/>
                    </w:rPr>
                  </w:pPr>
                  <w:r>
                    <w:rPr>
                      <w:b/>
                      <w:bCs/>
                      <w:color w:val="auto"/>
                      <w:kern w:val="0"/>
                      <w:sz w:val="21"/>
                      <w:szCs w:val="21"/>
                      <w:highlight w:val="none"/>
                    </w:rPr>
                    <w:t>全厂年排放量/（t/a）</w:t>
                  </w:r>
                </w:p>
              </w:tc>
            </w:tr>
            <w:tr w14:paraId="03652CED">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4787F">
                  <w:pPr>
                    <w:widowControl/>
                    <w:spacing w:line="240" w:lineRule="auto"/>
                    <w:jc w:val="center"/>
                    <w:textAlignment w:val="center"/>
                    <w:rPr>
                      <w:color w:val="auto"/>
                      <w:sz w:val="21"/>
                      <w:szCs w:val="21"/>
                      <w:highlight w:val="none"/>
                    </w:rPr>
                  </w:pPr>
                  <w:r>
                    <w:rPr>
                      <w:color w:val="auto"/>
                      <w:kern w:val="0"/>
                      <w:sz w:val="20"/>
                      <w:szCs w:val="20"/>
                      <w:highlight w:val="none"/>
                    </w:rPr>
                    <w:t>1</w:t>
                  </w:r>
                </w:p>
              </w:tc>
              <w:tc>
                <w:tcPr>
                  <w:tcW w:w="743" w:type="pct"/>
                  <w:vMerge w:val="restart"/>
                  <w:tcBorders>
                    <w:top w:val="single" w:color="000000" w:sz="4" w:space="0"/>
                    <w:left w:val="single" w:color="000000" w:sz="4" w:space="0"/>
                    <w:right w:val="single" w:color="000000" w:sz="4" w:space="0"/>
                  </w:tcBorders>
                  <w:shd w:val="clear" w:color="auto" w:fill="FFFFFF"/>
                  <w:vAlign w:val="center"/>
                </w:tcPr>
                <w:p w14:paraId="583CDD8F">
                  <w:pPr>
                    <w:widowControl/>
                    <w:spacing w:line="240" w:lineRule="auto"/>
                    <w:jc w:val="center"/>
                    <w:textAlignment w:val="center"/>
                    <w:rPr>
                      <w:color w:val="auto"/>
                      <w:sz w:val="21"/>
                      <w:szCs w:val="21"/>
                      <w:highlight w:val="none"/>
                    </w:rPr>
                  </w:pPr>
                  <w:r>
                    <w:rPr>
                      <w:color w:val="auto"/>
                      <w:kern w:val="0"/>
                      <w:sz w:val="21"/>
                      <w:szCs w:val="21"/>
                      <w:highlight w:val="none"/>
                    </w:rPr>
                    <w:t>DW001</w:t>
                  </w: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D196E">
                  <w:pPr>
                    <w:keepNext w:val="0"/>
                    <w:keepLines w:val="0"/>
                    <w:widowControl/>
                    <w:suppressLineNumbers w:val="0"/>
                    <w:jc w:val="center"/>
                    <w:textAlignment w:val="center"/>
                    <w:rPr>
                      <w:color w:val="auto"/>
                      <w:sz w:val="21"/>
                      <w:szCs w:val="21"/>
                      <w:highlight w:val="none"/>
                    </w:rPr>
                  </w:pPr>
                  <w:r>
                    <w:rPr>
                      <w:color w:val="auto"/>
                      <w:kern w:val="0"/>
                      <w:sz w:val="20"/>
                      <w:szCs w:val="20"/>
                      <w:highlight w:val="none"/>
                      <w:lang w:bidi="ar"/>
                    </w:rPr>
                    <w:t>COD</w:t>
                  </w:r>
                  <w:r>
                    <w:rPr>
                      <w:color w:val="auto"/>
                      <w:kern w:val="0"/>
                      <w:sz w:val="20"/>
                      <w:szCs w:val="20"/>
                      <w:highlight w:val="none"/>
                      <w:vertAlign w:val="subscript"/>
                      <w:lang w:bidi="ar"/>
                    </w:rPr>
                    <w:t>Cr</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99391">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121.8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E958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2.359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DFA8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0.778 </w:t>
                  </w:r>
                </w:p>
              </w:tc>
            </w:tr>
            <w:tr w14:paraId="392A8325">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DF572">
                  <w:pPr>
                    <w:widowControl/>
                    <w:spacing w:line="240" w:lineRule="auto"/>
                    <w:jc w:val="center"/>
                    <w:textAlignment w:val="center"/>
                    <w:rPr>
                      <w:color w:val="auto"/>
                      <w:sz w:val="21"/>
                      <w:szCs w:val="21"/>
                      <w:highlight w:val="none"/>
                    </w:rPr>
                  </w:pPr>
                  <w:r>
                    <w:rPr>
                      <w:color w:val="auto"/>
                      <w:kern w:val="0"/>
                      <w:sz w:val="20"/>
                      <w:szCs w:val="20"/>
                      <w:highlight w:val="none"/>
                    </w:rPr>
                    <w:t>2</w:t>
                  </w:r>
                </w:p>
              </w:tc>
              <w:tc>
                <w:tcPr>
                  <w:tcW w:w="743" w:type="pct"/>
                  <w:vMerge w:val="continue"/>
                  <w:tcBorders>
                    <w:left w:val="single" w:color="000000" w:sz="4" w:space="0"/>
                    <w:right w:val="single" w:color="000000" w:sz="4" w:space="0"/>
                  </w:tcBorders>
                  <w:shd w:val="clear" w:color="auto" w:fill="FFFFFF"/>
                  <w:vAlign w:val="center"/>
                </w:tcPr>
                <w:p w14:paraId="048E386B">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A8CC6">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BOD</w:t>
                  </w:r>
                  <w:r>
                    <w:rPr>
                      <w:rFonts w:hint="default" w:ascii="Times New Roman" w:hAnsi="Times New Roman" w:eastAsia="宋体" w:cs="Times New Roman"/>
                      <w:i w:val="0"/>
                      <w:iCs w:val="0"/>
                      <w:color w:val="auto"/>
                      <w:kern w:val="0"/>
                      <w:sz w:val="20"/>
                      <w:szCs w:val="20"/>
                      <w:highlight w:val="none"/>
                      <w:u w:val="none"/>
                      <w:vertAlign w:val="subscript"/>
                      <w:lang w:val="en-US" w:eastAsia="zh-CN" w:bidi="ar"/>
                    </w:rPr>
                    <w:t>5</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D460C">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79.7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2CFC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1.543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E53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0.509 </w:t>
                  </w:r>
                </w:p>
              </w:tc>
            </w:tr>
            <w:tr w14:paraId="3A688E41">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2165A">
                  <w:pPr>
                    <w:widowControl/>
                    <w:spacing w:line="240" w:lineRule="auto"/>
                    <w:jc w:val="center"/>
                    <w:textAlignment w:val="center"/>
                    <w:rPr>
                      <w:color w:val="auto"/>
                      <w:sz w:val="21"/>
                      <w:szCs w:val="21"/>
                      <w:highlight w:val="none"/>
                    </w:rPr>
                  </w:pPr>
                  <w:r>
                    <w:rPr>
                      <w:color w:val="auto"/>
                      <w:kern w:val="0"/>
                      <w:sz w:val="20"/>
                      <w:szCs w:val="20"/>
                      <w:highlight w:val="none"/>
                    </w:rPr>
                    <w:t>3</w:t>
                  </w:r>
                </w:p>
              </w:tc>
              <w:tc>
                <w:tcPr>
                  <w:tcW w:w="743" w:type="pct"/>
                  <w:vMerge w:val="continue"/>
                  <w:tcBorders>
                    <w:left w:val="single" w:color="000000" w:sz="4" w:space="0"/>
                    <w:right w:val="single" w:color="000000" w:sz="4" w:space="0"/>
                  </w:tcBorders>
                  <w:shd w:val="clear" w:color="auto" w:fill="FFFFFF"/>
                  <w:vAlign w:val="center"/>
                </w:tcPr>
                <w:p w14:paraId="0BCFB121">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7F8E3">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SS</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D40D6">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66.7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B43AB">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1.291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7197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0.426 </w:t>
                  </w:r>
                </w:p>
              </w:tc>
            </w:tr>
            <w:tr w14:paraId="426435C1">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27B0D">
                  <w:pPr>
                    <w:widowControl/>
                    <w:spacing w:line="240" w:lineRule="auto"/>
                    <w:jc w:val="center"/>
                    <w:textAlignment w:val="center"/>
                    <w:rPr>
                      <w:color w:val="auto"/>
                      <w:sz w:val="21"/>
                      <w:szCs w:val="21"/>
                      <w:highlight w:val="none"/>
                    </w:rPr>
                  </w:pPr>
                  <w:r>
                    <w:rPr>
                      <w:color w:val="auto"/>
                      <w:kern w:val="0"/>
                      <w:sz w:val="20"/>
                      <w:szCs w:val="20"/>
                      <w:highlight w:val="none"/>
                    </w:rPr>
                    <w:t>4</w:t>
                  </w:r>
                </w:p>
              </w:tc>
              <w:tc>
                <w:tcPr>
                  <w:tcW w:w="743" w:type="pct"/>
                  <w:vMerge w:val="continue"/>
                  <w:tcBorders>
                    <w:left w:val="single" w:color="000000" w:sz="4" w:space="0"/>
                    <w:right w:val="single" w:color="000000" w:sz="4" w:space="0"/>
                  </w:tcBorders>
                  <w:shd w:val="clear" w:color="auto" w:fill="FFFFFF"/>
                  <w:vAlign w:val="center"/>
                </w:tcPr>
                <w:p w14:paraId="0F806E6D">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4A1A">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NH</w:t>
                  </w:r>
                  <w:r>
                    <w:rPr>
                      <w:rFonts w:hint="default" w:ascii="Times New Roman" w:hAnsi="Times New Roman" w:eastAsia="宋体" w:cs="Times New Roman"/>
                      <w:i w:val="0"/>
                      <w:iCs w:val="0"/>
                      <w:color w:val="auto"/>
                      <w:kern w:val="0"/>
                      <w:sz w:val="20"/>
                      <w:szCs w:val="20"/>
                      <w:highlight w:val="none"/>
                      <w:u w:val="none"/>
                      <w:vertAlign w:val="subscript"/>
                      <w:lang w:val="en-US" w:eastAsia="zh-CN" w:bidi="ar"/>
                    </w:rPr>
                    <w:t>3</w:t>
                  </w:r>
                  <w:r>
                    <w:rPr>
                      <w:rFonts w:hint="default" w:ascii="Times New Roman" w:hAnsi="Times New Roman" w:eastAsia="宋体" w:cs="Times New Roman"/>
                      <w:i w:val="0"/>
                      <w:iCs w:val="0"/>
                      <w:color w:val="auto"/>
                      <w:kern w:val="0"/>
                      <w:sz w:val="20"/>
                      <w:szCs w:val="20"/>
                      <w:highlight w:val="none"/>
                      <w:u w:val="none"/>
                      <w:lang w:val="en-US" w:eastAsia="zh-CN" w:bidi="ar"/>
                    </w:rPr>
                    <w:t>-N</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4C0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17.7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D77E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0.343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46B5F">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0.113 </w:t>
                  </w:r>
                </w:p>
              </w:tc>
            </w:tr>
            <w:tr w14:paraId="077D4B93">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93155">
                  <w:pPr>
                    <w:widowControl/>
                    <w:spacing w:line="240" w:lineRule="auto"/>
                    <w:jc w:val="center"/>
                    <w:textAlignment w:val="center"/>
                    <w:rPr>
                      <w:color w:val="auto"/>
                      <w:kern w:val="0"/>
                      <w:sz w:val="20"/>
                      <w:szCs w:val="20"/>
                      <w:highlight w:val="none"/>
                    </w:rPr>
                  </w:pPr>
                </w:p>
              </w:tc>
              <w:tc>
                <w:tcPr>
                  <w:tcW w:w="743" w:type="pct"/>
                  <w:vMerge w:val="continue"/>
                  <w:tcBorders>
                    <w:left w:val="single" w:color="000000" w:sz="4" w:space="0"/>
                    <w:right w:val="single" w:color="000000" w:sz="4" w:space="0"/>
                  </w:tcBorders>
                  <w:shd w:val="clear" w:color="auto" w:fill="FFFFFF"/>
                  <w:vAlign w:val="center"/>
                </w:tcPr>
                <w:p w14:paraId="49DECADB">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5429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总磷</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54C0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2.3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7980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0.045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B5CF2">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0.015 </w:t>
                  </w:r>
                </w:p>
              </w:tc>
            </w:tr>
            <w:tr w14:paraId="0113A258">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968BC">
                  <w:pPr>
                    <w:widowControl/>
                    <w:spacing w:line="240" w:lineRule="auto"/>
                    <w:jc w:val="center"/>
                    <w:textAlignment w:val="center"/>
                    <w:rPr>
                      <w:color w:val="auto"/>
                      <w:kern w:val="0"/>
                      <w:sz w:val="21"/>
                      <w:szCs w:val="21"/>
                      <w:highlight w:val="none"/>
                    </w:rPr>
                  </w:pPr>
                  <w:r>
                    <w:rPr>
                      <w:color w:val="auto"/>
                      <w:kern w:val="0"/>
                      <w:sz w:val="20"/>
                      <w:szCs w:val="20"/>
                      <w:highlight w:val="none"/>
                    </w:rPr>
                    <w:t>5</w:t>
                  </w:r>
                </w:p>
              </w:tc>
              <w:tc>
                <w:tcPr>
                  <w:tcW w:w="743" w:type="pct"/>
                  <w:vMerge w:val="continue"/>
                  <w:tcBorders>
                    <w:left w:val="single" w:color="000000" w:sz="4" w:space="0"/>
                    <w:right w:val="single" w:color="000000" w:sz="4" w:space="0"/>
                  </w:tcBorders>
                  <w:shd w:val="clear" w:color="auto" w:fill="FFFFFF"/>
                  <w:vAlign w:val="center"/>
                </w:tcPr>
                <w:p w14:paraId="37C94994">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39A1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LAS</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206A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2.8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3E2E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0.055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5AB5A">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0.018 </w:t>
                  </w:r>
                </w:p>
              </w:tc>
            </w:tr>
            <w:tr w14:paraId="25B6E9FB">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D856D">
                  <w:pPr>
                    <w:widowControl/>
                    <w:spacing w:line="240" w:lineRule="auto"/>
                    <w:jc w:val="center"/>
                    <w:textAlignment w:val="center"/>
                    <w:rPr>
                      <w:color w:val="auto"/>
                      <w:kern w:val="0"/>
                      <w:sz w:val="20"/>
                      <w:szCs w:val="20"/>
                      <w:highlight w:val="none"/>
                    </w:rPr>
                  </w:pPr>
                </w:p>
              </w:tc>
              <w:tc>
                <w:tcPr>
                  <w:tcW w:w="743" w:type="pct"/>
                  <w:vMerge w:val="continue"/>
                  <w:tcBorders>
                    <w:left w:val="single" w:color="000000" w:sz="4" w:space="0"/>
                    <w:right w:val="single" w:color="000000" w:sz="4" w:space="0"/>
                  </w:tcBorders>
                  <w:shd w:val="clear" w:color="auto" w:fill="FFFFFF"/>
                  <w:vAlign w:val="center"/>
                </w:tcPr>
                <w:p w14:paraId="1EB60B99">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A37B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TN</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EE0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27.5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1201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0.532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63E3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0.175 </w:t>
                  </w:r>
                </w:p>
              </w:tc>
            </w:tr>
            <w:tr w14:paraId="561A2DF7">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A7286">
                  <w:pPr>
                    <w:widowControl/>
                    <w:spacing w:line="240" w:lineRule="auto"/>
                    <w:jc w:val="center"/>
                    <w:textAlignment w:val="center"/>
                    <w:rPr>
                      <w:color w:val="auto"/>
                      <w:kern w:val="0"/>
                      <w:sz w:val="20"/>
                      <w:szCs w:val="20"/>
                      <w:highlight w:val="none"/>
                    </w:rPr>
                  </w:pPr>
                  <w:r>
                    <w:rPr>
                      <w:color w:val="auto"/>
                      <w:kern w:val="0"/>
                      <w:sz w:val="20"/>
                      <w:szCs w:val="20"/>
                      <w:highlight w:val="none"/>
                    </w:rPr>
                    <w:t>6</w:t>
                  </w:r>
                </w:p>
              </w:tc>
              <w:tc>
                <w:tcPr>
                  <w:tcW w:w="743" w:type="pct"/>
                  <w:vMerge w:val="continue"/>
                  <w:tcBorders>
                    <w:left w:val="single" w:color="000000" w:sz="4" w:space="0"/>
                    <w:right w:val="single" w:color="000000" w:sz="4" w:space="0"/>
                  </w:tcBorders>
                  <w:shd w:val="clear" w:color="auto" w:fill="FFFFFF"/>
                  <w:vAlign w:val="center"/>
                </w:tcPr>
                <w:p w14:paraId="4A174760">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B13C">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动植物油</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3D10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10.6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AFFF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0.206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8AE0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0.068 </w:t>
                  </w:r>
                </w:p>
              </w:tc>
            </w:tr>
            <w:tr w14:paraId="261FAD24">
              <w:tblPrEx>
                <w:tblCellMar>
                  <w:top w:w="0" w:type="dxa"/>
                  <w:left w:w="108" w:type="dxa"/>
                  <w:bottom w:w="0" w:type="dxa"/>
                  <w:right w:w="108" w:type="dxa"/>
                </w:tblCellMar>
              </w:tblPrEx>
              <w:trPr>
                <w:trHeight w:val="199"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DCC42">
                  <w:pPr>
                    <w:widowControl/>
                    <w:spacing w:line="240" w:lineRule="auto"/>
                    <w:jc w:val="center"/>
                    <w:textAlignment w:val="center"/>
                    <w:rPr>
                      <w:color w:val="auto"/>
                      <w:kern w:val="0"/>
                      <w:sz w:val="20"/>
                      <w:szCs w:val="20"/>
                      <w:highlight w:val="none"/>
                    </w:rPr>
                  </w:pPr>
                  <w:r>
                    <w:rPr>
                      <w:color w:val="auto"/>
                      <w:kern w:val="0"/>
                      <w:sz w:val="20"/>
                      <w:szCs w:val="20"/>
                      <w:highlight w:val="none"/>
                    </w:rPr>
                    <w:t>7</w:t>
                  </w:r>
                </w:p>
              </w:tc>
              <w:tc>
                <w:tcPr>
                  <w:tcW w:w="743" w:type="pct"/>
                  <w:vMerge w:val="continue"/>
                  <w:tcBorders>
                    <w:left w:val="single" w:color="000000" w:sz="4" w:space="0"/>
                    <w:right w:val="single" w:color="000000" w:sz="4" w:space="0"/>
                  </w:tcBorders>
                  <w:shd w:val="clear" w:color="auto" w:fill="FFFFFF"/>
                  <w:vAlign w:val="center"/>
                </w:tcPr>
                <w:p w14:paraId="679396B5">
                  <w:pPr>
                    <w:widowControl/>
                    <w:spacing w:line="240" w:lineRule="auto"/>
                    <w:jc w:val="center"/>
                    <w:rPr>
                      <w:color w:val="auto"/>
                      <w:sz w:val="21"/>
                      <w:szCs w:val="21"/>
                      <w:highlight w:val="none"/>
                    </w:rPr>
                  </w:pPr>
                </w:p>
              </w:tc>
              <w:tc>
                <w:tcPr>
                  <w:tcW w:w="2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C99A4">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0"/>
                      <w:szCs w:val="20"/>
                      <w:highlight w:val="none"/>
                      <w:u w:val="none"/>
                      <w:lang w:val="en-US" w:eastAsia="zh-CN" w:bidi="ar"/>
                    </w:rPr>
                    <w:t>石油类</w:t>
                  </w:r>
                </w:p>
              </w:tc>
              <w:tc>
                <w:tcPr>
                  <w:tcW w:w="2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EAA2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0.4 </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1328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0.009 </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67731">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 xml:space="preserve">0.003 </w:t>
                  </w:r>
                </w:p>
              </w:tc>
            </w:tr>
            <w:tr w14:paraId="29E2B5D0">
              <w:tblPrEx>
                <w:tblCellMar>
                  <w:top w:w="0" w:type="dxa"/>
                  <w:left w:w="108" w:type="dxa"/>
                  <w:bottom w:w="0" w:type="dxa"/>
                  <w:right w:w="108" w:type="dxa"/>
                </w:tblCellMar>
              </w:tblPrEx>
              <w:trPr>
                <w:trHeight w:val="199" w:hRule="atLeast"/>
              </w:trPr>
              <w:tc>
                <w:tcPr>
                  <w:tcW w:w="1088"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5BEFB8">
                  <w:pPr>
                    <w:widowControl/>
                    <w:spacing w:line="240" w:lineRule="auto"/>
                    <w:jc w:val="center"/>
                    <w:textAlignment w:val="center"/>
                    <w:rPr>
                      <w:color w:val="auto"/>
                      <w:sz w:val="21"/>
                      <w:szCs w:val="21"/>
                      <w:highlight w:val="none"/>
                    </w:rPr>
                  </w:pPr>
                  <w:r>
                    <w:rPr>
                      <w:color w:val="auto"/>
                      <w:kern w:val="0"/>
                      <w:sz w:val="21"/>
                      <w:szCs w:val="21"/>
                      <w:highlight w:val="none"/>
                    </w:rPr>
                    <w:t>全厂排放口合计</w:t>
                  </w: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6A74FA">
                  <w:pPr>
                    <w:widowControl/>
                    <w:jc w:val="center"/>
                    <w:textAlignment w:val="center"/>
                    <w:rPr>
                      <w:color w:val="auto"/>
                      <w:sz w:val="21"/>
                      <w:szCs w:val="21"/>
                      <w:highlight w:val="none"/>
                    </w:rPr>
                  </w:pPr>
                  <w:r>
                    <w:rPr>
                      <w:color w:val="auto"/>
                      <w:kern w:val="0"/>
                      <w:sz w:val="20"/>
                      <w:szCs w:val="20"/>
                      <w:highlight w:val="none"/>
                      <w:lang w:bidi="ar"/>
                    </w:rPr>
                    <w:t>COD</w:t>
                  </w:r>
                  <w:r>
                    <w:rPr>
                      <w:color w:val="auto"/>
                      <w:kern w:val="0"/>
                      <w:sz w:val="20"/>
                      <w:szCs w:val="20"/>
                      <w:highlight w:val="none"/>
                      <w:vertAlign w:val="subscript"/>
                      <w:lang w:bidi="ar"/>
                    </w:rPr>
                    <w:t>Cr</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D1D3">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0.778 </w:t>
                  </w:r>
                </w:p>
              </w:tc>
            </w:tr>
            <w:tr w14:paraId="746D5CD6">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2A87B">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9A867D">
                  <w:pPr>
                    <w:widowControl/>
                    <w:jc w:val="center"/>
                    <w:textAlignment w:val="center"/>
                    <w:rPr>
                      <w:color w:val="auto"/>
                      <w:sz w:val="21"/>
                      <w:szCs w:val="21"/>
                      <w:highlight w:val="none"/>
                    </w:rPr>
                  </w:pPr>
                  <w:r>
                    <w:rPr>
                      <w:color w:val="auto"/>
                      <w:kern w:val="0"/>
                      <w:sz w:val="20"/>
                      <w:szCs w:val="20"/>
                      <w:highlight w:val="none"/>
                      <w:lang w:bidi="ar"/>
                    </w:rPr>
                    <w:t>BOD</w:t>
                  </w:r>
                  <w:r>
                    <w:rPr>
                      <w:color w:val="auto"/>
                      <w:kern w:val="0"/>
                      <w:sz w:val="20"/>
                      <w:szCs w:val="20"/>
                      <w:highlight w:val="none"/>
                      <w:vertAlign w:val="subscript"/>
                      <w:lang w:bidi="ar"/>
                    </w:rPr>
                    <w:t>5</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227B">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0.509 </w:t>
                  </w:r>
                </w:p>
              </w:tc>
            </w:tr>
            <w:tr w14:paraId="1BD548DB">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ECEC7">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F4F03E">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SS</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85F89">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0.426 </w:t>
                  </w:r>
                </w:p>
              </w:tc>
            </w:tr>
            <w:tr w14:paraId="2B5B39FB">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0E66E">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E519B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NH</w:t>
                  </w:r>
                  <w:r>
                    <w:rPr>
                      <w:rFonts w:hint="default" w:ascii="Times New Roman" w:hAnsi="Times New Roman" w:eastAsia="宋体" w:cs="Times New Roman"/>
                      <w:i w:val="0"/>
                      <w:iCs w:val="0"/>
                      <w:color w:val="auto"/>
                      <w:kern w:val="0"/>
                      <w:sz w:val="20"/>
                      <w:szCs w:val="20"/>
                      <w:highlight w:val="none"/>
                      <w:u w:val="none"/>
                      <w:vertAlign w:val="subscript"/>
                      <w:lang w:val="en-US" w:eastAsia="zh-CN" w:bidi="ar"/>
                    </w:rPr>
                    <w:t>3</w:t>
                  </w:r>
                  <w:r>
                    <w:rPr>
                      <w:rFonts w:hint="default" w:ascii="Times New Roman" w:hAnsi="Times New Roman" w:eastAsia="宋体" w:cs="Times New Roman"/>
                      <w:i w:val="0"/>
                      <w:iCs w:val="0"/>
                      <w:color w:val="auto"/>
                      <w:kern w:val="0"/>
                      <w:sz w:val="20"/>
                      <w:szCs w:val="20"/>
                      <w:highlight w:val="none"/>
                      <w:u w:val="none"/>
                      <w:lang w:val="en-US" w:eastAsia="zh-CN" w:bidi="ar"/>
                    </w:rPr>
                    <w:t>-N</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6023E">
                  <w:pPr>
                    <w:keepNext w:val="0"/>
                    <w:keepLines w:val="0"/>
                    <w:widowControl/>
                    <w:suppressLineNumbers w:val="0"/>
                    <w:jc w:val="center"/>
                    <w:textAlignment w:val="center"/>
                    <w:rPr>
                      <w:color w:val="auto"/>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0.113 </w:t>
                  </w:r>
                </w:p>
              </w:tc>
            </w:tr>
            <w:tr w14:paraId="6B013D4C">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4D16E">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7A82FE">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总磷</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AAFDA">
                  <w:pPr>
                    <w:keepNext w:val="0"/>
                    <w:keepLines w:val="0"/>
                    <w:widowControl/>
                    <w:suppressLineNumbers w:val="0"/>
                    <w:jc w:val="center"/>
                    <w:textAlignment w:val="center"/>
                    <w:rPr>
                      <w:color w:val="auto"/>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0.015 </w:t>
                  </w:r>
                </w:p>
              </w:tc>
            </w:tr>
            <w:tr w14:paraId="13848D61">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F5473">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AB804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LAS</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31CF3">
                  <w:pPr>
                    <w:keepNext w:val="0"/>
                    <w:keepLines w:val="0"/>
                    <w:widowControl/>
                    <w:suppressLineNumbers w:val="0"/>
                    <w:jc w:val="center"/>
                    <w:textAlignment w:val="center"/>
                    <w:rPr>
                      <w:color w:val="auto"/>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0.018 </w:t>
                  </w:r>
                </w:p>
              </w:tc>
            </w:tr>
            <w:tr w14:paraId="7160753E">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F38BC">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5DC8E2">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TN</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F3178">
                  <w:pPr>
                    <w:keepNext w:val="0"/>
                    <w:keepLines w:val="0"/>
                    <w:widowControl/>
                    <w:suppressLineNumbers w:val="0"/>
                    <w:jc w:val="center"/>
                    <w:textAlignment w:val="center"/>
                    <w:rPr>
                      <w:color w:val="auto"/>
                      <w:kern w:val="0"/>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0.175 </w:t>
                  </w:r>
                </w:p>
              </w:tc>
            </w:tr>
            <w:tr w14:paraId="151FACA5">
              <w:tblPrEx>
                <w:tblCellMar>
                  <w:top w:w="0" w:type="dxa"/>
                  <w:left w:w="108" w:type="dxa"/>
                  <w:bottom w:w="0" w:type="dxa"/>
                  <w:right w:w="108" w:type="dxa"/>
                </w:tblCellMar>
              </w:tblPrEx>
              <w:trPr>
                <w:trHeight w:val="199"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A2B6C">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6D345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动植物油</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B240B">
                  <w:pPr>
                    <w:keepNext w:val="0"/>
                    <w:keepLines w:val="0"/>
                    <w:widowControl/>
                    <w:suppressLineNumbers w:val="0"/>
                    <w:jc w:val="center"/>
                    <w:textAlignment w:val="center"/>
                    <w:rPr>
                      <w:color w:val="auto"/>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0.068 </w:t>
                  </w:r>
                </w:p>
              </w:tc>
            </w:tr>
            <w:tr w14:paraId="054CC31C">
              <w:tblPrEx>
                <w:tblCellMar>
                  <w:top w:w="0" w:type="dxa"/>
                  <w:left w:w="108" w:type="dxa"/>
                  <w:bottom w:w="0" w:type="dxa"/>
                  <w:right w:w="108" w:type="dxa"/>
                </w:tblCellMar>
              </w:tblPrEx>
              <w:trPr>
                <w:trHeight w:val="204" w:hRule="atLeast"/>
              </w:trPr>
              <w:tc>
                <w:tcPr>
                  <w:tcW w:w="1088"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A063D">
                  <w:pPr>
                    <w:widowControl/>
                    <w:spacing w:line="240" w:lineRule="auto"/>
                    <w:jc w:val="center"/>
                    <w:rPr>
                      <w:color w:val="auto"/>
                      <w:sz w:val="21"/>
                      <w:szCs w:val="21"/>
                      <w:highlight w:val="none"/>
                    </w:rPr>
                  </w:pPr>
                </w:p>
              </w:tc>
              <w:tc>
                <w:tcPr>
                  <w:tcW w:w="80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BE2D30">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石油类</w:t>
                  </w:r>
                </w:p>
              </w:tc>
              <w:tc>
                <w:tcPr>
                  <w:tcW w:w="26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CFD7">
                  <w:pPr>
                    <w:keepNext w:val="0"/>
                    <w:keepLines w:val="0"/>
                    <w:widowControl/>
                    <w:suppressLineNumbers w:val="0"/>
                    <w:jc w:val="center"/>
                    <w:textAlignment w:val="center"/>
                    <w:rPr>
                      <w:color w:val="auto"/>
                      <w:sz w:val="22"/>
                      <w:szCs w:val="2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r>
          </w:tbl>
          <w:p w14:paraId="27740CAA">
            <w:pPr>
              <w:keepNext/>
              <w:keepLines/>
              <w:tabs>
                <w:tab w:val="left" w:pos="0"/>
              </w:tabs>
              <w:ind w:firstLine="480" w:firstLineChars="200"/>
              <w:outlineLvl w:val="3"/>
              <w:rPr>
                <w:b/>
                <w:bCs/>
                <w:color w:val="auto"/>
                <w:highlight w:val="none"/>
              </w:rPr>
            </w:pPr>
            <w:r>
              <w:rPr>
                <w:b/>
                <w:bCs/>
                <w:color w:val="auto"/>
                <w:highlight w:val="none"/>
              </w:rPr>
              <w:t>4、污染治理设施情况</w:t>
            </w:r>
          </w:p>
          <w:p w14:paraId="1EA0CDCE">
            <w:pPr>
              <w:adjustRightInd w:val="0"/>
              <w:ind w:firstLine="480" w:firstLineChars="200"/>
              <w:rPr>
                <w:color w:val="auto"/>
                <w:highlight w:val="none"/>
              </w:rPr>
            </w:pPr>
            <w:r>
              <w:rPr>
                <w:color w:val="auto"/>
                <w:highlight w:val="none"/>
              </w:rPr>
              <w:t>本项目位于园区污水处理厂纳污范围内，生活污水经三级化粪池、隔油隔渣池预处理、生产废水经自建污水处理处理后经综合废水排放口DW001进入园区污水处理厂处理。处理后达到广东省地方标准《水污染物排放限值》（DB44/26-2001）第二时段三级标准及园区污水处理厂接管水质要求两者较严值后排入园区污水处理厂。</w:t>
            </w:r>
          </w:p>
          <w:p w14:paraId="0231B6F3">
            <w:pPr>
              <w:tabs>
                <w:tab w:val="left" w:pos="0"/>
              </w:tabs>
              <w:autoSpaceDE w:val="0"/>
              <w:autoSpaceDN w:val="0"/>
              <w:ind w:firstLine="40"/>
              <w:jc w:val="center"/>
              <w:textAlignment w:val="baseline"/>
              <w:rPr>
                <w:b/>
                <w:color w:val="auto"/>
                <w:sz w:val="21"/>
                <w:szCs w:val="21"/>
                <w:highlight w:val="none"/>
              </w:rPr>
            </w:pPr>
            <w:r>
              <w:rPr>
                <w:b/>
                <w:color w:val="auto"/>
                <w:sz w:val="21"/>
                <w:szCs w:val="21"/>
                <w:highlight w:val="none"/>
              </w:rPr>
              <w:t>表4-18 废水类别、污染物及污染治理设施信息表</w:t>
            </w:r>
          </w:p>
          <w:tbl>
            <w:tblPr>
              <w:tblStyle w:val="49"/>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01"/>
              <w:gridCol w:w="1848"/>
              <w:gridCol w:w="874"/>
              <w:gridCol w:w="1517"/>
              <w:gridCol w:w="1144"/>
              <w:gridCol w:w="1338"/>
              <w:gridCol w:w="1276"/>
              <w:gridCol w:w="893"/>
              <w:gridCol w:w="1320"/>
              <w:gridCol w:w="2373"/>
            </w:tblGrid>
            <w:tr w14:paraId="346BC0D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334" w:type="pct"/>
                  <w:vMerge w:val="restart"/>
                  <w:vAlign w:val="center"/>
                </w:tcPr>
                <w:p w14:paraId="4D2957F7">
                  <w:pPr>
                    <w:pStyle w:val="64"/>
                    <w:keepNext/>
                    <w:keepLines/>
                    <w:widowControl w:val="0"/>
                    <w:adjustRightInd w:val="0"/>
                    <w:snapToGrid w:val="0"/>
                    <w:spacing w:line="276" w:lineRule="auto"/>
                    <w:rPr>
                      <w:b/>
                      <w:bCs/>
                      <w:color w:val="auto"/>
                      <w:kern w:val="2"/>
                      <w:highlight w:val="none"/>
                    </w:rPr>
                  </w:pPr>
                  <w:r>
                    <w:rPr>
                      <w:b/>
                      <w:bCs/>
                      <w:color w:val="auto"/>
                      <w:kern w:val="2"/>
                      <w:highlight w:val="none"/>
                    </w:rPr>
                    <w:t>废水类别</w:t>
                  </w:r>
                </w:p>
              </w:tc>
              <w:tc>
                <w:tcPr>
                  <w:tcW w:w="685" w:type="pct"/>
                  <w:vMerge w:val="restart"/>
                  <w:vAlign w:val="center"/>
                </w:tcPr>
                <w:p w14:paraId="47F85F0E">
                  <w:pPr>
                    <w:pStyle w:val="64"/>
                    <w:keepNext/>
                    <w:keepLines/>
                    <w:widowControl w:val="0"/>
                    <w:adjustRightInd w:val="0"/>
                    <w:snapToGrid w:val="0"/>
                    <w:spacing w:line="276" w:lineRule="auto"/>
                    <w:rPr>
                      <w:b/>
                      <w:bCs/>
                      <w:color w:val="auto"/>
                      <w:kern w:val="2"/>
                      <w:highlight w:val="none"/>
                    </w:rPr>
                  </w:pPr>
                  <w:r>
                    <w:rPr>
                      <w:b/>
                      <w:bCs/>
                      <w:color w:val="auto"/>
                      <w:kern w:val="2"/>
                      <w:highlight w:val="none"/>
                    </w:rPr>
                    <w:t>污染物种类</w:t>
                  </w:r>
                </w:p>
              </w:tc>
              <w:tc>
                <w:tcPr>
                  <w:tcW w:w="324" w:type="pct"/>
                  <w:vMerge w:val="restart"/>
                  <w:vAlign w:val="center"/>
                </w:tcPr>
                <w:p w14:paraId="36B6EADA">
                  <w:pPr>
                    <w:pStyle w:val="64"/>
                    <w:keepNext/>
                    <w:keepLines/>
                    <w:widowControl w:val="0"/>
                    <w:adjustRightInd w:val="0"/>
                    <w:snapToGrid w:val="0"/>
                    <w:spacing w:line="276" w:lineRule="auto"/>
                    <w:rPr>
                      <w:b/>
                      <w:bCs/>
                      <w:color w:val="auto"/>
                      <w:kern w:val="2"/>
                      <w:highlight w:val="none"/>
                    </w:rPr>
                  </w:pPr>
                  <w:r>
                    <w:rPr>
                      <w:b/>
                      <w:bCs/>
                      <w:color w:val="auto"/>
                      <w:kern w:val="2"/>
                      <w:highlight w:val="none"/>
                    </w:rPr>
                    <w:t>排放去向</w:t>
                  </w:r>
                </w:p>
              </w:tc>
              <w:tc>
                <w:tcPr>
                  <w:tcW w:w="562" w:type="pct"/>
                  <w:vMerge w:val="restart"/>
                  <w:vAlign w:val="center"/>
                </w:tcPr>
                <w:p w14:paraId="53931DE2">
                  <w:pPr>
                    <w:pStyle w:val="64"/>
                    <w:keepNext/>
                    <w:keepLines/>
                    <w:widowControl w:val="0"/>
                    <w:adjustRightInd w:val="0"/>
                    <w:snapToGrid w:val="0"/>
                    <w:spacing w:line="276" w:lineRule="auto"/>
                    <w:rPr>
                      <w:b/>
                      <w:bCs/>
                      <w:color w:val="auto"/>
                      <w:kern w:val="2"/>
                      <w:highlight w:val="none"/>
                    </w:rPr>
                  </w:pPr>
                  <w:r>
                    <w:rPr>
                      <w:b/>
                      <w:bCs/>
                      <w:color w:val="auto"/>
                      <w:kern w:val="2"/>
                      <w:highlight w:val="none"/>
                    </w:rPr>
                    <w:t>排放规律</w:t>
                  </w:r>
                </w:p>
              </w:tc>
              <w:tc>
                <w:tcPr>
                  <w:tcW w:w="1393" w:type="pct"/>
                  <w:gridSpan w:val="3"/>
                  <w:vAlign w:val="center"/>
                </w:tcPr>
                <w:p w14:paraId="51DF3B01">
                  <w:pPr>
                    <w:pStyle w:val="64"/>
                    <w:keepNext/>
                    <w:keepLines/>
                    <w:widowControl w:val="0"/>
                    <w:adjustRightInd w:val="0"/>
                    <w:snapToGrid w:val="0"/>
                    <w:spacing w:line="276" w:lineRule="auto"/>
                    <w:rPr>
                      <w:b/>
                      <w:bCs/>
                      <w:color w:val="auto"/>
                      <w:kern w:val="2"/>
                      <w:highlight w:val="none"/>
                    </w:rPr>
                  </w:pPr>
                  <w:r>
                    <w:rPr>
                      <w:b/>
                      <w:bCs/>
                      <w:color w:val="auto"/>
                      <w:kern w:val="2"/>
                      <w:highlight w:val="none"/>
                    </w:rPr>
                    <w:t>污染治理设施</w:t>
                  </w:r>
                </w:p>
              </w:tc>
              <w:tc>
                <w:tcPr>
                  <w:tcW w:w="331" w:type="pct"/>
                  <w:vMerge w:val="restart"/>
                  <w:vAlign w:val="center"/>
                </w:tcPr>
                <w:p w14:paraId="119E8763">
                  <w:pPr>
                    <w:pStyle w:val="64"/>
                    <w:keepNext/>
                    <w:keepLines/>
                    <w:widowControl w:val="0"/>
                    <w:adjustRightInd w:val="0"/>
                    <w:snapToGrid w:val="0"/>
                    <w:spacing w:line="276" w:lineRule="auto"/>
                    <w:rPr>
                      <w:b/>
                      <w:bCs/>
                      <w:color w:val="auto"/>
                      <w:kern w:val="2"/>
                      <w:highlight w:val="none"/>
                    </w:rPr>
                  </w:pPr>
                  <w:r>
                    <w:rPr>
                      <w:b/>
                      <w:bCs/>
                      <w:color w:val="auto"/>
                      <w:kern w:val="2"/>
                      <w:highlight w:val="none"/>
                    </w:rPr>
                    <w:t>排放口编号</w:t>
                  </w:r>
                </w:p>
              </w:tc>
              <w:tc>
                <w:tcPr>
                  <w:tcW w:w="489" w:type="pct"/>
                  <w:vMerge w:val="restart"/>
                  <w:vAlign w:val="center"/>
                </w:tcPr>
                <w:p w14:paraId="6846B0F2">
                  <w:pPr>
                    <w:pStyle w:val="64"/>
                    <w:keepNext/>
                    <w:keepLines/>
                    <w:widowControl w:val="0"/>
                    <w:adjustRightInd w:val="0"/>
                    <w:snapToGrid w:val="0"/>
                    <w:spacing w:line="276" w:lineRule="auto"/>
                    <w:rPr>
                      <w:b/>
                      <w:bCs/>
                      <w:color w:val="auto"/>
                      <w:kern w:val="2"/>
                      <w:highlight w:val="none"/>
                    </w:rPr>
                  </w:pPr>
                  <w:r>
                    <w:rPr>
                      <w:b/>
                      <w:bCs/>
                      <w:color w:val="auto"/>
                      <w:kern w:val="2"/>
                      <w:highlight w:val="none"/>
                    </w:rPr>
                    <w:t>排放口设置是否符合要求</w:t>
                  </w:r>
                </w:p>
              </w:tc>
              <w:tc>
                <w:tcPr>
                  <w:tcW w:w="879" w:type="pct"/>
                  <w:vMerge w:val="restart"/>
                  <w:vAlign w:val="center"/>
                </w:tcPr>
                <w:p w14:paraId="57D27840">
                  <w:pPr>
                    <w:pStyle w:val="64"/>
                    <w:keepNext/>
                    <w:keepLines/>
                    <w:widowControl w:val="0"/>
                    <w:adjustRightInd w:val="0"/>
                    <w:snapToGrid w:val="0"/>
                    <w:spacing w:line="276" w:lineRule="auto"/>
                    <w:rPr>
                      <w:b/>
                      <w:bCs/>
                      <w:color w:val="auto"/>
                      <w:kern w:val="2"/>
                      <w:highlight w:val="none"/>
                    </w:rPr>
                  </w:pPr>
                  <w:r>
                    <w:rPr>
                      <w:b/>
                      <w:bCs/>
                      <w:color w:val="auto"/>
                      <w:kern w:val="2"/>
                      <w:highlight w:val="none"/>
                    </w:rPr>
                    <w:t>排放口类型</w:t>
                  </w:r>
                </w:p>
              </w:tc>
            </w:tr>
            <w:tr w14:paraId="35D10EC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89" w:hRule="atLeast"/>
                <w:jc w:val="center"/>
              </w:trPr>
              <w:tc>
                <w:tcPr>
                  <w:tcW w:w="334" w:type="pct"/>
                  <w:vMerge w:val="continue"/>
                  <w:vAlign w:val="center"/>
                </w:tcPr>
                <w:p w14:paraId="741D7E54">
                  <w:pPr>
                    <w:keepNext/>
                    <w:keepLines/>
                    <w:adjustRightInd w:val="0"/>
                    <w:snapToGrid w:val="0"/>
                    <w:spacing w:line="276" w:lineRule="auto"/>
                    <w:jc w:val="center"/>
                    <w:rPr>
                      <w:color w:val="auto"/>
                      <w:sz w:val="21"/>
                      <w:szCs w:val="21"/>
                      <w:highlight w:val="none"/>
                    </w:rPr>
                  </w:pPr>
                </w:p>
              </w:tc>
              <w:tc>
                <w:tcPr>
                  <w:tcW w:w="685" w:type="pct"/>
                  <w:vMerge w:val="continue"/>
                  <w:vAlign w:val="center"/>
                </w:tcPr>
                <w:p w14:paraId="791EE993">
                  <w:pPr>
                    <w:keepNext/>
                    <w:keepLines/>
                    <w:adjustRightInd w:val="0"/>
                    <w:snapToGrid w:val="0"/>
                    <w:spacing w:line="276" w:lineRule="auto"/>
                    <w:jc w:val="center"/>
                    <w:rPr>
                      <w:color w:val="auto"/>
                      <w:sz w:val="21"/>
                      <w:szCs w:val="21"/>
                      <w:highlight w:val="none"/>
                    </w:rPr>
                  </w:pPr>
                </w:p>
              </w:tc>
              <w:tc>
                <w:tcPr>
                  <w:tcW w:w="324" w:type="pct"/>
                  <w:vMerge w:val="continue"/>
                  <w:vAlign w:val="center"/>
                </w:tcPr>
                <w:p w14:paraId="4543A74B">
                  <w:pPr>
                    <w:keepNext/>
                    <w:keepLines/>
                    <w:adjustRightInd w:val="0"/>
                    <w:snapToGrid w:val="0"/>
                    <w:spacing w:line="276" w:lineRule="auto"/>
                    <w:jc w:val="center"/>
                    <w:rPr>
                      <w:color w:val="auto"/>
                      <w:sz w:val="21"/>
                      <w:szCs w:val="21"/>
                      <w:highlight w:val="none"/>
                    </w:rPr>
                  </w:pPr>
                </w:p>
              </w:tc>
              <w:tc>
                <w:tcPr>
                  <w:tcW w:w="562" w:type="pct"/>
                  <w:vMerge w:val="continue"/>
                  <w:vAlign w:val="center"/>
                </w:tcPr>
                <w:p w14:paraId="0FE44BF4">
                  <w:pPr>
                    <w:keepNext/>
                    <w:keepLines/>
                    <w:adjustRightInd w:val="0"/>
                    <w:snapToGrid w:val="0"/>
                    <w:spacing w:line="276" w:lineRule="auto"/>
                    <w:jc w:val="center"/>
                    <w:rPr>
                      <w:color w:val="auto"/>
                      <w:sz w:val="21"/>
                      <w:szCs w:val="21"/>
                      <w:highlight w:val="none"/>
                    </w:rPr>
                  </w:pPr>
                </w:p>
              </w:tc>
              <w:tc>
                <w:tcPr>
                  <w:tcW w:w="424" w:type="pct"/>
                  <w:vAlign w:val="center"/>
                </w:tcPr>
                <w:p w14:paraId="7D290D36">
                  <w:pPr>
                    <w:pStyle w:val="64"/>
                    <w:keepNext/>
                    <w:keepLines/>
                    <w:widowControl w:val="0"/>
                    <w:adjustRightInd w:val="0"/>
                    <w:snapToGrid w:val="0"/>
                    <w:spacing w:line="276" w:lineRule="auto"/>
                    <w:rPr>
                      <w:b/>
                      <w:bCs/>
                      <w:color w:val="auto"/>
                      <w:kern w:val="2"/>
                      <w:highlight w:val="none"/>
                    </w:rPr>
                  </w:pPr>
                  <w:r>
                    <w:rPr>
                      <w:b/>
                      <w:bCs/>
                      <w:color w:val="auto"/>
                      <w:kern w:val="2"/>
                      <w:highlight w:val="none"/>
                    </w:rPr>
                    <w:t>污染治理设施编号</w:t>
                  </w:r>
                </w:p>
              </w:tc>
              <w:tc>
                <w:tcPr>
                  <w:tcW w:w="496" w:type="pct"/>
                  <w:vAlign w:val="center"/>
                </w:tcPr>
                <w:p w14:paraId="56716ADE">
                  <w:pPr>
                    <w:pStyle w:val="64"/>
                    <w:keepNext/>
                    <w:keepLines/>
                    <w:widowControl w:val="0"/>
                    <w:adjustRightInd w:val="0"/>
                    <w:snapToGrid w:val="0"/>
                    <w:spacing w:line="276" w:lineRule="auto"/>
                    <w:rPr>
                      <w:b/>
                      <w:bCs/>
                      <w:color w:val="auto"/>
                      <w:kern w:val="2"/>
                      <w:highlight w:val="none"/>
                    </w:rPr>
                  </w:pPr>
                  <w:r>
                    <w:rPr>
                      <w:b/>
                      <w:bCs/>
                      <w:color w:val="auto"/>
                      <w:kern w:val="2"/>
                      <w:highlight w:val="none"/>
                    </w:rPr>
                    <w:t>污染治理设施名称</w:t>
                  </w:r>
                </w:p>
              </w:tc>
              <w:tc>
                <w:tcPr>
                  <w:tcW w:w="473" w:type="pct"/>
                  <w:vAlign w:val="center"/>
                </w:tcPr>
                <w:p w14:paraId="218B009C">
                  <w:pPr>
                    <w:pStyle w:val="64"/>
                    <w:keepNext/>
                    <w:keepLines/>
                    <w:widowControl w:val="0"/>
                    <w:adjustRightInd w:val="0"/>
                    <w:snapToGrid w:val="0"/>
                    <w:spacing w:line="276" w:lineRule="auto"/>
                    <w:rPr>
                      <w:b/>
                      <w:bCs/>
                      <w:color w:val="auto"/>
                      <w:kern w:val="2"/>
                      <w:highlight w:val="none"/>
                    </w:rPr>
                  </w:pPr>
                  <w:r>
                    <w:rPr>
                      <w:b/>
                      <w:bCs/>
                      <w:color w:val="auto"/>
                      <w:kern w:val="2"/>
                      <w:highlight w:val="none"/>
                    </w:rPr>
                    <w:t>污染治理设施工艺</w:t>
                  </w:r>
                </w:p>
              </w:tc>
              <w:tc>
                <w:tcPr>
                  <w:tcW w:w="331" w:type="pct"/>
                  <w:vMerge w:val="continue"/>
                  <w:vAlign w:val="center"/>
                </w:tcPr>
                <w:p w14:paraId="4F686A41">
                  <w:pPr>
                    <w:keepNext/>
                    <w:keepLines/>
                    <w:adjustRightInd w:val="0"/>
                    <w:snapToGrid w:val="0"/>
                    <w:spacing w:line="276" w:lineRule="auto"/>
                    <w:jc w:val="center"/>
                    <w:rPr>
                      <w:color w:val="auto"/>
                      <w:sz w:val="21"/>
                      <w:szCs w:val="21"/>
                      <w:highlight w:val="none"/>
                    </w:rPr>
                  </w:pPr>
                </w:p>
              </w:tc>
              <w:tc>
                <w:tcPr>
                  <w:tcW w:w="489" w:type="pct"/>
                  <w:vMerge w:val="continue"/>
                  <w:vAlign w:val="center"/>
                </w:tcPr>
                <w:p w14:paraId="465FF194">
                  <w:pPr>
                    <w:keepNext/>
                    <w:keepLines/>
                    <w:adjustRightInd w:val="0"/>
                    <w:snapToGrid w:val="0"/>
                    <w:spacing w:line="276" w:lineRule="auto"/>
                    <w:jc w:val="center"/>
                    <w:rPr>
                      <w:color w:val="auto"/>
                      <w:sz w:val="21"/>
                      <w:szCs w:val="21"/>
                      <w:highlight w:val="none"/>
                    </w:rPr>
                  </w:pPr>
                </w:p>
              </w:tc>
              <w:tc>
                <w:tcPr>
                  <w:tcW w:w="879" w:type="pct"/>
                  <w:vMerge w:val="continue"/>
                  <w:vAlign w:val="center"/>
                </w:tcPr>
                <w:p w14:paraId="32037992">
                  <w:pPr>
                    <w:keepNext/>
                    <w:keepLines/>
                    <w:adjustRightInd w:val="0"/>
                    <w:snapToGrid w:val="0"/>
                    <w:spacing w:line="276" w:lineRule="auto"/>
                    <w:jc w:val="center"/>
                    <w:rPr>
                      <w:color w:val="auto"/>
                      <w:sz w:val="21"/>
                      <w:szCs w:val="21"/>
                      <w:highlight w:val="none"/>
                    </w:rPr>
                  </w:pPr>
                </w:p>
              </w:tc>
            </w:tr>
            <w:tr w14:paraId="088D77F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38" w:hRule="atLeast"/>
                <w:jc w:val="center"/>
              </w:trPr>
              <w:tc>
                <w:tcPr>
                  <w:tcW w:w="334" w:type="pct"/>
                  <w:vAlign w:val="center"/>
                </w:tcPr>
                <w:p w14:paraId="1929222F">
                  <w:pPr>
                    <w:pStyle w:val="64"/>
                    <w:keepNext/>
                    <w:keepLines/>
                    <w:widowControl w:val="0"/>
                    <w:adjustRightInd w:val="0"/>
                    <w:snapToGrid w:val="0"/>
                    <w:spacing w:line="276" w:lineRule="auto"/>
                    <w:rPr>
                      <w:color w:val="auto"/>
                      <w:kern w:val="2"/>
                      <w:highlight w:val="none"/>
                    </w:rPr>
                  </w:pPr>
                  <w:r>
                    <w:rPr>
                      <w:color w:val="auto"/>
                      <w:kern w:val="2"/>
                      <w:highlight w:val="none"/>
                    </w:rPr>
                    <w:t>生活污水</w:t>
                  </w:r>
                </w:p>
              </w:tc>
              <w:tc>
                <w:tcPr>
                  <w:tcW w:w="685" w:type="pct"/>
                  <w:vAlign w:val="center"/>
                </w:tcPr>
                <w:p w14:paraId="0FC022F3">
                  <w:pPr>
                    <w:pStyle w:val="64"/>
                    <w:keepNext/>
                    <w:keepLines/>
                    <w:widowControl w:val="0"/>
                    <w:adjustRightInd w:val="0"/>
                    <w:snapToGrid w:val="0"/>
                    <w:spacing w:line="276" w:lineRule="auto"/>
                    <w:rPr>
                      <w:color w:val="auto"/>
                      <w:kern w:val="2"/>
                      <w:highlight w:val="none"/>
                    </w:rPr>
                  </w:pPr>
                  <w:r>
                    <w:rPr>
                      <w:color w:val="auto"/>
                      <w:kern w:val="2"/>
                      <w:highlight w:val="none"/>
                    </w:rPr>
                    <w:t>pH、COD</w:t>
                  </w:r>
                  <w:r>
                    <w:rPr>
                      <w:color w:val="auto"/>
                      <w:kern w:val="2"/>
                      <w:highlight w:val="none"/>
                      <w:vertAlign w:val="subscript"/>
                    </w:rPr>
                    <w:t>Cr</w:t>
                  </w:r>
                  <w:r>
                    <w:rPr>
                      <w:color w:val="auto"/>
                      <w:kern w:val="2"/>
                      <w:highlight w:val="none"/>
                    </w:rPr>
                    <w:t>、BOD</w:t>
                  </w:r>
                  <w:r>
                    <w:rPr>
                      <w:color w:val="auto"/>
                      <w:kern w:val="2"/>
                      <w:highlight w:val="none"/>
                      <w:vertAlign w:val="subscript"/>
                    </w:rPr>
                    <w:t>5</w:t>
                  </w:r>
                  <w:r>
                    <w:rPr>
                      <w:color w:val="auto"/>
                      <w:kern w:val="2"/>
                      <w:highlight w:val="none"/>
                    </w:rPr>
                    <w:t>、SS、氨氮、总磷、动植物油</w:t>
                  </w:r>
                </w:p>
              </w:tc>
              <w:tc>
                <w:tcPr>
                  <w:tcW w:w="324" w:type="pct"/>
                  <w:vMerge w:val="restart"/>
                  <w:vAlign w:val="center"/>
                </w:tcPr>
                <w:p w14:paraId="095A3CBA">
                  <w:pPr>
                    <w:pStyle w:val="64"/>
                    <w:keepNext/>
                    <w:keepLines/>
                    <w:widowControl w:val="0"/>
                    <w:adjustRightInd w:val="0"/>
                    <w:snapToGrid w:val="0"/>
                    <w:spacing w:line="276" w:lineRule="auto"/>
                    <w:rPr>
                      <w:color w:val="auto"/>
                      <w:kern w:val="2"/>
                      <w:highlight w:val="none"/>
                    </w:rPr>
                  </w:pPr>
                  <w:r>
                    <w:rPr>
                      <w:color w:val="auto"/>
                      <w:kern w:val="2"/>
                      <w:highlight w:val="none"/>
                    </w:rPr>
                    <w:t>进入园区污水处理厂</w:t>
                  </w:r>
                </w:p>
              </w:tc>
              <w:tc>
                <w:tcPr>
                  <w:tcW w:w="562" w:type="pct"/>
                  <w:vMerge w:val="restart"/>
                  <w:vAlign w:val="center"/>
                </w:tcPr>
                <w:p w14:paraId="292E7980">
                  <w:pPr>
                    <w:pStyle w:val="64"/>
                    <w:keepNext/>
                    <w:keepLines/>
                    <w:widowControl w:val="0"/>
                    <w:adjustRightInd w:val="0"/>
                    <w:snapToGrid w:val="0"/>
                    <w:spacing w:line="276" w:lineRule="auto"/>
                    <w:rPr>
                      <w:color w:val="auto"/>
                      <w:kern w:val="2"/>
                      <w:highlight w:val="none"/>
                    </w:rPr>
                  </w:pPr>
                  <w:r>
                    <w:rPr>
                      <w:color w:val="auto"/>
                      <w:kern w:val="2"/>
                      <w:highlight w:val="none"/>
                    </w:rPr>
                    <w:t>间歇排放，流量不稳定，但不属于冲击型排放</w:t>
                  </w:r>
                </w:p>
              </w:tc>
              <w:tc>
                <w:tcPr>
                  <w:tcW w:w="424" w:type="pct"/>
                  <w:vAlign w:val="center"/>
                </w:tcPr>
                <w:p w14:paraId="6E45D5CA">
                  <w:pPr>
                    <w:pStyle w:val="64"/>
                    <w:keepNext/>
                    <w:keepLines/>
                    <w:widowControl w:val="0"/>
                    <w:adjustRightInd w:val="0"/>
                    <w:snapToGrid w:val="0"/>
                    <w:spacing w:line="276" w:lineRule="auto"/>
                    <w:rPr>
                      <w:color w:val="auto"/>
                      <w:kern w:val="2"/>
                      <w:highlight w:val="none"/>
                    </w:rPr>
                  </w:pPr>
                  <w:r>
                    <w:rPr>
                      <w:color w:val="auto"/>
                      <w:kern w:val="2"/>
                      <w:highlight w:val="none"/>
                    </w:rPr>
                    <w:t>TW001</w:t>
                  </w:r>
                </w:p>
              </w:tc>
              <w:tc>
                <w:tcPr>
                  <w:tcW w:w="496" w:type="pct"/>
                  <w:vAlign w:val="center"/>
                </w:tcPr>
                <w:p w14:paraId="33703898">
                  <w:pPr>
                    <w:pStyle w:val="64"/>
                    <w:keepNext/>
                    <w:keepLines/>
                    <w:widowControl w:val="0"/>
                    <w:adjustRightInd w:val="0"/>
                    <w:snapToGrid w:val="0"/>
                    <w:spacing w:line="276" w:lineRule="auto"/>
                    <w:rPr>
                      <w:rFonts w:hint="eastAsia" w:eastAsia="宋体"/>
                      <w:color w:val="auto"/>
                      <w:kern w:val="2"/>
                      <w:highlight w:val="none"/>
                      <w:lang w:eastAsia="zh-CN"/>
                    </w:rPr>
                  </w:pPr>
                  <w:r>
                    <w:rPr>
                      <w:rFonts w:hint="eastAsia"/>
                      <w:color w:val="auto"/>
                      <w:kern w:val="2"/>
                      <w:highlight w:val="none"/>
                      <w:lang w:eastAsia="zh-CN"/>
                    </w:rPr>
                    <w:t>三级化粪池+隔油隔渣池</w:t>
                  </w:r>
                </w:p>
              </w:tc>
              <w:tc>
                <w:tcPr>
                  <w:tcW w:w="473" w:type="pct"/>
                  <w:vAlign w:val="center"/>
                </w:tcPr>
                <w:p w14:paraId="0154CF59">
                  <w:pPr>
                    <w:pStyle w:val="64"/>
                    <w:keepNext/>
                    <w:keepLines/>
                    <w:widowControl w:val="0"/>
                    <w:adjustRightInd w:val="0"/>
                    <w:snapToGrid w:val="0"/>
                    <w:spacing w:line="276" w:lineRule="auto"/>
                    <w:rPr>
                      <w:color w:val="auto"/>
                      <w:kern w:val="2"/>
                      <w:highlight w:val="none"/>
                    </w:rPr>
                  </w:pPr>
                  <w:r>
                    <w:rPr>
                      <w:color w:val="auto"/>
                      <w:kern w:val="2"/>
                      <w:highlight w:val="none"/>
                    </w:rPr>
                    <w:t>化粪池</w:t>
                  </w:r>
                </w:p>
              </w:tc>
              <w:tc>
                <w:tcPr>
                  <w:tcW w:w="331" w:type="pct"/>
                  <w:vMerge w:val="restart"/>
                  <w:vAlign w:val="center"/>
                </w:tcPr>
                <w:p w14:paraId="6AEB49E6">
                  <w:pPr>
                    <w:pStyle w:val="64"/>
                    <w:keepNext/>
                    <w:keepLines/>
                    <w:widowControl w:val="0"/>
                    <w:adjustRightInd w:val="0"/>
                    <w:snapToGrid w:val="0"/>
                    <w:spacing w:line="276" w:lineRule="auto"/>
                    <w:rPr>
                      <w:color w:val="auto"/>
                      <w:kern w:val="2"/>
                      <w:highlight w:val="none"/>
                    </w:rPr>
                  </w:pPr>
                  <w:r>
                    <w:rPr>
                      <w:color w:val="auto"/>
                      <w:kern w:val="2"/>
                      <w:highlight w:val="none"/>
                    </w:rPr>
                    <w:t>DW001</w:t>
                  </w:r>
                </w:p>
              </w:tc>
              <w:tc>
                <w:tcPr>
                  <w:tcW w:w="489" w:type="pct"/>
                  <w:vMerge w:val="restart"/>
                  <w:vAlign w:val="center"/>
                </w:tcPr>
                <w:p w14:paraId="7F87EC6F">
                  <w:pPr>
                    <w:keepNext/>
                    <w:keepLines/>
                    <w:adjustRightInd w:val="0"/>
                    <w:snapToGrid w:val="0"/>
                    <w:spacing w:line="276" w:lineRule="auto"/>
                    <w:jc w:val="center"/>
                    <w:rPr>
                      <w:color w:val="auto"/>
                      <w:sz w:val="21"/>
                      <w:szCs w:val="21"/>
                      <w:highlight w:val="none"/>
                    </w:rPr>
                  </w:pPr>
                  <w:r>
                    <w:rPr>
                      <w:color w:val="auto"/>
                      <w:sz w:val="21"/>
                      <w:szCs w:val="21"/>
                      <w:highlight w:val="none"/>
                    </w:rPr>
                    <w:sym w:font="Wingdings 2" w:char="0052"/>
                  </w:r>
                  <w:r>
                    <w:rPr>
                      <w:color w:val="auto"/>
                      <w:sz w:val="21"/>
                      <w:szCs w:val="21"/>
                      <w:highlight w:val="none"/>
                    </w:rPr>
                    <w:t>是</w:t>
                  </w:r>
                </w:p>
                <w:p w14:paraId="08729CB5">
                  <w:pPr>
                    <w:keepNext/>
                    <w:keepLines/>
                    <w:adjustRightInd w:val="0"/>
                    <w:snapToGrid w:val="0"/>
                    <w:spacing w:line="276" w:lineRule="auto"/>
                    <w:jc w:val="center"/>
                    <w:rPr>
                      <w:color w:val="auto"/>
                      <w:sz w:val="21"/>
                      <w:szCs w:val="21"/>
                      <w:highlight w:val="none"/>
                    </w:rPr>
                  </w:pPr>
                  <w:r>
                    <w:rPr>
                      <w:color w:val="auto"/>
                      <w:sz w:val="21"/>
                      <w:szCs w:val="21"/>
                      <w:highlight w:val="none"/>
                    </w:rPr>
                    <w:sym w:font="Wingdings 2" w:char="00A3"/>
                  </w:r>
                  <w:r>
                    <w:rPr>
                      <w:color w:val="auto"/>
                      <w:sz w:val="21"/>
                      <w:szCs w:val="21"/>
                      <w:highlight w:val="none"/>
                    </w:rPr>
                    <w:t>否</w:t>
                  </w:r>
                </w:p>
              </w:tc>
              <w:tc>
                <w:tcPr>
                  <w:tcW w:w="879" w:type="pct"/>
                  <w:vMerge w:val="restart"/>
                  <w:vAlign w:val="center"/>
                </w:tcPr>
                <w:p w14:paraId="1391F773">
                  <w:pPr>
                    <w:keepNext/>
                    <w:keepLines/>
                    <w:adjustRightInd w:val="0"/>
                    <w:snapToGrid w:val="0"/>
                    <w:spacing w:line="276" w:lineRule="auto"/>
                    <w:jc w:val="left"/>
                    <w:rPr>
                      <w:color w:val="auto"/>
                      <w:sz w:val="21"/>
                      <w:szCs w:val="21"/>
                      <w:highlight w:val="none"/>
                    </w:rPr>
                  </w:pPr>
                  <w:r>
                    <w:rPr>
                      <w:color w:val="auto"/>
                      <w:sz w:val="21"/>
                      <w:szCs w:val="21"/>
                      <w:highlight w:val="none"/>
                    </w:rPr>
                    <w:sym w:font="Wingdings 2" w:char="0052"/>
                  </w:r>
                  <w:r>
                    <w:rPr>
                      <w:color w:val="auto"/>
                      <w:sz w:val="21"/>
                      <w:szCs w:val="21"/>
                      <w:highlight w:val="none"/>
                    </w:rPr>
                    <w:t>企业总排</w:t>
                  </w:r>
                </w:p>
                <w:p w14:paraId="060BCF4F">
                  <w:pPr>
                    <w:keepNext/>
                    <w:keepLines/>
                    <w:adjustRightInd w:val="0"/>
                    <w:snapToGrid w:val="0"/>
                    <w:spacing w:line="276" w:lineRule="auto"/>
                    <w:jc w:val="left"/>
                    <w:rPr>
                      <w:color w:val="auto"/>
                      <w:sz w:val="21"/>
                      <w:szCs w:val="21"/>
                      <w:highlight w:val="none"/>
                    </w:rPr>
                  </w:pPr>
                  <w:r>
                    <w:rPr>
                      <w:color w:val="auto"/>
                      <w:sz w:val="21"/>
                      <w:szCs w:val="21"/>
                      <w:highlight w:val="none"/>
                    </w:rPr>
                    <w:sym w:font="Wingdings 2" w:char="00A3"/>
                  </w:r>
                  <w:r>
                    <w:rPr>
                      <w:color w:val="auto"/>
                      <w:sz w:val="21"/>
                      <w:szCs w:val="21"/>
                      <w:highlight w:val="none"/>
                    </w:rPr>
                    <w:t>雨水排放</w:t>
                  </w:r>
                </w:p>
                <w:p w14:paraId="134A3CAF">
                  <w:pPr>
                    <w:keepNext/>
                    <w:keepLines/>
                    <w:adjustRightInd w:val="0"/>
                    <w:snapToGrid w:val="0"/>
                    <w:spacing w:line="276" w:lineRule="auto"/>
                    <w:jc w:val="left"/>
                    <w:rPr>
                      <w:color w:val="auto"/>
                      <w:sz w:val="21"/>
                      <w:szCs w:val="21"/>
                      <w:highlight w:val="none"/>
                    </w:rPr>
                  </w:pPr>
                  <w:r>
                    <w:rPr>
                      <w:color w:val="auto"/>
                      <w:sz w:val="21"/>
                      <w:szCs w:val="21"/>
                      <w:highlight w:val="none"/>
                    </w:rPr>
                    <w:sym w:font="Wingdings 2" w:char="00A3"/>
                  </w:r>
                  <w:r>
                    <w:rPr>
                      <w:color w:val="auto"/>
                      <w:sz w:val="21"/>
                      <w:szCs w:val="21"/>
                      <w:highlight w:val="none"/>
                    </w:rPr>
                    <w:t>清净下水排放</w:t>
                  </w:r>
                </w:p>
                <w:p w14:paraId="4A0F5B7C">
                  <w:pPr>
                    <w:keepNext/>
                    <w:keepLines/>
                    <w:adjustRightInd w:val="0"/>
                    <w:snapToGrid w:val="0"/>
                    <w:spacing w:line="276" w:lineRule="auto"/>
                    <w:jc w:val="left"/>
                    <w:rPr>
                      <w:color w:val="auto"/>
                      <w:sz w:val="21"/>
                      <w:szCs w:val="21"/>
                      <w:highlight w:val="none"/>
                    </w:rPr>
                  </w:pPr>
                  <w:r>
                    <w:rPr>
                      <w:color w:val="auto"/>
                      <w:sz w:val="21"/>
                      <w:szCs w:val="21"/>
                      <w:highlight w:val="none"/>
                    </w:rPr>
                    <w:sym w:font="Wingdings 2" w:char="00A3"/>
                  </w:r>
                  <w:r>
                    <w:rPr>
                      <w:color w:val="auto"/>
                      <w:sz w:val="21"/>
                      <w:szCs w:val="21"/>
                      <w:highlight w:val="none"/>
                    </w:rPr>
                    <w:t>温排水排放</w:t>
                  </w:r>
                </w:p>
                <w:p w14:paraId="5D442420">
                  <w:pPr>
                    <w:keepNext/>
                    <w:keepLines/>
                    <w:adjustRightInd w:val="0"/>
                    <w:snapToGrid w:val="0"/>
                    <w:spacing w:line="276" w:lineRule="auto"/>
                    <w:jc w:val="left"/>
                    <w:rPr>
                      <w:color w:val="auto"/>
                      <w:sz w:val="21"/>
                      <w:szCs w:val="21"/>
                      <w:highlight w:val="none"/>
                    </w:rPr>
                  </w:pPr>
                  <w:r>
                    <w:rPr>
                      <w:color w:val="auto"/>
                      <w:sz w:val="21"/>
                      <w:szCs w:val="21"/>
                      <w:highlight w:val="none"/>
                    </w:rPr>
                    <w:sym w:font="Wingdings 2" w:char="00A3"/>
                  </w:r>
                  <w:r>
                    <w:rPr>
                      <w:color w:val="auto"/>
                      <w:sz w:val="21"/>
                      <w:szCs w:val="21"/>
                      <w:highlight w:val="none"/>
                    </w:rPr>
                    <w:t>车间或车间处理设施排放口</w:t>
                  </w:r>
                </w:p>
              </w:tc>
            </w:tr>
            <w:tr w14:paraId="6633D6D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320" w:hRule="atLeast"/>
                <w:jc w:val="center"/>
              </w:trPr>
              <w:tc>
                <w:tcPr>
                  <w:tcW w:w="334" w:type="pct"/>
                  <w:tcBorders>
                    <w:bottom w:val="single" w:color="auto" w:sz="4" w:space="0"/>
                  </w:tcBorders>
                  <w:vAlign w:val="center"/>
                </w:tcPr>
                <w:p w14:paraId="33052F5B">
                  <w:pPr>
                    <w:pStyle w:val="64"/>
                    <w:keepNext/>
                    <w:keepLines/>
                    <w:widowControl w:val="0"/>
                    <w:adjustRightInd w:val="0"/>
                    <w:snapToGrid w:val="0"/>
                    <w:spacing w:line="276" w:lineRule="auto"/>
                    <w:rPr>
                      <w:color w:val="auto"/>
                      <w:kern w:val="2"/>
                      <w:highlight w:val="none"/>
                    </w:rPr>
                  </w:pPr>
                  <w:r>
                    <w:rPr>
                      <w:color w:val="auto"/>
                      <w:kern w:val="2"/>
                      <w:highlight w:val="none"/>
                    </w:rPr>
                    <w:t>生产废水</w:t>
                  </w:r>
                </w:p>
              </w:tc>
              <w:tc>
                <w:tcPr>
                  <w:tcW w:w="685" w:type="pct"/>
                  <w:tcBorders>
                    <w:bottom w:val="single" w:color="auto" w:sz="4" w:space="0"/>
                  </w:tcBorders>
                  <w:vAlign w:val="center"/>
                </w:tcPr>
                <w:p w14:paraId="482C3CB3">
                  <w:pPr>
                    <w:pStyle w:val="64"/>
                    <w:keepNext/>
                    <w:keepLines/>
                    <w:widowControl w:val="0"/>
                    <w:adjustRightInd w:val="0"/>
                    <w:snapToGrid w:val="0"/>
                    <w:spacing w:line="276" w:lineRule="auto"/>
                    <w:rPr>
                      <w:color w:val="auto"/>
                      <w:kern w:val="2"/>
                      <w:highlight w:val="none"/>
                    </w:rPr>
                  </w:pPr>
                  <w:r>
                    <w:rPr>
                      <w:color w:val="auto"/>
                      <w:kern w:val="2"/>
                      <w:highlight w:val="none"/>
                    </w:rPr>
                    <w:t>pH、COD</w:t>
                  </w:r>
                  <w:r>
                    <w:rPr>
                      <w:color w:val="auto"/>
                      <w:kern w:val="2"/>
                      <w:highlight w:val="none"/>
                      <w:vertAlign w:val="subscript"/>
                    </w:rPr>
                    <w:t>Cr</w:t>
                  </w:r>
                  <w:r>
                    <w:rPr>
                      <w:color w:val="auto"/>
                      <w:kern w:val="2"/>
                      <w:highlight w:val="none"/>
                    </w:rPr>
                    <w:t>、氨氮、总氮、石油类、总磷</w:t>
                  </w:r>
                </w:p>
              </w:tc>
              <w:tc>
                <w:tcPr>
                  <w:tcW w:w="324" w:type="pct"/>
                  <w:vMerge w:val="continue"/>
                  <w:tcBorders>
                    <w:bottom w:val="single" w:color="auto" w:sz="4" w:space="0"/>
                  </w:tcBorders>
                  <w:vAlign w:val="center"/>
                </w:tcPr>
                <w:p w14:paraId="4438D583">
                  <w:pPr>
                    <w:pStyle w:val="64"/>
                    <w:keepNext/>
                    <w:keepLines/>
                    <w:widowControl w:val="0"/>
                    <w:adjustRightInd w:val="0"/>
                    <w:snapToGrid w:val="0"/>
                    <w:spacing w:line="276" w:lineRule="auto"/>
                    <w:jc w:val="both"/>
                    <w:rPr>
                      <w:color w:val="auto"/>
                      <w:kern w:val="2"/>
                      <w:highlight w:val="none"/>
                    </w:rPr>
                  </w:pPr>
                </w:p>
              </w:tc>
              <w:tc>
                <w:tcPr>
                  <w:tcW w:w="562" w:type="pct"/>
                  <w:vMerge w:val="continue"/>
                  <w:tcBorders>
                    <w:bottom w:val="single" w:color="auto" w:sz="4" w:space="0"/>
                  </w:tcBorders>
                  <w:vAlign w:val="center"/>
                </w:tcPr>
                <w:p w14:paraId="15726306">
                  <w:pPr>
                    <w:pStyle w:val="64"/>
                    <w:keepNext/>
                    <w:keepLines/>
                    <w:widowControl w:val="0"/>
                    <w:adjustRightInd w:val="0"/>
                    <w:snapToGrid w:val="0"/>
                    <w:spacing w:line="276" w:lineRule="auto"/>
                    <w:rPr>
                      <w:color w:val="auto"/>
                      <w:kern w:val="2"/>
                      <w:highlight w:val="none"/>
                    </w:rPr>
                  </w:pPr>
                </w:p>
              </w:tc>
              <w:tc>
                <w:tcPr>
                  <w:tcW w:w="424" w:type="pct"/>
                  <w:tcBorders>
                    <w:bottom w:val="single" w:color="auto" w:sz="4" w:space="0"/>
                  </w:tcBorders>
                  <w:vAlign w:val="center"/>
                </w:tcPr>
                <w:p w14:paraId="37C06133">
                  <w:pPr>
                    <w:pStyle w:val="64"/>
                    <w:keepNext/>
                    <w:keepLines/>
                    <w:widowControl w:val="0"/>
                    <w:adjustRightInd w:val="0"/>
                    <w:snapToGrid w:val="0"/>
                    <w:spacing w:line="276" w:lineRule="auto"/>
                    <w:rPr>
                      <w:color w:val="auto"/>
                      <w:kern w:val="2"/>
                      <w:highlight w:val="none"/>
                    </w:rPr>
                  </w:pPr>
                  <w:r>
                    <w:rPr>
                      <w:color w:val="auto"/>
                      <w:kern w:val="2"/>
                      <w:highlight w:val="none"/>
                    </w:rPr>
                    <w:t>TW002</w:t>
                  </w:r>
                </w:p>
              </w:tc>
              <w:tc>
                <w:tcPr>
                  <w:tcW w:w="496" w:type="pct"/>
                  <w:tcBorders>
                    <w:bottom w:val="single" w:color="auto" w:sz="4" w:space="0"/>
                  </w:tcBorders>
                  <w:vAlign w:val="center"/>
                </w:tcPr>
                <w:p w14:paraId="50E70307">
                  <w:pPr>
                    <w:pStyle w:val="64"/>
                    <w:keepNext/>
                    <w:keepLines/>
                    <w:widowControl w:val="0"/>
                    <w:adjustRightInd w:val="0"/>
                    <w:snapToGrid w:val="0"/>
                    <w:spacing w:line="276" w:lineRule="auto"/>
                    <w:rPr>
                      <w:color w:val="auto"/>
                      <w:kern w:val="2"/>
                      <w:highlight w:val="none"/>
                    </w:rPr>
                  </w:pPr>
                  <w:r>
                    <w:rPr>
                      <w:color w:val="auto"/>
                      <w:kern w:val="2"/>
                      <w:highlight w:val="none"/>
                    </w:rPr>
                    <w:t>废水处理站</w:t>
                  </w:r>
                </w:p>
              </w:tc>
              <w:tc>
                <w:tcPr>
                  <w:tcW w:w="473" w:type="pct"/>
                  <w:tcBorders>
                    <w:bottom w:val="single" w:color="auto" w:sz="4" w:space="0"/>
                  </w:tcBorders>
                  <w:vAlign w:val="center"/>
                </w:tcPr>
                <w:p w14:paraId="4BAFEC81">
                  <w:pPr>
                    <w:pStyle w:val="64"/>
                    <w:keepNext/>
                    <w:keepLines/>
                    <w:widowControl w:val="0"/>
                    <w:adjustRightInd w:val="0"/>
                    <w:snapToGrid w:val="0"/>
                    <w:spacing w:line="276" w:lineRule="auto"/>
                    <w:rPr>
                      <w:color w:val="auto"/>
                      <w:kern w:val="2"/>
                      <w:highlight w:val="none"/>
                    </w:rPr>
                  </w:pPr>
                  <w:r>
                    <w:rPr>
                      <w:color w:val="auto"/>
                      <w:kern w:val="2"/>
                      <w:highlight w:val="none"/>
                    </w:rPr>
                    <w:t>中和</w:t>
                  </w:r>
                  <w:r>
                    <w:rPr>
                      <w:rFonts w:hint="eastAsia"/>
                      <w:color w:val="auto"/>
                      <w:kern w:val="2"/>
                      <w:highlight w:val="none"/>
                    </w:rPr>
                    <w:t>调节+絮凝沉淀+A/O+二沉池+消毒</w:t>
                  </w:r>
                </w:p>
              </w:tc>
              <w:tc>
                <w:tcPr>
                  <w:tcW w:w="331" w:type="pct"/>
                  <w:vMerge w:val="continue"/>
                  <w:tcBorders>
                    <w:bottom w:val="single" w:color="auto" w:sz="4" w:space="0"/>
                  </w:tcBorders>
                  <w:vAlign w:val="center"/>
                </w:tcPr>
                <w:p w14:paraId="33E08BCC">
                  <w:pPr>
                    <w:pStyle w:val="64"/>
                    <w:keepNext/>
                    <w:keepLines/>
                    <w:widowControl w:val="0"/>
                    <w:adjustRightInd w:val="0"/>
                    <w:snapToGrid w:val="0"/>
                    <w:spacing w:line="276" w:lineRule="auto"/>
                    <w:rPr>
                      <w:color w:val="auto"/>
                      <w:kern w:val="2"/>
                      <w:highlight w:val="none"/>
                    </w:rPr>
                  </w:pPr>
                </w:p>
              </w:tc>
              <w:tc>
                <w:tcPr>
                  <w:tcW w:w="489" w:type="pct"/>
                  <w:vMerge w:val="continue"/>
                  <w:tcBorders>
                    <w:bottom w:val="single" w:color="auto" w:sz="4" w:space="0"/>
                  </w:tcBorders>
                  <w:vAlign w:val="center"/>
                </w:tcPr>
                <w:p w14:paraId="2CF2A80F">
                  <w:pPr>
                    <w:pStyle w:val="64"/>
                    <w:keepNext/>
                    <w:keepLines/>
                    <w:widowControl w:val="0"/>
                    <w:adjustRightInd w:val="0"/>
                    <w:snapToGrid w:val="0"/>
                    <w:spacing w:line="276" w:lineRule="auto"/>
                    <w:rPr>
                      <w:color w:val="auto"/>
                      <w:kern w:val="2"/>
                      <w:highlight w:val="none"/>
                    </w:rPr>
                  </w:pPr>
                </w:p>
              </w:tc>
              <w:tc>
                <w:tcPr>
                  <w:tcW w:w="879" w:type="pct"/>
                  <w:vMerge w:val="continue"/>
                  <w:tcBorders>
                    <w:bottom w:val="single" w:color="auto" w:sz="4" w:space="0"/>
                  </w:tcBorders>
                  <w:vAlign w:val="center"/>
                </w:tcPr>
                <w:p w14:paraId="0A4839D9">
                  <w:pPr>
                    <w:pStyle w:val="64"/>
                    <w:keepNext/>
                    <w:keepLines/>
                    <w:widowControl w:val="0"/>
                    <w:adjustRightInd w:val="0"/>
                    <w:snapToGrid w:val="0"/>
                    <w:spacing w:line="276" w:lineRule="auto"/>
                    <w:rPr>
                      <w:color w:val="auto"/>
                      <w:kern w:val="2"/>
                      <w:highlight w:val="none"/>
                    </w:rPr>
                  </w:pPr>
                </w:p>
              </w:tc>
            </w:tr>
          </w:tbl>
          <w:p w14:paraId="45D490A6">
            <w:pPr>
              <w:keepNext/>
              <w:keepLines/>
              <w:tabs>
                <w:tab w:val="left" w:pos="0"/>
              </w:tabs>
              <w:ind w:firstLine="420" w:firstLineChars="200"/>
              <w:jc w:val="center"/>
              <w:outlineLvl w:val="3"/>
              <w:rPr>
                <w:b/>
                <w:bCs/>
                <w:color w:val="auto"/>
                <w:sz w:val="21"/>
                <w:szCs w:val="21"/>
                <w:highlight w:val="none"/>
              </w:rPr>
            </w:pPr>
            <w:r>
              <w:rPr>
                <w:b/>
                <w:color w:val="auto"/>
                <w:sz w:val="21"/>
                <w:szCs w:val="21"/>
                <w:highlight w:val="none"/>
              </w:rPr>
              <w:t>表4-1</w:t>
            </w:r>
            <w:r>
              <w:rPr>
                <w:rFonts w:hint="eastAsia"/>
                <w:color w:val="auto"/>
                <w:sz w:val="21"/>
                <w:szCs w:val="21"/>
                <w:highlight w:val="none"/>
                <w:lang w:val="en-US" w:eastAsia="zh-CN"/>
              </w:rPr>
              <w:t>9</w:t>
            </w:r>
            <w:r>
              <w:rPr>
                <w:b/>
                <w:color w:val="auto"/>
                <w:sz w:val="21"/>
                <w:szCs w:val="21"/>
                <w:highlight w:val="none"/>
              </w:rPr>
              <w:t xml:space="preserve"> </w:t>
            </w:r>
            <w:r>
              <w:rPr>
                <w:rFonts w:hint="eastAsia"/>
                <w:b/>
                <w:color w:val="auto"/>
                <w:sz w:val="21"/>
                <w:szCs w:val="21"/>
                <w:highlight w:val="none"/>
                <w:lang w:val="en-US" w:eastAsia="zh-CN"/>
              </w:rPr>
              <w:t xml:space="preserve"> 废水污染物排放执行标准表</w:t>
            </w:r>
          </w:p>
          <w:tbl>
            <w:tblPr>
              <w:tblStyle w:val="49"/>
              <w:tblW w:w="135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06"/>
              <w:gridCol w:w="2706"/>
              <w:gridCol w:w="2706"/>
              <w:gridCol w:w="2707"/>
              <w:gridCol w:w="2721"/>
            </w:tblGrid>
            <w:tr w14:paraId="29DC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20AE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9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3F2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排放口编号</w:t>
                  </w:r>
                </w:p>
              </w:tc>
              <w:tc>
                <w:tcPr>
                  <w:tcW w:w="9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86B5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污染物种类</w:t>
                  </w:r>
                </w:p>
              </w:tc>
              <w:tc>
                <w:tcPr>
                  <w:tcW w:w="20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D96A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国家或地方污染物排放标准及其他按规定商定的排放协议</w:t>
                  </w: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 ᵃ</w:t>
                  </w:r>
                </w:p>
              </w:tc>
            </w:tr>
            <w:tr w14:paraId="031B3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C40EE">
                  <w:pPr>
                    <w:jc w:val="center"/>
                    <w:rPr>
                      <w:rFonts w:hint="default" w:ascii="Times New Roman" w:hAnsi="Times New Roman" w:eastAsia="宋体" w:cs="Times New Roman"/>
                      <w:b/>
                      <w:bCs/>
                      <w:i w:val="0"/>
                      <w:iCs w:val="0"/>
                      <w:color w:val="auto"/>
                      <w:sz w:val="21"/>
                      <w:szCs w:val="21"/>
                      <w:highlight w:val="none"/>
                      <w:u w:val="none"/>
                    </w:rPr>
                  </w:pP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8A5A">
                  <w:pPr>
                    <w:jc w:val="center"/>
                    <w:rPr>
                      <w:rFonts w:hint="default" w:ascii="Times New Roman" w:hAnsi="Times New Roman" w:eastAsia="宋体" w:cs="Times New Roman"/>
                      <w:b/>
                      <w:bCs/>
                      <w:i w:val="0"/>
                      <w:iCs w:val="0"/>
                      <w:color w:val="auto"/>
                      <w:sz w:val="21"/>
                      <w:szCs w:val="21"/>
                      <w:highlight w:val="none"/>
                      <w:u w:val="none"/>
                    </w:rPr>
                  </w:pP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3CF61">
                  <w:pPr>
                    <w:jc w:val="center"/>
                    <w:rPr>
                      <w:rFonts w:hint="default" w:ascii="Times New Roman" w:hAnsi="Times New Roman" w:eastAsia="宋体" w:cs="Times New Roman"/>
                      <w:b/>
                      <w:bCs/>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17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名称</w:t>
                  </w: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204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浓度限值</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mg/L</w:t>
                  </w:r>
                  <w:r>
                    <w:rPr>
                      <w:rFonts w:hint="eastAsia" w:ascii="宋体" w:hAnsi="宋体" w:eastAsia="宋体" w:cs="宋体"/>
                      <w:i w:val="0"/>
                      <w:iCs w:val="0"/>
                      <w:color w:val="auto"/>
                      <w:kern w:val="0"/>
                      <w:sz w:val="21"/>
                      <w:szCs w:val="21"/>
                      <w:highlight w:val="none"/>
                      <w:u w:val="none"/>
                      <w:lang w:val="en-US" w:eastAsia="zh-CN" w:bidi="ar"/>
                    </w:rPr>
                    <w:t>）</w:t>
                  </w:r>
                </w:p>
              </w:tc>
            </w:tr>
            <w:tr w14:paraId="50A79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AE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9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ED2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DW001</w:t>
                  </w:r>
                  <w:r>
                    <w:rPr>
                      <w:rFonts w:hint="eastAsia" w:ascii="宋体" w:hAnsi="宋体" w:eastAsia="宋体" w:cs="宋体"/>
                      <w:i w:val="0"/>
                      <w:iCs w:val="0"/>
                      <w:color w:val="auto"/>
                      <w:kern w:val="0"/>
                      <w:sz w:val="21"/>
                      <w:szCs w:val="21"/>
                      <w:highlight w:val="none"/>
                      <w:u w:val="none"/>
                      <w:lang w:val="en-US" w:eastAsia="zh-CN" w:bidi="ar"/>
                    </w:rPr>
                    <w:t>（废水总排口）</w:t>
                  </w: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A6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w:t>
                  </w:r>
                </w:p>
              </w:tc>
              <w:tc>
                <w:tcPr>
                  <w:tcW w:w="999" w:type="pct"/>
                  <w:vMerge w:val="restart"/>
                  <w:tcBorders>
                    <w:top w:val="single" w:color="000000" w:sz="4" w:space="0"/>
                    <w:left w:val="single" w:color="000000" w:sz="4" w:space="0"/>
                    <w:right w:val="single" w:color="000000" w:sz="4" w:space="0"/>
                  </w:tcBorders>
                  <w:shd w:val="clear" w:color="auto" w:fill="auto"/>
                  <w:vAlign w:val="center"/>
                </w:tcPr>
                <w:p w14:paraId="7D9D51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《水污染物排放限值》（</w:t>
                  </w:r>
                  <w:r>
                    <w:rPr>
                      <w:rFonts w:hint="default" w:ascii="Times New Roman" w:hAnsi="Times New Roman" w:eastAsia="宋体" w:cs="Times New Roman"/>
                      <w:i w:val="0"/>
                      <w:iCs w:val="0"/>
                      <w:color w:val="auto"/>
                      <w:kern w:val="0"/>
                      <w:sz w:val="21"/>
                      <w:szCs w:val="21"/>
                      <w:highlight w:val="none"/>
                      <w:u w:val="none"/>
                      <w:lang w:val="en-US" w:eastAsia="zh-CN" w:bidi="ar"/>
                    </w:rPr>
                    <w:t>DB44/26-2001</w:t>
                  </w:r>
                  <w:r>
                    <w:rPr>
                      <w:rFonts w:hint="eastAsia" w:ascii="宋体" w:hAnsi="宋体" w:eastAsia="宋体" w:cs="宋体"/>
                      <w:i w:val="0"/>
                      <w:iCs w:val="0"/>
                      <w:color w:val="auto"/>
                      <w:kern w:val="0"/>
                      <w:sz w:val="21"/>
                      <w:szCs w:val="21"/>
                      <w:highlight w:val="none"/>
                      <w:u w:val="none"/>
                      <w:lang w:val="en-US" w:eastAsia="zh-CN" w:bidi="ar"/>
                    </w:rPr>
                    <w:t>）第二时段三级标准</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 </w:t>
                  </w:r>
                  <w:r>
                    <w:rPr>
                      <w:rFonts w:hint="eastAsia" w:ascii="宋体" w:hAnsi="宋体" w:eastAsia="宋体" w:cs="宋体"/>
                      <w:i w:val="0"/>
                      <w:iCs w:val="0"/>
                      <w:color w:val="auto"/>
                      <w:kern w:val="0"/>
                      <w:sz w:val="21"/>
                      <w:szCs w:val="21"/>
                      <w:highlight w:val="none"/>
                      <w:u w:val="none"/>
                      <w:lang w:val="en-US" w:eastAsia="zh-CN" w:bidi="ar"/>
                    </w:rPr>
                    <w:t>园区污水处理厂接管水质要求较严值</w:t>
                  </w: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34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6~9</w:t>
                  </w:r>
                  <w:r>
                    <w:rPr>
                      <w:rFonts w:hint="eastAsia" w:ascii="宋体" w:hAnsi="宋体" w:eastAsia="宋体" w:cs="宋体"/>
                      <w:i w:val="0"/>
                      <w:iCs w:val="0"/>
                      <w:color w:val="auto"/>
                      <w:kern w:val="0"/>
                      <w:sz w:val="21"/>
                      <w:szCs w:val="21"/>
                      <w:highlight w:val="none"/>
                      <w:u w:val="none"/>
                      <w:lang w:val="en-US" w:eastAsia="zh-CN" w:bidi="ar"/>
                    </w:rPr>
                    <w:t>（无量纲）</w:t>
                  </w:r>
                </w:p>
              </w:tc>
            </w:tr>
            <w:tr w14:paraId="4713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75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93256">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08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CODcr</w:t>
                  </w:r>
                </w:p>
              </w:tc>
              <w:tc>
                <w:tcPr>
                  <w:tcW w:w="999" w:type="pct"/>
                  <w:vMerge w:val="continue"/>
                  <w:tcBorders>
                    <w:left w:val="single" w:color="000000" w:sz="4" w:space="0"/>
                    <w:right w:val="single" w:color="000000" w:sz="4" w:space="0"/>
                  </w:tcBorders>
                  <w:shd w:val="clear" w:color="auto" w:fill="auto"/>
                  <w:vAlign w:val="center"/>
                </w:tcPr>
                <w:p w14:paraId="14CF27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C0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r>
            <w:tr w14:paraId="3BD77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D18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756C">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40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BOD₅</w:t>
                  </w:r>
                </w:p>
              </w:tc>
              <w:tc>
                <w:tcPr>
                  <w:tcW w:w="999" w:type="pct"/>
                  <w:vMerge w:val="continue"/>
                  <w:tcBorders>
                    <w:left w:val="single" w:color="000000" w:sz="4" w:space="0"/>
                    <w:right w:val="single" w:color="000000" w:sz="4" w:space="0"/>
                  </w:tcBorders>
                  <w:shd w:val="clear" w:color="auto" w:fill="auto"/>
                  <w:vAlign w:val="center"/>
                </w:tcPr>
                <w:p w14:paraId="4C60D773">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BC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r>
            <w:tr w14:paraId="6EBDB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CE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6833">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F69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999" w:type="pct"/>
                  <w:vMerge w:val="continue"/>
                  <w:tcBorders>
                    <w:left w:val="single" w:color="000000" w:sz="4" w:space="0"/>
                    <w:right w:val="single" w:color="000000" w:sz="4" w:space="0"/>
                  </w:tcBorders>
                  <w:shd w:val="clear" w:color="auto" w:fill="auto"/>
                  <w:vAlign w:val="center"/>
                </w:tcPr>
                <w:p w14:paraId="200390CA">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5B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r>
            <w:tr w14:paraId="2296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F9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4F20C">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197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氨氮</w:t>
                  </w:r>
                </w:p>
              </w:tc>
              <w:tc>
                <w:tcPr>
                  <w:tcW w:w="999" w:type="pct"/>
                  <w:vMerge w:val="continue"/>
                  <w:tcBorders>
                    <w:left w:val="single" w:color="000000" w:sz="4" w:space="0"/>
                    <w:right w:val="single" w:color="000000" w:sz="4" w:space="0"/>
                  </w:tcBorders>
                  <w:shd w:val="clear" w:color="auto" w:fill="auto"/>
                  <w:vAlign w:val="center"/>
                </w:tcPr>
                <w:p w14:paraId="54AFD3D2">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BAE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r>
            <w:tr w14:paraId="5CDE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E4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208A9">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92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LAS</w:t>
                  </w:r>
                </w:p>
              </w:tc>
              <w:tc>
                <w:tcPr>
                  <w:tcW w:w="999" w:type="pct"/>
                  <w:vMerge w:val="continue"/>
                  <w:tcBorders>
                    <w:left w:val="single" w:color="000000" w:sz="4" w:space="0"/>
                    <w:right w:val="single" w:color="000000" w:sz="4" w:space="0"/>
                  </w:tcBorders>
                  <w:shd w:val="clear" w:color="auto" w:fill="auto"/>
                  <w:vAlign w:val="center"/>
                </w:tcPr>
                <w:p w14:paraId="401FF386">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E5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r>
            <w:tr w14:paraId="0E6E8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10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A28E">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45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石油类</w:t>
                  </w:r>
                </w:p>
              </w:tc>
              <w:tc>
                <w:tcPr>
                  <w:tcW w:w="999" w:type="pct"/>
                  <w:vMerge w:val="continue"/>
                  <w:tcBorders>
                    <w:left w:val="single" w:color="000000" w:sz="4" w:space="0"/>
                    <w:right w:val="single" w:color="000000" w:sz="4" w:space="0"/>
                  </w:tcBorders>
                  <w:shd w:val="clear" w:color="auto" w:fill="auto"/>
                  <w:vAlign w:val="center"/>
                </w:tcPr>
                <w:p w14:paraId="0A79301F">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40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7CEFE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ED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5206">
                  <w:pPr>
                    <w:jc w:val="center"/>
                    <w:rPr>
                      <w:rFonts w:hint="default" w:ascii="Times New Roman" w:hAnsi="Times New Roman" w:eastAsia="宋体" w:cs="Times New Roman"/>
                      <w:i w:val="0"/>
                      <w:iCs w:val="0"/>
                      <w:color w:val="auto"/>
                      <w:sz w:val="21"/>
                      <w:szCs w:val="21"/>
                      <w:highlight w:val="none"/>
                      <w:u w:val="none"/>
                    </w:rPr>
                  </w:pPr>
                </w:p>
              </w:tc>
              <w:tc>
                <w:tcPr>
                  <w:tcW w:w="9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3F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总磷</w:t>
                  </w:r>
                </w:p>
              </w:tc>
              <w:tc>
                <w:tcPr>
                  <w:tcW w:w="999" w:type="pct"/>
                  <w:vMerge w:val="continue"/>
                  <w:tcBorders>
                    <w:left w:val="single" w:color="000000" w:sz="4" w:space="0"/>
                    <w:right w:val="single" w:color="000000" w:sz="4" w:space="0"/>
                  </w:tcBorders>
                  <w:shd w:val="clear" w:color="auto" w:fill="auto"/>
                  <w:vAlign w:val="center"/>
                </w:tcPr>
                <w:p w14:paraId="413F747E">
                  <w:pPr>
                    <w:jc w:val="center"/>
                    <w:rPr>
                      <w:rFonts w:hint="default" w:ascii="Times New Roman" w:hAnsi="Times New Roman" w:eastAsia="宋体" w:cs="Times New Roman"/>
                      <w:i w:val="0"/>
                      <w:iCs w:val="0"/>
                      <w:color w:val="auto"/>
                      <w:sz w:val="21"/>
                      <w:szCs w:val="21"/>
                      <w:highlight w:val="none"/>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84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79C9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C3E8C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Style w:val="52"/>
                      <w:rFonts w:ascii="宋体" w:hAnsi="宋体" w:eastAsia="宋体" w:cs="宋体"/>
                      <w:b w:val="0"/>
                      <w:bCs w:val="0"/>
                      <w:color w:val="auto"/>
                      <w:sz w:val="21"/>
                      <w:szCs w:val="21"/>
                      <w:highlight w:val="none"/>
                    </w:rPr>
                    <w:t>注 a</w:t>
                  </w:r>
                  <w:r>
                    <w:rPr>
                      <w:rFonts w:ascii="宋体" w:hAnsi="宋体" w:eastAsia="宋体" w:cs="宋体"/>
                      <w:b w:val="0"/>
                      <w:bCs w:val="0"/>
                      <w:color w:val="auto"/>
                      <w:sz w:val="21"/>
                      <w:szCs w:val="21"/>
                      <w:highlight w:val="none"/>
                    </w:rPr>
                    <w:t>：</w:t>
                  </w:r>
                  <w:r>
                    <w:rPr>
                      <w:rFonts w:ascii="宋体" w:hAnsi="宋体" w:eastAsia="宋体" w:cs="宋体"/>
                      <w:color w:val="auto"/>
                      <w:sz w:val="21"/>
                      <w:szCs w:val="21"/>
                      <w:highlight w:val="none"/>
                    </w:rPr>
                    <w:t>指对应排放口需执行的国家或地方污染物排放标准以及其他按规定商定建设项目水污染物排放控制要求的协议，据此确定的排放浓度限值。</w:t>
                  </w:r>
                </w:p>
              </w:tc>
            </w:tr>
          </w:tbl>
          <w:p w14:paraId="3C5BBEF5">
            <w:pPr>
              <w:keepNext/>
              <w:keepLines/>
              <w:tabs>
                <w:tab w:val="left" w:pos="0"/>
              </w:tabs>
              <w:ind w:firstLine="480" w:firstLineChars="200"/>
              <w:outlineLvl w:val="3"/>
              <w:rPr>
                <w:b/>
                <w:bCs/>
                <w:color w:val="auto"/>
                <w:highlight w:val="none"/>
              </w:rPr>
            </w:pPr>
            <w:r>
              <w:rPr>
                <w:b/>
                <w:bCs/>
                <w:color w:val="auto"/>
                <w:highlight w:val="none"/>
              </w:rPr>
              <w:t>5、达标情况分析</w:t>
            </w:r>
          </w:p>
          <w:p w14:paraId="42A40F7F">
            <w:pPr>
              <w:pStyle w:val="21"/>
              <w:numPr>
                <w:ilvl w:val="4"/>
                <w:numId w:val="0"/>
              </w:numPr>
              <w:ind w:left="480"/>
              <w:rPr>
                <w:color w:val="auto"/>
                <w:kern w:val="2"/>
                <w:highlight w:val="none"/>
              </w:rPr>
            </w:pPr>
            <w:r>
              <w:rPr>
                <w:color w:val="auto"/>
                <w:kern w:val="2"/>
                <w:highlight w:val="none"/>
              </w:rPr>
              <w:t>（1）可行性技术分析</w:t>
            </w:r>
          </w:p>
          <w:p w14:paraId="1D0EA34E">
            <w:pPr>
              <w:pStyle w:val="26"/>
              <w:ind w:firstLine="480"/>
              <w:rPr>
                <w:color w:val="auto"/>
                <w:highlight w:val="none"/>
              </w:rPr>
            </w:pPr>
            <w:r>
              <w:rPr>
                <w:color w:val="auto"/>
                <w:highlight w:val="none"/>
              </w:rPr>
              <w:t>本项目生产过程中废水产生量即</w:t>
            </w:r>
            <w:r>
              <w:rPr>
                <w:rFonts w:hint="eastAsia"/>
                <w:color w:val="auto"/>
                <w:highlight w:val="none"/>
                <w:lang w:val="en-US" w:eastAsia="zh-CN"/>
              </w:rPr>
              <w:t>195.16</w:t>
            </w:r>
            <w:r>
              <w:rPr>
                <w:color w:val="auto"/>
                <w:highlight w:val="none"/>
              </w:rPr>
              <w:t>m</w:t>
            </w:r>
            <w:r>
              <w:rPr>
                <w:color w:val="auto"/>
                <w:highlight w:val="none"/>
                <w:vertAlign w:val="superscript"/>
              </w:rPr>
              <w:t>3</w:t>
            </w:r>
            <w:r>
              <w:rPr>
                <w:color w:val="auto"/>
                <w:highlight w:val="none"/>
              </w:rPr>
              <w:t>/d（项目年工作时间330天，三班制，每班8小时），</w:t>
            </w:r>
            <w:r>
              <w:rPr>
                <w:rFonts w:hint="eastAsia"/>
                <w:color w:val="auto"/>
                <w:highlight w:val="none"/>
                <w:lang w:val="en-US" w:eastAsia="zh-CN"/>
              </w:rPr>
              <w:t>即</w:t>
            </w:r>
            <w:r>
              <w:rPr>
                <w:color w:val="auto"/>
                <w:highlight w:val="none"/>
              </w:rPr>
              <w:t>废水产生量为</w:t>
            </w:r>
            <w:r>
              <w:rPr>
                <w:rFonts w:hint="eastAsia"/>
                <w:color w:val="auto"/>
                <w:highlight w:val="none"/>
                <w:lang w:val="en-US" w:eastAsia="zh-CN"/>
              </w:rPr>
              <w:t>8.13</w:t>
            </w:r>
            <w:r>
              <w:rPr>
                <w:color w:val="auto"/>
                <w:highlight w:val="none"/>
              </w:rPr>
              <w:t>m</w:t>
            </w:r>
            <w:r>
              <w:rPr>
                <w:color w:val="auto"/>
                <w:highlight w:val="none"/>
                <w:vertAlign w:val="superscript"/>
              </w:rPr>
              <w:t>3</w:t>
            </w:r>
            <w:r>
              <w:rPr>
                <w:color w:val="auto"/>
                <w:highlight w:val="none"/>
              </w:rPr>
              <w:t>/h，通过自建污水处理站，污水站24h运行，拟设计处理能力</w:t>
            </w:r>
            <w:r>
              <w:rPr>
                <w:rFonts w:hint="eastAsia"/>
                <w:color w:val="auto"/>
                <w:highlight w:val="none"/>
                <w:lang w:val="en-US" w:eastAsia="zh-CN"/>
              </w:rPr>
              <w:t>34</w:t>
            </w:r>
            <w:r>
              <w:rPr>
                <w:color w:val="auto"/>
                <w:highlight w:val="none"/>
              </w:rPr>
              <w:t>0m</w:t>
            </w:r>
            <w:r>
              <w:rPr>
                <w:color w:val="auto"/>
                <w:highlight w:val="none"/>
                <w:vertAlign w:val="superscript"/>
              </w:rPr>
              <w:t>3</w:t>
            </w:r>
            <w:r>
              <w:rPr>
                <w:color w:val="auto"/>
                <w:highlight w:val="none"/>
              </w:rPr>
              <w:t>/d，能够满足容积需求。处理工艺：</w:t>
            </w:r>
            <w:r>
              <w:rPr>
                <w:rFonts w:hint="eastAsia"/>
                <w:color w:val="auto"/>
                <w:highlight w:val="none"/>
              </w:rPr>
              <w:t>调节+絮凝沉淀+A/O+二沉池+消毒</w:t>
            </w:r>
            <w:r>
              <w:rPr>
                <w:color w:val="auto"/>
                <w:highlight w:val="none"/>
              </w:rPr>
              <w:t>）处理后，</w:t>
            </w:r>
            <w:r>
              <w:rPr>
                <w:rFonts w:hint="eastAsia"/>
                <w:color w:val="auto"/>
                <w:highlight w:val="none"/>
                <w:lang w:val="en-US" w:eastAsia="zh-CN"/>
              </w:rPr>
              <w:t>185.8</w:t>
            </w:r>
            <w:r>
              <w:rPr>
                <w:color w:val="auto"/>
                <w:highlight w:val="none"/>
              </w:rPr>
              <w:t>m</w:t>
            </w:r>
            <w:r>
              <w:rPr>
                <w:color w:val="auto"/>
                <w:highlight w:val="none"/>
                <w:vertAlign w:val="superscript"/>
              </w:rPr>
              <w:t>3</w:t>
            </w:r>
            <w:r>
              <w:rPr>
                <w:color w:val="auto"/>
                <w:highlight w:val="none"/>
              </w:rPr>
              <w:t>/d回用于生产原料清洗、湿法破碎生产工序，9m</w:t>
            </w:r>
            <w:r>
              <w:rPr>
                <w:color w:val="auto"/>
                <w:highlight w:val="none"/>
                <w:vertAlign w:val="superscript"/>
              </w:rPr>
              <w:t>3</w:t>
            </w:r>
            <w:r>
              <w:rPr>
                <w:color w:val="auto"/>
                <w:highlight w:val="none"/>
              </w:rPr>
              <w:t>/d送至园区污水处理厂进一步处理。</w:t>
            </w:r>
          </w:p>
          <w:p w14:paraId="74A05559">
            <w:pPr>
              <w:pStyle w:val="26"/>
              <w:ind w:firstLine="480"/>
              <w:rPr>
                <w:color w:val="auto"/>
                <w:highlight w:val="none"/>
              </w:rPr>
            </w:pPr>
            <w:r>
              <w:rPr>
                <w:color w:val="auto"/>
                <w:highlight w:val="none"/>
              </w:rPr>
              <w:t>污水处理工艺流程：</w:t>
            </w:r>
          </w:p>
          <w:p w14:paraId="7046370D">
            <w:pPr>
              <w:pStyle w:val="26"/>
              <w:ind w:firstLine="480"/>
              <w:rPr>
                <w:color w:val="auto"/>
                <w:highlight w:val="none"/>
              </w:rPr>
            </w:pPr>
            <w:r>
              <w:rPr>
                <w:color w:val="auto"/>
                <w:highlight w:val="none"/>
              </w:rPr>
              <w:t>A.格栅</w:t>
            </w:r>
          </w:p>
          <w:p w14:paraId="605EB7AB">
            <w:pPr>
              <w:pStyle w:val="26"/>
              <w:ind w:firstLine="480"/>
              <w:rPr>
                <w:color w:val="auto"/>
                <w:highlight w:val="none"/>
              </w:rPr>
            </w:pPr>
            <w:r>
              <w:rPr>
                <w:color w:val="auto"/>
                <w:highlight w:val="none"/>
              </w:rPr>
              <w:t>包括粗格栅和细格栅。粗格栅是用来去除可能堵塞水泵机组及管道阀门的较粗大悬浮物，并保证后续处理设施能正常运行。粗格栅是由一组(或多组)相平行的金属栅条与框架组成，倾斜安装在进水的渠道，或进水泵站集水井的进口处，以拦截污水中粗大的悬浮物及杂质。细格栅是一种可连续清除流体中杂物的固液分离设备，进一步去除水中的漂浮物质。</w:t>
            </w:r>
          </w:p>
          <w:p w14:paraId="0C78FFE0">
            <w:pPr>
              <w:pStyle w:val="26"/>
              <w:ind w:firstLine="480"/>
              <w:rPr>
                <w:color w:val="auto"/>
                <w:highlight w:val="none"/>
              </w:rPr>
            </w:pPr>
            <w:r>
              <w:rPr>
                <w:color w:val="auto"/>
                <w:highlight w:val="none"/>
              </w:rPr>
              <w:t>B.调节池</w:t>
            </w:r>
          </w:p>
          <w:p w14:paraId="4956978B">
            <w:pPr>
              <w:pStyle w:val="26"/>
              <w:ind w:firstLine="480"/>
              <w:rPr>
                <w:color w:val="auto"/>
                <w:highlight w:val="none"/>
              </w:rPr>
            </w:pPr>
            <w:r>
              <w:rPr>
                <w:color w:val="auto"/>
                <w:highlight w:val="none"/>
              </w:rPr>
              <w:t>为了使管渠和构筑物正常工作，不受废水高峰流量或浓度变化的影响，需在废水处理设施之前设置调节池。调节池主要有调节水量、均衡水质和预处理三大作用。</w:t>
            </w:r>
          </w:p>
          <w:p w14:paraId="735E09D4">
            <w:pPr>
              <w:pStyle w:val="26"/>
              <w:ind w:firstLine="480"/>
              <w:rPr>
                <w:color w:val="auto"/>
                <w:highlight w:val="none"/>
              </w:rPr>
            </w:pPr>
            <w:r>
              <w:rPr>
                <w:color w:val="auto"/>
                <w:highlight w:val="none"/>
              </w:rPr>
              <w:t>C.混凝沉淀池</w:t>
            </w:r>
          </w:p>
          <w:p w14:paraId="1A82D663">
            <w:pPr>
              <w:pStyle w:val="26"/>
              <w:ind w:firstLine="480"/>
              <w:rPr>
                <w:color w:val="auto"/>
                <w:highlight w:val="none"/>
              </w:rPr>
            </w:pPr>
            <w:r>
              <w:rPr>
                <w:color w:val="auto"/>
                <w:highlight w:val="none"/>
              </w:rPr>
              <w:t>混凝沉淀池通过向水中投加一些药剂(通常称为混凝剂及助凝剂)，使水中难以沉淀的颗粒能互相聚合而形成胶体，然后与水体中的杂质结合形成更大的絮凝体。凝体具有强大吸附力，不仅能吸附悬浮物，还能吸附部分细菌和溶解性物质。絮体通过吸附，体积增大而下沉。</w:t>
            </w:r>
          </w:p>
          <w:p w14:paraId="221B032D">
            <w:pPr>
              <w:pStyle w:val="26"/>
              <w:ind w:firstLine="480"/>
              <w:rPr>
                <w:color w:val="auto"/>
                <w:highlight w:val="none"/>
              </w:rPr>
            </w:pPr>
            <w:r>
              <w:rPr>
                <w:color w:val="auto"/>
                <w:highlight w:val="none"/>
              </w:rPr>
              <w:t>D.A/O</w:t>
            </w:r>
          </w:p>
          <w:p w14:paraId="3271CFE1">
            <w:pPr>
              <w:pStyle w:val="26"/>
              <w:ind w:firstLine="480"/>
              <w:rPr>
                <w:color w:val="auto"/>
                <w:highlight w:val="none"/>
              </w:rPr>
            </w:pPr>
            <w:r>
              <w:rPr>
                <w:color w:val="auto"/>
                <w:highlight w:val="none"/>
              </w:rPr>
              <w:t>A/O生物脱氮工艺是由缺氧和好氧两部分反应组成的污水生物处理系统。污水进入缺氧池后，依次经历缺氧反硝化、好氧去有机物和硝化的阶段，流程的特点是前置反硝化，硝化后部分出水回流到反硝化池，以提供硝酸盐。除了使有机污染物得到降解之外，还具有一定的脱氮除磷功能。</w:t>
            </w:r>
          </w:p>
          <w:p w14:paraId="62507FF3">
            <w:pPr>
              <w:pStyle w:val="26"/>
              <w:ind w:firstLine="480"/>
              <w:rPr>
                <w:color w:val="auto"/>
                <w:highlight w:val="none"/>
              </w:rPr>
            </w:pPr>
            <w:r>
              <w:rPr>
                <w:color w:val="auto"/>
                <w:highlight w:val="none"/>
              </w:rPr>
              <w:t>缺氧池在前，污水中的有机碳被反硝化菌所利用，可减轻其后好氧池的有机负荷反硝化反应产生的碱度可以补偿好氧池中进行硝化反应对碱度的需求。好氧在缺氧池之后，可以使反硝化残留的有机污染物得到进一步去除，提高出水水质。</w:t>
            </w:r>
          </w:p>
          <w:p w14:paraId="646BE486">
            <w:pPr>
              <w:pStyle w:val="26"/>
              <w:ind w:firstLine="480"/>
              <w:rPr>
                <w:color w:val="auto"/>
                <w:highlight w:val="none"/>
              </w:rPr>
            </w:pPr>
            <w:r>
              <w:rPr>
                <w:rFonts w:hint="eastAsia"/>
                <w:color w:val="auto"/>
                <w:highlight w:val="none"/>
              </w:rPr>
              <w:t>E.二沉池</w:t>
            </w:r>
          </w:p>
          <w:p w14:paraId="43BFD124">
            <w:pPr>
              <w:pStyle w:val="26"/>
              <w:ind w:firstLine="480"/>
              <w:rPr>
                <w:color w:val="auto"/>
                <w:highlight w:val="none"/>
              </w:rPr>
            </w:pPr>
            <w:r>
              <w:rPr>
                <w:rFonts w:hint="eastAsia"/>
                <w:color w:val="auto"/>
                <w:highlight w:val="none"/>
              </w:rPr>
              <w:t>经过生化处理的混合液（泥+水）流入二沉池。池内水流速度被设计得非常缓慢（处于层流状态），利用重力作用，密度比水大的活性污泥颗粒会自然下沉到池底。上层的清水则变得澄清，从池子四周的溢流堰流出，进入下一道工序（通常是消毒池）。</w:t>
            </w:r>
          </w:p>
          <w:p w14:paraId="0197CD32">
            <w:pPr>
              <w:pStyle w:val="26"/>
              <w:ind w:firstLine="480"/>
              <w:rPr>
                <w:color w:val="auto"/>
                <w:highlight w:val="none"/>
              </w:rPr>
            </w:pPr>
            <w:r>
              <w:rPr>
                <w:rFonts w:hint="eastAsia"/>
                <w:color w:val="auto"/>
                <w:highlight w:val="none"/>
              </w:rPr>
              <w:t>二沉池的一个重要功能是将沉到池底的污泥进行浓缩。绝大部分浓缩后的污泥通过泵送回生物反应池（前端），称为回流污泥，以维持系统中足够的微生物浓度。多余的一部分污泥（剩余污泥）会被排入污泥池进行进一步处理。由于石油类物质往往吸附在污泥絮体上，或者形成密度较轻的浮渣层，因此随着污泥的沉淀和浮渣的撇除，石油类物质被大幅去除。二沉池通常能去除水中 80%～95% 的悬浮油和乳化油，整体生物除磷效率可达 50%～70%。去除的物质：主要去除的是悬浮固体（SS）、吸附在污泥上的有机物以及部分吸附了磷的污泥。</w:t>
            </w:r>
          </w:p>
          <w:p w14:paraId="1BE794FF">
            <w:pPr>
              <w:pStyle w:val="26"/>
              <w:numPr>
                <w:ilvl w:val="0"/>
                <w:numId w:val="14"/>
              </w:numPr>
              <w:ind w:firstLine="480"/>
              <w:rPr>
                <w:color w:val="auto"/>
                <w:highlight w:val="none"/>
              </w:rPr>
            </w:pPr>
            <w:r>
              <w:rPr>
                <w:rFonts w:hint="eastAsia"/>
                <w:color w:val="auto"/>
                <w:highlight w:val="none"/>
              </w:rPr>
              <w:t>消毒池</w:t>
            </w:r>
          </w:p>
          <w:p w14:paraId="0991FEE0">
            <w:pPr>
              <w:pStyle w:val="26"/>
              <w:ind w:firstLine="480"/>
              <w:rPr>
                <w:color w:val="auto"/>
                <w:highlight w:val="none"/>
              </w:rPr>
            </w:pPr>
            <w:r>
              <w:rPr>
                <w:rFonts w:hint="eastAsia"/>
                <w:color w:val="auto"/>
                <w:highlight w:val="none"/>
              </w:rPr>
              <w:t>加氯消毒（如次氯酸钠、二氧化氯、液氯）： 消毒剂溶于水后，会产生具有强氧化性的次氯酸（HClO）。作用机制： 次氯酸分子体积小，电荷中性，容易穿透微生物的细胞壁/细胞膜，破坏其体内的酶系统（氧化酶）或遗传物质，从而导致微生物死亡（灭活）。主要去除的是细菌总数、大肠杆菌群、病原微生物。</w:t>
            </w:r>
          </w:p>
          <w:p w14:paraId="18FD6D9B">
            <w:pPr>
              <w:pStyle w:val="122"/>
              <w:adjustRightInd/>
              <w:spacing w:before="100" w:after="100"/>
              <w:ind w:firstLine="480"/>
              <w:textAlignment w:val="auto"/>
              <w:rPr>
                <w:color w:val="auto"/>
                <w:sz w:val="24"/>
                <w:szCs w:val="24"/>
                <w:highlight w:val="none"/>
              </w:rPr>
            </w:pPr>
            <w:r>
              <w:rPr>
                <w:rFonts w:hint="eastAsia"/>
                <w:color w:val="auto"/>
                <w:sz w:val="24"/>
                <w:szCs w:val="24"/>
                <w:highlight w:val="none"/>
              </w:rPr>
              <w:t>根据《排放源统计调查产排污核算方法和系数手册》，本项目适用的废水治理技术为“</w:t>
            </w:r>
            <w:r>
              <w:rPr>
                <w:rFonts w:hint="eastAsia" w:ascii="宋体" w:hAnsi="宋体" w:cs="宋体"/>
                <w:color w:val="auto"/>
                <w:sz w:val="24"/>
                <w:szCs w:val="24"/>
                <w:highlight w:val="none"/>
              </w:rPr>
              <w:t>物理处理法 +好氧生物处理法”，</w:t>
            </w:r>
            <w:r>
              <w:rPr>
                <w:color w:val="auto"/>
                <w:sz w:val="24"/>
                <w:szCs w:val="24"/>
                <w:highlight w:val="none"/>
              </w:rPr>
              <w:t>同时</w:t>
            </w:r>
            <w:r>
              <w:rPr>
                <w:rFonts w:hint="eastAsia"/>
                <w:color w:val="auto"/>
                <w:sz w:val="24"/>
                <w:szCs w:val="24"/>
                <w:highlight w:val="none"/>
              </w:rPr>
              <w:t>对照</w:t>
            </w:r>
            <w:r>
              <w:rPr>
                <w:color w:val="auto"/>
                <w:sz w:val="24"/>
                <w:szCs w:val="24"/>
                <w:highlight w:val="none"/>
              </w:rPr>
              <w:t>《排污许可证申请与核发技术规范 废弃资源加工工业》 （HJ1034-2019）附表A.2废弃资源加工工业排污单位废水污染防治可行技术参考表中废塑料综合废水处理可行性技术，本项目使用</w:t>
            </w:r>
            <w:r>
              <w:rPr>
                <w:rFonts w:hint="eastAsia"/>
                <w:color w:val="auto"/>
                <w:sz w:val="24"/>
                <w:szCs w:val="24"/>
                <w:highlight w:val="none"/>
              </w:rPr>
              <w:t>“调节+絮凝沉淀+A/O+二沉池+消毒”</w:t>
            </w:r>
            <w:r>
              <w:rPr>
                <w:color w:val="auto"/>
                <w:sz w:val="24"/>
                <w:szCs w:val="24"/>
                <w:highlight w:val="none"/>
              </w:rPr>
              <w:t>处理技术是可行的。</w:t>
            </w:r>
          </w:p>
          <w:p w14:paraId="3F5AB44D">
            <w:pPr>
              <w:pStyle w:val="122"/>
              <w:adjustRightInd/>
              <w:spacing w:before="100" w:after="100"/>
              <w:ind w:firstLine="480"/>
              <w:textAlignment w:val="auto"/>
              <w:rPr>
                <w:rFonts w:hint="default"/>
                <w:color w:val="auto"/>
                <w:sz w:val="24"/>
                <w:szCs w:val="24"/>
                <w:highlight w:val="none"/>
                <w:lang w:val="en-US" w:eastAsia="zh-CN"/>
              </w:rPr>
            </w:pPr>
            <w:r>
              <w:rPr>
                <w:rFonts w:hint="eastAsia"/>
                <w:b/>
                <w:bCs/>
                <w:color w:val="auto"/>
                <w:sz w:val="24"/>
                <w:szCs w:val="24"/>
                <w:highlight w:val="none"/>
                <w:lang w:val="en-US" w:eastAsia="zh-CN"/>
              </w:rPr>
              <w:t>废水回用技术可行性分析：</w:t>
            </w:r>
          </w:p>
          <w:p w14:paraId="64DE9E26">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 xml:space="preserve">本项目洗料废水产生量 </w:t>
            </w:r>
            <w:r>
              <w:rPr>
                <w:rFonts w:hint="eastAsia"/>
                <w:color w:val="auto"/>
                <w:sz w:val="24"/>
                <w:szCs w:val="24"/>
                <w:highlight w:val="none"/>
                <w:lang w:val="en-US" w:eastAsia="zh-CN"/>
              </w:rPr>
              <w:t>195.16</w:t>
            </w:r>
            <w:r>
              <w:rPr>
                <w:rFonts w:hint="default"/>
                <w:color w:val="auto"/>
                <w:sz w:val="24"/>
                <w:szCs w:val="24"/>
                <w:highlight w:val="none"/>
                <w:lang w:val="en-US" w:eastAsia="zh-CN"/>
              </w:rPr>
              <w:t>m³/d，经混凝 + 气浮 + A/O预处理系统处理后，</w:t>
            </w:r>
            <w:r>
              <w:rPr>
                <w:rFonts w:hint="eastAsia"/>
                <w:color w:val="auto"/>
                <w:sz w:val="24"/>
                <w:szCs w:val="24"/>
                <w:highlight w:val="none"/>
                <w:lang w:val="en-US" w:eastAsia="zh-CN"/>
              </w:rPr>
              <w:t>185.8</w:t>
            </w:r>
            <w:r>
              <w:rPr>
                <w:rFonts w:hint="default"/>
                <w:color w:val="auto"/>
                <w:sz w:val="24"/>
                <w:szCs w:val="24"/>
                <w:highlight w:val="none"/>
                <w:lang w:val="en-US" w:eastAsia="zh-CN"/>
              </w:rPr>
              <w:t>m³/d 回用于生产洗料工序，仅外排生产废水 9m³/d，回用率高，结合水质特性、处理工艺及管控措施，从工艺适配、污染累积防控、酸碱与盐分平衡等方面，综合论证回用技术可行性如下：</w:t>
            </w:r>
          </w:p>
          <w:p w14:paraId="71104EF9">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工艺适配性可行，满足洗料回用水质要求</w:t>
            </w:r>
            <w:r>
              <w:rPr>
                <w:rFonts w:hint="eastAsia"/>
                <w:color w:val="auto"/>
                <w:sz w:val="24"/>
                <w:szCs w:val="24"/>
                <w:highlight w:val="none"/>
                <w:lang w:val="en-US" w:eastAsia="zh-CN"/>
              </w:rPr>
              <w:t>。</w:t>
            </w:r>
            <w:r>
              <w:rPr>
                <w:rFonts w:hint="default"/>
                <w:color w:val="auto"/>
                <w:sz w:val="24"/>
                <w:szCs w:val="24"/>
                <w:highlight w:val="none"/>
                <w:lang w:val="en-US" w:eastAsia="zh-CN"/>
              </w:rPr>
              <w:t>洗料废水主要污染物为悬浮物、少量有机物、塑料碎屑及清洗夹带杂质，无高毒难降解物质。厂区配套混凝 + 气浮 + 生化组合预处理工艺，可有效去除废水中 SS、胶体污染物、少量 COD 及油污，出水清澈度、洁净度完全满足废旧塑料简单清洗的生产用水要求；洗料工序对水质指标要求宽松，无需纯水级别水质，常规预处理出水即可稳定适配生产回用，工艺路线成熟、运维简单，技术落地性强。</w:t>
            </w:r>
          </w:p>
          <w:p w14:paraId="1ABEAAB2">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盐分及污染物累积可控，长期运行无富集风险</w:t>
            </w:r>
            <w:r>
              <w:rPr>
                <w:rFonts w:hint="eastAsia"/>
                <w:color w:val="auto"/>
                <w:sz w:val="24"/>
                <w:szCs w:val="24"/>
                <w:highlight w:val="none"/>
                <w:lang w:val="en-US" w:eastAsia="zh-CN"/>
              </w:rPr>
              <w:t>。</w:t>
            </w:r>
            <w:r>
              <w:rPr>
                <w:rFonts w:hint="default"/>
                <w:color w:val="auto"/>
                <w:sz w:val="24"/>
                <w:szCs w:val="24"/>
                <w:highlight w:val="none"/>
                <w:lang w:val="en-US" w:eastAsia="zh-CN"/>
              </w:rPr>
              <w:t>本项目虽生产过程投加酸碱、混凝药剂，会带入一定盐类及溶解性离子，但系统设置定量连续外排措施，每日稳定外排废水 9m³/d，可持续将系统内富集的氯离子、硫酸盐、药剂残留盐分及溶解性污染物定期带出，打破污染物闭环累积；同时车间定期对回用池水、循环水池进行底部排污、沉淀清淤，定期置换少量循环水体，进一步削减溶解性盐类、老化污染物富集，避免盐分不断升高、水质恶化问题。结合园区污水厂接管要求，外排少量废水可稳定达标接入市政污水管网，依托园区污水处理厂统一降解处理，既控制内部循环盐分浓度，又保障回用系统水质长期稳定。</w:t>
            </w:r>
          </w:p>
          <w:p w14:paraId="78126DC9">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酸碱药剂影响可通过工艺调节抵消</w:t>
            </w:r>
            <w:r>
              <w:rPr>
                <w:rFonts w:hint="eastAsia"/>
                <w:color w:val="auto"/>
                <w:sz w:val="24"/>
                <w:szCs w:val="24"/>
                <w:highlight w:val="none"/>
                <w:lang w:val="en-US" w:eastAsia="zh-CN"/>
              </w:rPr>
              <w:t>。</w:t>
            </w:r>
            <w:r>
              <w:rPr>
                <w:rFonts w:hint="default"/>
                <w:color w:val="auto"/>
                <w:sz w:val="24"/>
                <w:szCs w:val="24"/>
                <w:highlight w:val="none"/>
                <w:lang w:val="en-US" w:eastAsia="zh-CN"/>
              </w:rPr>
              <w:t>项目投加的酸碱调节剂、PAC、PAM 等药剂，主要作用于物化段中和 pH、絮凝沉淀杂质，经混凝气浮沉淀及生化调节后，水体酸碱可稳定控制在 6～9 中性区间；残余药剂组分随污泥沉淀去除大部分，残留微量盐分经持续小流量外排平衡浓度，不会造成回用废水 pH 波动、腐蚀性增强，不会影响塑料清洗效果与设备正常使用，药剂使用带来的次生盐类影响可实现常态化管控。</w:t>
            </w:r>
          </w:p>
          <w:p w14:paraId="329C00BF">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运维管理措施完善，保障回用系统稳定运行</w:t>
            </w:r>
            <w:r>
              <w:rPr>
                <w:rFonts w:hint="eastAsia"/>
                <w:color w:val="auto"/>
                <w:sz w:val="24"/>
                <w:szCs w:val="24"/>
                <w:highlight w:val="none"/>
                <w:lang w:val="en-US" w:eastAsia="zh-CN"/>
              </w:rPr>
              <w:t>。</w:t>
            </w:r>
            <w:r>
              <w:rPr>
                <w:rFonts w:hint="default"/>
                <w:color w:val="auto"/>
                <w:sz w:val="24"/>
                <w:szCs w:val="24"/>
                <w:highlight w:val="none"/>
                <w:lang w:val="en-US" w:eastAsia="zh-CN"/>
              </w:rPr>
              <w:t>企业建立循环用水管理制度，定期监测回用废水 pH、电导率、悬浮物、盐度等关键指标，根据水质变化适时调整药剂投加量、排污水量；及时清理沉淀池、气浮浮渣及污泥，减少污染物内源释放；合理优化回用频次与补水比例，通过少量新鲜自来水定期补给，进一步稀释循环水体盐分浓度，多重管控措施可有效规避长期回用带来的水质劣化、盐分累积问题。</w:t>
            </w:r>
          </w:p>
          <w:p w14:paraId="7C52DCB3">
            <w:pPr>
              <w:pStyle w:val="122"/>
              <w:adjustRightInd/>
              <w:spacing w:before="100" w:after="100"/>
              <w:ind w:firstLine="480"/>
              <w:textAlignment w:val="auto"/>
              <w:rPr>
                <w:rFonts w:hint="default"/>
                <w:color w:val="auto"/>
                <w:sz w:val="24"/>
                <w:szCs w:val="24"/>
                <w:highlight w:val="none"/>
                <w:lang w:val="en-US" w:eastAsia="zh-CN"/>
              </w:rPr>
            </w:pPr>
            <w:r>
              <w:rPr>
                <w:rFonts w:hint="default"/>
                <w:color w:val="auto"/>
                <w:sz w:val="24"/>
                <w:szCs w:val="24"/>
                <w:highlight w:val="none"/>
                <w:lang w:val="en-US" w:eastAsia="zh-CN"/>
              </w:rPr>
              <w:t>综上，本项目洗料废水预处理工艺成熟可靠，通过小流量持续外排 + 定期清淤 + 水质监测 + 新鲜水补给多重管控，可有效控制盐分、药剂残留及污染物累积影响，大量废水回用生产具备充分的技术可行性与长期运行稳定性。</w:t>
            </w:r>
          </w:p>
          <w:p w14:paraId="26CBF8AC">
            <w:pPr>
              <w:jc w:val="center"/>
              <w:rPr>
                <w:color w:val="auto"/>
                <w:highlight w:val="none"/>
              </w:rPr>
            </w:pPr>
            <w:r>
              <w:rPr>
                <w:color w:val="auto"/>
                <w:highlight w:val="none"/>
              </w:rPr>
              <w:drawing>
                <wp:inline distT="0" distB="0" distL="0" distR="0">
                  <wp:extent cx="5491480" cy="2808605"/>
                  <wp:effectExtent l="0" t="0" r="13970" b="10795"/>
                  <wp:docPr id="1030" name="图片 50" descr="ddd61d87886a5215ae08860324ec74a5~tplv-be4g95zd3a-image (1)"/>
                  <wp:cNvGraphicFramePr/>
                  <a:graphic xmlns:a="http://schemas.openxmlformats.org/drawingml/2006/main">
                    <a:graphicData uri="http://schemas.openxmlformats.org/drawingml/2006/picture">
                      <pic:pic xmlns:pic="http://schemas.openxmlformats.org/drawingml/2006/picture">
                        <pic:nvPicPr>
                          <pic:cNvPr id="1030" name="图片 50" descr="ddd61d87886a5215ae08860324ec74a5~tplv-be4g95zd3a-image (1)"/>
                          <pic:cNvPicPr/>
                        </pic:nvPicPr>
                        <pic:blipFill>
                          <a:blip r:embed="rId25" cstate="print"/>
                          <a:srcRect/>
                          <a:stretch>
                            <a:fillRect/>
                          </a:stretch>
                        </pic:blipFill>
                        <pic:spPr>
                          <a:xfrm>
                            <a:off x="0" y="0"/>
                            <a:ext cx="5491480" cy="2808605"/>
                          </a:xfrm>
                          <a:prstGeom prst="rect">
                            <a:avLst/>
                          </a:prstGeom>
                        </pic:spPr>
                      </pic:pic>
                    </a:graphicData>
                  </a:graphic>
                </wp:inline>
              </w:drawing>
            </w:r>
          </w:p>
          <w:p w14:paraId="4AB8B632">
            <w:pPr>
              <w:keepNext/>
              <w:keepLines/>
              <w:numPr>
                <w:ilvl w:val="0"/>
                <w:numId w:val="0"/>
              </w:numPr>
              <w:tabs>
                <w:tab w:val="left" w:pos="0"/>
              </w:tabs>
              <w:snapToGrid w:val="0"/>
              <w:ind w:left="0" w:leftChars="0" w:firstLine="0" w:firstLineChars="0"/>
              <w:jc w:val="center"/>
              <w:outlineLvl w:val="3"/>
              <w:rPr>
                <w:b/>
                <w:bCs/>
                <w:color w:val="auto"/>
                <w:sz w:val="21"/>
                <w:szCs w:val="21"/>
                <w:highlight w:val="none"/>
              </w:rPr>
            </w:pPr>
            <w:r>
              <w:rPr>
                <w:rFonts w:hint="default" w:ascii="Times New Roman" w:hAnsi="Times New Roman" w:eastAsia="宋体" w:cs="Times New Roman"/>
                <w:b/>
                <w:bCs/>
                <w:color w:val="auto"/>
                <w:kern w:val="2"/>
                <w:sz w:val="21"/>
                <w:szCs w:val="21"/>
                <w:highlight w:val="none"/>
                <w:lang w:val="en-US" w:eastAsia="zh-CN" w:bidi="ar-SA"/>
              </w:rPr>
              <w:t>图4-</w:t>
            </w:r>
            <w:r>
              <w:rPr>
                <w:rFonts w:hint="eastAsia" w:cs="Times New Roman"/>
                <w:b/>
                <w:bCs/>
                <w:color w:val="auto"/>
                <w:kern w:val="2"/>
                <w:sz w:val="21"/>
                <w:szCs w:val="21"/>
                <w:highlight w:val="none"/>
                <w:lang w:val="en-US" w:eastAsia="zh-CN" w:bidi="ar-SA"/>
              </w:rPr>
              <w:t xml:space="preserve">2 </w:t>
            </w:r>
            <w:r>
              <w:rPr>
                <w:b/>
                <w:bCs/>
                <w:color w:val="auto"/>
                <w:sz w:val="21"/>
                <w:szCs w:val="21"/>
                <w:highlight w:val="none"/>
              </w:rPr>
              <w:t>项目生产废水处理流程图</w:t>
            </w:r>
          </w:p>
          <w:p w14:paraId="5820B54F">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w:t>
            </w:r>
            <w:r>
              <w:rPr>
                <w:rFonts w:hint="eastAsia"/>
                <w:b/>
                <w:bCs/>
                <w:color w:val="auto"/>
                <w:sz w:val="21"/>
                <w:szCs w:val="21"/>
                <w:highlight w:val="none"/>
                <w:lang w:val="en-US" w:eastAsia="zh-CN"/>
              </w:rPr>
              <w:t>20</w:t>
            </w:r>
            <w:r>
              <w:rPr>
                <w:b/>
                <w:bCs/>
                <w:color w:val="auto"/>
                <w:sz w:val="21"/>
                <w:szCs w:val="21"/>
                <w:highlight w:val="none"/>
              </w:rPr>
              <w:t xml:space="preserve"> 项目污水处理站废水处理设施主要构筑物参数</w:t>
            </w:r>
          </w:p>
          <w:tbl>
            <w:tblPr>
              <w:tblStyle w:val="49"/>
              <w:tblW w:w="13499" w:type="dxa"/>
              <w:tblInd w:w="0" w:type="dxa"/>
              <w:tblLayout w:type="fixed"/>
              <w:tblCellMar>
                <w:top w:w="0" w:type="dxa"/>
                <w:left w:w="108" w:type="dxa"/>
                <w:bottom w:w="0" w:type="dxa"/>
                <w:right w:w="108" w:type="dxa"/>
              </w:tblCellMar>
            </w:tblPr>
            <w:tblGrid>
              <w:gridCol w:w="1766"/>
              <w:gridCol w:w="3600"/>
              <w:gridCol w:w="1461"/>
              <w:gridCol w:w="1542"/>
              <w:gridCol w:w="1321"/>
              <w:gridCol w:w="1280"/>
              <w:gridCol w:w="1418"/>
              <w:gridCol w:w="1111"/>
            </w:tblGrid>
            <w:tr w14:paraId="66D59539">
              <w:tblPrEx>
                <w:tblCellMar>
                  <w:top w:w="0" w:type="dxa"/>
                  <w:left w:w="108" w:type="dxa"/>
                  <w:bottom w:w="0" w:type="dxa"/>
                  <w:right w:w="108" w:type="dxa"/>
                </w:tblCellMar>
              </w:tblPrEx>
              <w:trPr>
                <w:trHeight w:val="538" w:hRule="atLeast"/>
              </w:trPr>
              <w:tc>
                <w:tcPr>
                  <w:tcW w:w="198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0618">
                  <w:pPr>
                    <w:widowControl/>
                    <w:spacing w:line="276" w:lineRule="auto"/>
                    <w:jc w:val="center"/>
                    <w:textAlignment w:val="center"/>
                    <w:rPr>
                      <w:b/>
                      <w:bCs/>
                      <w:color w:val="auto"/>
                      <w:sz w:val="21"/>
                      <w:szCs w:val="21"/>
                      <w:highlight w:val="none"/>
                    </w:rPr>
                  </w:pPr>
                  <w:r>
                    <w:rPr>
                      <w:b/>
                      <w:bCs/>
                      <w:color w:val="auto"/>
                      <w:kern w:val="0"/>
                      <w:sz w:val="21"/>
                      <w:szCs w:val="21"/>
                      <w:highlight w:val="none"/>
                    </w:rPr>
                    <w:t>各级处理效果各项指标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E5BF1">
                  <w:pPr>
                    <w:widowControl/>
                    <w:spacing w:line="276" w:lineRule="auto"/>
                    <w:jc w:val="center"/>
                    <w:textAlignment w:val="center"/>
                    <w:rPr>
                      <w:b/>
                      <w:bCs/>
                      <w:color w:val="auto"/>
                      <w:sz w:val="21"/>
                      <w:szCs w:val="21"/>
                      <w:highlight w:val="none"/>
                    </w:rPr>
                  </w:pPr>
                  <w:r>
                    <w:rPr>
                      <w:b/>
                      <w:bCs/>
                      <w:color w:val="auto"/>
                      <w:kern w:val="0"/>
                      <w:sz w:val="21"/>
                      <w:szCs w:val="21"/>
                      <w:highlight w:val="none"/>
                    </w:rPr>
                    <w:t>水量(m³/a)</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AE05">
                  <w:pPr>
                    <w:widowControl/>
                    <w:jc w:val="center"/>
                    <w:textAlignment w:val="center"/>
                    <w:rPr>
                      <w:b/>
                      <w:bCs/>
                      <w:color w:val="auto"/>
                      <w:sz w:val="21"/>
                      <w:szCs w:val="21"/>
                      <w:highlight w:val="none"/>
                    </w:rPr>
                  </w:pPr>
                  <w:r>
                    <w:rPr>
                      <w:b/>
                      <w:bCs/>
                      <w:color w:val="auto"/>
                      <w:kern w:val="0"/>
                      <w:sz w:val="21"/>
                      <w:szCs w:val="21"/>
                      <w:highlight w:val="none"/>
                    </w:rPr>
                    <w:t>COD</w:t>
                  </w:r>
                  <w:r>
                    <w:rPr>
                      <w:b/>
                      <w:bCs/>
                      <w:color w:val="auto"/>
                      <w:kern w:val="0"/>
                      <w:sz w:val="21"/>
                      <w:szCs w:val="21"/>
                      <w:highlight w:val="none"/>
                      <w:vertAlign w:val="subscript"/>
                    </w:rPr>
                    <w:t>cr</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B6704">
                  <w:pPr>
                    <w:widowControl/>
                    <w:jc w:val="center"/>
                    <w:textAlignment w:val="center"/>
                    <w:rPr>
                      <w:b/>
                      <w:bCs/>
                      <w:color w:val="auto"/>
                      <w:sz w:val="21"/>
                      <w:szCs w:val="21"/>
                      <w:highlight w:val="none"/>
                    </w:rPr>
                  </w:pPr>
                  <w:r>
                    <w:rPr>
                      <w:rFonts w:hint="eastAsia"/>
                      <w:b/>
                      <w:bCs/>
                      <w:color w:val="auto"/>
                      <w:kern w:val="0"/>
                      <w:sz w:val="22"/>
                      <w:szCs w:val="22"/>
                      <w:highlight w:val="none"/>
                    </w:rPr>
                    <w:t>氨氮</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8B59">
                  <w:pPr>
                    <w:widowControl/>
                    <w:jc w:val="center"/>
                    <w:textAlignment w:val="center"/>
                    <w:rPr>
                      <w:b/>
                      <w:bCs/>
                      <w:color w:val="auto"/>
                      <w:sz w:val="21"/>
                      <w:szCs w:val="21"/>
                      <w:highlight w:val="none"/>
                    </w:rPr>
                  </w:pPr>
                  <w:r>
                    <w:rPr>
                      <w:rFonts w:hint="eastAsia"/>
                      <w:b/>
                      <w:bCs/>
                      <w:color w:val="auto"/>
                      <w:kern w:val="0"/>
                      <w:sz w:val="21"/>
                      <w:szCs w:val="21"/>
                      <w:highlight w:val="none"/>
                    </w:rPr>
                    <w:t>总氮</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94EF8">
                  <w:pPr>
                    <w:widowControl/>
                    <w:jc w:val="center"/>
                    <w:textAlignment w:val="center"/>
                    <w:rPr>
                      <w:b/>
                      <w:bCs/>
                      <w:color w:val="auto"/>
                      <w:kern w:val="0"/>
                      <w:sz w:val="21"/>
                      <w:szCs w:val="21"/>
                      <w:highlight w:val="none"/>
                    </w:rPr>
                  </w:pPr>
                  <w:r>
                    <w:rPr>
                      <w:b/>
                      <w:bCs/>
                      <w:color w:val="auto"/>
                      <w:kern w:val="0"/>
                      <w:sz w:val="21"/>
                      <w:szCs w:val="21"/>
                      <w:highlight w:val="none"/>
                    </w:rPr>
                    <w:t>石油类</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69A2">
                  <w:pPr>
                    <w:widowControl/>
                    <w:jc w:val="center"/>
                    <w:textAlignment w:val="center"/>
                    <w:rPr>
                      <w:b/>
                      <w:bCs/>
                      <w:color w:val="auto"/>
                      <w:kern w:val="0"/>
                      <w:sz w:val="21"/>
                      <w:szCs w:val="21"/>
                      <w:highlight w:val="none"/>
                    </w:rPr>
                  </w:pPr>
                  <w:r>
                    <w:rPr>
                      <w:rFonts w:hint="eastAsia"/>
                      <w:b/>
                      <w:bCs/>
                      <w:color w:val="auto"/>
                      <w:kern w:val="0"/>
                      <w:sz w:val="21"/>
                      <w:szCs w:val="21"/>
                      <w:highlight w:val="none"/>
                    </w:rPr>
                    <w:t>总磷</w:t>
                  </w:r>
                </w:p>
              </w:tc>
            </w:tr>
            <w:tr w14:paraId="209618F2">
              <w:tblPrEx>
                <w:tblCellMar>
                  <w:top w:w="0" w:type="dxa"/>
                  <w:left w:w="108" w:type="dxa"/>
                  <w:bottom w:w="0" w:type="dxa"/>
                  <w:right w:w="108" w:type="dxa"/>
                </w:tblCellMar>
              </w:tblPrEx>
              <w:trPr>
                <w:trHeight w:val="544" w:hRule="atLeast"/>
              </w:trPr>
              <w:tc>
                <w:tcPr>
                  <w:tcW w:w="65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30D7">
                  <w:pPr>
                    <w:widowControl/>
                    <w:spacing w:line="276" w:lineRule="auto"/>
                    <w:jc w:val="center"/>
                    <w:textAlignment w:val="center"/>
                    <w:rPr>
                      <w:color w:val="auto"/>
                      <w:sz w:val="21"/>
                      <w:szCs w:val="21"/>
                      <w:highlight w:val="none"/>
                    </w:rPr>
                  </w:pPr>
                  <w:r>
                    <w:rPr>
                      <w:color w:val="auto"/>
                      <w:kern w:val="0"/>
                      <w:sz w:val="21"/>
                      <w:szCs w:val="21"/>
                      <w:highlight w:val="none"/>
                    </w:rPr>
                    <w:t>生产废水</w:t>
                  </w:r>
                </w:p>
              </w:tc>
              <w:tc>
                <w:tcPr>
                  <w:tcW w:w="1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6741">
                  <w:pPr>
                    <w:widowControl/>
                    <w:spacing w:line="276" w:lineRule="auto"/>
                    <w:jc w:val="center"/>
                    <w:textAlignment w:val="center"/>
                    <w:rPr>
                      <w:color w:val="auto"/>
                      <w:sz w:val="21"/>
                      <w:szCs w:val="21"/>
                      <w:highlight w:val="none"/>
                    </w:rPr>
                  </w:pPr>
                  <w:r>
                    <w:rPr>
                      <w:color w:val="auto"/>
                      <w:kern w:val="0"/>
                      <w:sz w:val="21"/>
                      <w:szCs w:val="21"/>
                      <w:highlight w:val="none"/>
                    </w:rPr>
                    <w:t>进水(mg/L)</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6D69">
                  <w:pPr>
                    <w:widowControl/>
                    <w:spacing w:line="276" w:lineRule="auto"/>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rPr>
                    <w:t>64403.4</w:t>
                  </w: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005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318.1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4F45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17.2</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8B60">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25.9</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2908">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14.2</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422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F98BD9F">
              <w:tblPrEx>
                <w:tblCellMar>
                  <w:top w:w="0" w:type="dxa"/>
                  <w:left w:w="108" w:type="dxa"/>
                  <w:bottom w:w="0" w:type="dxa"/>
                  <w:right w:w="108" w:type="dxa"/>
                </w:tblCellMar>
              </w:tblPrEx>
              <w:trPr>
                <w:trHeight w:val="575" w:hRule="atLeast"/>
              </w:trPr>
              <w:tc>
                <w:tcPr>
                  <w:tcW w:w="6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AEAB">
                  <w:pPr>
                    <w:widowControl/>
                    <w:spacing w:line="276" w:lineRule="auto"/>
                    <w:jc w:val="center"/>
                    <w:rPr>
                      <w:color w:val="auto"/>
                      <w:sz w:val="21"/>
                      <w:szCs w:val="21"/>
                      <w:highlight w:val="none"/>
                    </w:rPr>
                  </w:pPr>
                </w:p>
              </w:tc>
              <w:tc>
                <w:tcPr>
                  <w:tcW w:w="1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67066">
                  <w:pPr>
                    <w:widowControl/>
                    <w:spacing w:line="276" w:lineRule="auto"/>
                    <w:jc w:val="center"/>
                    <w:textAlignment w:val="center"/>
                    <w:rPr>
                      <w:color w:val="auto"/>
                      <w:sz w:val="21"/>
                      <w:szCs w:val="21"/>
                      <w:highlight w:val="none"/>
                    </w:rPr>
                  </w:pPr>
                  <w:r>
                    <w:rPr>
                      <w:rFonts w:hint="eastAsia"/>
                      <w:color w:val="auto"/>
                      <w:kern w:val="0"/>
                      <w:sz w:val="21"/>
                      <w:szCs w:val="21"/>
                      <w:highlight w:val="none"/>
                    </w:rPr>
                    <w:t>调节+絮凝沉淀+A/O</w:t>
                  </w: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55A4">
                  <w:pPr>
                    <w:widowControl/>
                    <w:spacing w:line="276" w:lineRule="auto"/>
                    <w:jc w:val="center"/>
                    <w:rPr>
                      <w:color w:val="auto"/>
                      <w:sz w:val="21"/>
                      <w:szCs w:val="21"/>
                      <w:highlight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38E2">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405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B84A">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117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AD99">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r>
            <w:tr w14:paraId="3821ACB2">
              <w:tblPrEx>
                <w:tblCellMar>
                  <w:top w:w="0" w:type="dxa"/>
                  <w:left w:w="108" w:type="dxa"/>
                  <w:bottom w:w="0" w:type="dxa"/>
                  <w:right w:w="108" w:type="dxa"/>
                </w:tblCellMar>
              </w:tblPrEx>
              <w:trPr>
                <w:trHeight w:val="544" w:hRule="atLeast"/>
              </w:trPr>
              <w:tc>
                <w:tcPr>
                  <w:tcW w:w="6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4674">
                  <w:pPr>
                    <w:widowControl/>
                    <w:spacing w:line="276" w:lineRule="auto"/>
                    <w:jc w:val="center"/>
                    <w:rPr>
                      <w:color w:val="auto"/>
                      <w:sz w:val="21"/>
                      <w:szCs w:val="21"/>
                      <w:highlight w:val="none"/>
                    </w:rPr>
                  </w:pPr>
                </w:p>
              </w:tc>
              <w:tc>
                <w:tcPr>
                  <w:tcW w:w="1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4764">
                  <w:pPr>
                    <w:widowControl/>
                    <w:spacing w:line="276" w:lineRule="auto"/>
                    <w:jc w:val="center"/>
                    <w:textAlignment w:val="center"/>
                    <w:rPr>
                      <w:color w:val="auto"/>
                      <w:sz w:val="21"/>
                      <w:szCs w:val="21"/>
                      <w:highlight w:val="none"/>
                    </w:rPr>
                  </w:pPr>
                  <w:r>
                    <w:rPr>
                      <w:color w:val="auto"/>
                      <w:kern w:val="0"/>
                      <w:sz w:val="21"/>
                      <w:szCs w:val="21"/>
                      <w:highlight w:val="none"/>
                    </w:rPr>
                    <w:t>处理后浓度（mg/L）</w:t>
                  </w: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BFEE">
                  <w:pPr>
                    <w:widowControl/>
                    <w:spacing w:line="276" w:lineRule="auto"/>
                    <w:jc w:val="center"/>
                    <w:rPr>
                      <w:color w:val="auto"/>
                      <w:sz w:val="21"/>
                      <w:szCs w:val="21"/>
                      <w:highlight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4320">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31.81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FAF2">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3.44</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EB03">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12.95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46E2">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6.39</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3A5B">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0.6</w:t>
                  </w:r>
                </w:p>
              </w:tc>
            </w:tr>
            <w:tr w14:paraId="6C509612">
              <w:tblPrEx>
                <w:tblCellMar>
                  <w:top w:w="0" w:type="dxa"/>
                  <w:left w:w="108" w:type="dxa"/>
                  <w:bottom w:w="0" w:type="dxa"/>
                  <w:right w:w="108" w:type="dxa"/>
                </w:tblCellMar>
              </w:tblPrEx>
              <w:trPr>
                <w:trHeight w:val="544" w:hRule="atLeast"/>
              </w:trPr>
              <w:tc>
                <w:tcPr>
                  <w:tcW w:w="6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93FFD">
                  <w:pPr>
                    <w:widowControl/>
                    <w:spacing w:line="276" w:lineRule="auto"/>
                    <w:jc w:val="center"/>
                    <w:rPr>
                      <w:color w:val="auto"/>
                      <w:sz w:val="21"/>
                      <w:szCs w:val="21"/>
                      <w:highlight w:val="none"/>
                    </w:rPr>
                  </w:pPr>
                </w:p>
              </w:tc>
              <w:tc>
                <w:tcPr>
                  <w:tcW w:w="1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FDFF">
                  <w:pPr>
                    <w:widowControl/>
                    <w:spacing w:line="276" w:lineRule="auto"/>
                    <w:jc w:val="center"/>
                    <w:textAlignment w:val="center"/>
                    <w:rPr>
                      <w:color w:val="auto"/>
                      <w:sz w:val="21"/>
                      <w:szCs w:val="21"/>
                      <w:highlight w:val="none"/>
                    </w:rPr>
                  </w:pPr>
                  <w:r>
                    <w:rPr>
                      <w:rFonts w:hint="eastAsia"/>
                      <w:color w:val="auto"/>
                      <w:kern w:val="0"/>
                      <w:sz w:val="21"/>
                      <w:szCs w:val="21"/>
                      <w:highlight w:val="none"/>
                    </w:rPr>
                    <w:t>二沉池+消毒</w:t>
                  </w:r>
                  <w:r>
                    <w:rPr>
                      <w:color w:val="auto"/>
                      <w:kern w:val="0"/>
                      <w:sz w:val="21"/>
                      <w:szCs w:val="21"/>
                      <w:highlight w:val="none"/>
                    </w:rPr>
                    <w:t>池去除效率</w:t>
                  </w: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36A5">
                  <w:pPr>
                    <w:widowControl/>
                    <w:spacing w:line="276" w:lineRule="auto"/>
                    <w:jc w:val="center"/>
                    <w:rPr>
                      <w:color w:val="auto"/>
                      <w:sz w:val="21"/>
                      <w:szCs w:val="21"/>
                      <w:highlight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E323">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DD6C">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4A9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B83E">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85%</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677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17ADC6D9">
              <w:tblPrEx>
                <w:tblCellMar>
                  <w:top w:w="0" w:type="dxa"/>
                  <w:left w:w="108" w:type="dxa"/>
                  <w:bottom w:w="0" w:type="dxa"/>
                  <w:right w:w="108" w:type="dxa"/>
                </w:tblCellMar>
              </w:tblPrEx>
              <w:trPr>
                <w:trHeight w:val="544" w:hRule="atLeast"/>
              </w:trPr>
              <w:tc>
                <w:tcPr>
                  <w:tcW w:w="6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056A">
                  <w:pPr>
                    <w:widowControl/>
                    <w:spacing w:line="276" w:lineRule="auto"/>
                    <w:jc w:val="center"/>
                    <w:rPr>
                      <w:color w:val="auto"/>
                      <w:sz w:val="21"/>
                      <w:szCs w:val="21"/>
                      <w:highlight w:val="none"/>
                    </w:rPr>
                  </w:pPr>
                </w:p>
              </w:tc>
              <w:tc>
                <w:tcPr>
                  <w:tcW w:w="1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78FE">
                  <w:pPr>
                    <w:widowControl/>
                    <w:spacing w:line="276" w:lineRule="auto"/>
                    <w:jc w:val="center"/>
                    <w:textAlignment w:val="center"/>
                    <w:rPr>
                      <w:color w:val="auto"/>
                      <w:sz w:val="21"/>
                      <w:szCs w:val="21"/>
                      <w:highlight w:val="none"/>
                    </w:rPr>
                  </w:pPr>
                  <w:r>
                    <w:rPr>
                      <w:color w:val="auto"/>
                      <w:kern w:val="0"/>
                      <w:sz w:val="21"/>
                      <w:szCs w:val="21"/>
                      <w:highlight w:val="none"/>
                    </w:rPr>
                    <w:t>处理后浓度（mg/L）</w:t>
                  </w: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B9E1">
                  <w:pPr>
                    <w:widowControl/>
                    <w:spacing w:line="276" w:lineRule="auto"/>
                    <w:jc w:val="center"/>
                    <w:rPr>
                      <w:color w:val="auto"/>
                      <w:sz w:val="21"/>
                      <w:szCs w:val="21"/>
                      <w:highlight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03D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31.81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70B2">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3.44</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1BA0">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12.95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2017">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0.9</w:t>
                  </w:r>
                  <w:r>
                    <w:rPr>
                      <w:rFonts w:hint="eastAsia" w:ascii="Times New Roman" w:hAnsi="Times New Roman" w:eastAsia="宋体" w:cs="Times New Roman"/>
                      <w:i w:val="0"/>
                      <w:iCs w:val="0"/>
                      <w:color w:val="auto"/>
                      <w:kern w:val="0"/>
                      <w:sz w:val="20"/>
                      <w:szCs w:val="20"/>
                      <w:highlight w:val="none"/>
                      <w:u w:val="none"/>
                      <w:lang w:val="en-US" w:eastAsia="zh-CN" w:bidi="ar"/>
                    </w:rPr>
                    <w:t>6</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4EA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0.3</w:t>
                  </w:r>
                </w:p>
              </w:tc>
            </w:tr>
            <w:tr w14:paraId="45DE0FD8">
              <w:tblPrEx>
                <w:tblCellMar>
                  <w:top w:w="0" w:type="dxa"/>
                  <w:left w:w="108" w:type="dxa"/>
                  <w:bottom w:w="0" w:type="dxa"/>
                  <w:right w:w="108" w:type="dxa"/>
                </w:tblCellMar>
              </w:tblPrEx>
              <w:trPr>
                <w:trHeight w:val="574" w:hRule="atLeast"/>
              </w:trPr>
              <w:tc>
                <w:tcPr>
                  <w:tcW w:w="252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446C">
                  <w:pPr>
                    <w:widowControl/>
                    <w:spacing w:line="276" w:lineRule="auto"/>
                    <w:jc w:val="center"/>
                    <w:textAlignment w:val="center"/>
                    <w:rPr>
                      <w:color w:val="auto"/>
                      <w:sz w:val="21"/>
                      <w:szCs w:val="21"/>
                      <w:highlight w:val="none"/>
                    </w:rPr>
                  </w:pPr>
                  <w:r>
                    <w:rPr>
                      <w:color w:val="auto"/>
                      <w:kern w:val="0"/>
                      <w:sz w:val="21"/>
                      <w:szCs w:val="21"/>
                      <w:highlight w:val="none"/>
                    </w:rPr>
                    <w:t>执行标准排放限值（mg/L）</w:t>
                  </w: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2402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EF5D">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3EC5">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7BC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10A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BD559DC">
              <w:tblPrEx>
                <w:tblCellMar>
                  <w:top w:w="0" w:type="dxa"/>
                  <w:left w:w="108" w:type="dxa"/>
                  <w:bottom w:w="0" w:type="dxa"/>
                  <w:right w:w="108" w:type="dxa"/>
                </w:tblCellMar>
              </w:tblPrEx>
              <w:trPr>
                <w:trHeight w:val="574" w:hRule="atLeast"/>
              </w:trPr>
              <w:tc>
                <w:tcPr>
                  <w:tcW w:w="252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E70D">
                  <w:pPr>
                    <w:widowControl/>
                    <w:jc w:val="center"/>
                    <w:textAlignment w:val="center"/>
                    <w:rPr>
                      <w:color w:val="auto"/>
                      <w:sz w:val="21"/>
                      <w:szCs w:val="21"/>
                      <w:highlight w:val="none"/>
                    </w:rPr>
                  </w:pPr>
                  <w:r>
                    <w:rPr>
                      <w:color w:val="auto"/>
                      <w:kern w:val="0"/>
                      <w:sz w:val="21"/>
                      <w:szCs w:val="21"/>
                      <w:highlight w:val="none"/>
                    </w:rPr>
                    <w:t>《城市污水再生利用 工业用水水质》（GB/T 19923-2024）</w:t>
                  </w: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319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3A6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926D">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53C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94C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r>
          </w:tbl>
          <w:p w14:paraId="53A3BE4B">
            <w:pPr>
              <w:pStyle w:val="25"/>
              <w:ind w:firstLine="480" w:firstLineChars="200"/>
              <w:rPr>
                <w:color w:val="auto"/>
                <w:highlight w:val="none"/>
              </w:rPr>
            </w:pPr>
            <w:r>
              <w:rPr>
                <w:color w:val="auto"/>
                <w:highlight w:val="none"/>
              </w:rPr>
              <w:t>根据上表计算，本项目生产废水经“中和</w:t>
            </w:r>
            <w:r>
              <w:rPr>
                <w:rFonts w:hint="eastAsia"/>
                <w:color w:val="auto"/>
                <w:highlight w:val="none"/>
              </w:rPr>
              <w:t>调节+絮凝沉淀+A/O+二沉池+消毒</w:t>
            </w:r>
            <w:r>
              <w:rPr>
                <w:color w:val="auto"/>
                <w:highlight w:val="none"/>
              </w:rPr>
              <w:t>”处理后达到广东省地方标准《水污染物排放限值》（DB44/26-2001）第二时段三级标准及园区污水处理厂接管水质要求两者较严值要求，满足进入园区污水处理厂的要求。因此，项目废水处理措施可行。</w:t>
            </w:r>
          </w:p>
          <w:p w14:paraId="47B0689A">
            <w:pPr>
              <w:pStyle w:val="21"/>
              <w:numPr>
                <w:ilvl w:val="4"/>
                <w:numId w:val="0"/>
              </w:numPr>
              <w:ind w:left="480"/>
              <w:rPr>
                <w:color w:val="auto"/>
                <w:kern w:val="2"/>
                <w:highlight w:val="none"/>
              </w:rPr>
            </w:pPr>
            <w:r>
              <w:rPr>
                <w:color w:val="auto"/>
                <w:kern w:val="2"/>
                <w:highlight w:val="none"/>
              </w:rPr>
              <w:t>（2）水污染物控制和水环境影响减缓措施有效性评价</w:t>
            </w:r>
          </w:p>
          <w:p w14:paraId="1E6E2EFC">
            <w:pPr>
              <w:pStyle w:val="24"/>
              <w:ind w:firstLine="480"/>
              <w:rPr>
                <w:color w:val="auto"/>
                <w:sz w:val="24"/>
                <w:highlight w:val="none"/>
              </w:rPr>
            </w:pPr>
            <w:r>
              <w:rPr>
                <w:color w:val="auto"/>
                <w:sz w:val="24"/>
                <w:highlight w:val="none"/>
              </w:rPr>
              <w:t>本项目位于广东省韶关市乐昌市乐昌产业转移工业园内，属于园区污水处理范围。项目生活污水经</w:t>
            </w:r>
            <w:r>
              <w:rPr>
                <w:rFonts w:hint="eastAsia"/>
                <w:color w:val="auto"/>
                <w:sz w:val="24"/>
                <w:highlight w:val="none"/>
                <w:lang w:eastAsia="zh-CN"/>
              </w:rPr>
              <w:t>三级化粪池+隔油隔渣池</w:t>
            </w:r>
            <w:r>
              <w:rPr>
                <w:color w:val="auto"/>
                <w:sz w:val="24"/>
                <w:highlight w:val="none"/>
              </w:rPr>
              <w:t>预处理</w:t>
            </w:r>
            <w:r>
              <w:rPr>
                <w:rFonts w:hint="eastAsia"/>
                <w:color w:val="auto"/>
                <w:sz w:val="24"/>
                <w:highlight w:val="none"/>
              </w:rPr>
              <w:t>、生产废水经“中和调节+絮凝沉淀+A/O+二沉池+消毒”处理，两股废水处理</w:t>
            </w:r>
            <w:r>
              <w:rPr>
                <w:color w:val="auto"/>
                <w:sz w:val="24"/>
                <w:highlight w:val="none"/>
              </w:rPr>
              <w:t>达到广东省地方标准《水污染物排放限值》（DB44/26-2001）第二时段三级标准及园区污水处理厂接管水质要求两者较严值要求后，进入园区污水处理厂深度处理，处理后的尾水排入武江（乐昌城-犁市河段）。</w:t>
            </w:r>
            <w:r>
              <w:rPr>
                <w:color w:val="auto"/>
                <w:kern w:val="0"/>
                <w:sz w:val="24"/>
                <w:highlight w:val="none"/>
              </w:rPr>
              <w:t>园区污水处理厂出水水质执行《城镇污水处理厂污染物排放标准》（GB18918-2002）中一级B标准和广东省《水污染物排放限值》（DB44/26-2001）中的第二时段一级排放标准较严者，对周围环境影响较小。</w:t>
            </w:r>
          </w:p>
          <w:p w14:paraId="22308EC2">
            <w:pPr>
              <w:pStyle w:val="26"/>
              <w:ind w:firstLine="482"/>
              <w:rPr>
                <w:b/>
                <w:bCs/>
                <w:color w:val="auto"/>
                <w:highlight w:val="none"/>
              </w:rPr>
            </w:pPr>
            <w:r>
              <w:rPr>
                <w:b/>
                <w:bCs/>
                <w:color w:val="auto"/>
                <w:highlight w:val="none"/>
              </w:rPr>
              <w:t>（3）依托污水设施的环境可行性评价</w:t>
            </w:r>
          </w:p>
          <w:p w14:paraId="2334C8F4">
            <w:pPr>
              <w:pStyle w:val="26"/>
              <w:ind w:firstLine="480"/>
              <w:rPr>
                <w:color w:val="auto"/>
                <w:highlight w:val="none"/>
              </w:rPr>
            </w:pPr>
            <w:r>
              <w:rPr>
                <w:color w:val="auto"/>
                <w:highlight w:val="none"/>
              </w:rPr>
              <w:t>产业园范围内已有乐昌产业转移工业园污水处理厂，根据乐昌产业转移工业园管网分布图（附图15）可知，本项目所在地块已纳入现状排污管收集范围内。污水工艺采用循环式活性污泥法（CASS）工艺。出水水质标准执行广东省地方标准《水污染物排放限值》(DB44/26-2001)第二时段一级标准及国家《城镇污水处理厂污染物排放标准》(GB18918-2002)一级B标准中较严标准，处理达标后由污水处理厂内提升泵通过已建成6392米长的出水管道输送至武江排放。</w:t>
            </w:r>
          </w:p>
          <w:p w14:paraId="398DD737">
            <w:pPr>
              <w:pStyle w:val="26"/>
              <w:ind w:firstLine="480"/>
              <w:rPr>
                <w:color w:val="auto"/>
                <w:highlight w:val="none"/>
              </w:rPr>
            </w:pPr>
            <w:r>
              <w:rPr>
                <w:color w:val="auto"/>
                <w:highlight w:val="none"/>
              </w:rPr>
              <w:t>园区污水处理厂主体工艺采用为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w:t>
            </w:r>
            <w:r>
              <w:rPr>
                <w:color w:val="auto"/>
                <w:highlight w:val="none"/>
                <w:vertAlign w:val="superscript"/>
              </w:rPr>
              <w:t>-</w:t>
            </w:r>
            <w:r>
              <w:rPr>
                <w:color w:val="auto"/>
                <w:highlight w:val="none"/>
              </w:rPr>
              <w:t>后，预处理达到广东省《水污染物排放限值》(DB44/26-2001)第二时段三级标准。</w:t>
            </w:r>
          </w:p>
          <w:p w14:paraId="7FED9748">
            <w:pPr>
              <w:pStyle w:val="24"/>
              <w:ind w:firstLine="480"/>
              <w:rPr>
                <w:color w:val="auto"/>
                <w:sz w:val="24"/>
                <w:highlight w:val="none"/>
              </w:rPr>
            </w:pPr>
            <w:r>
              <w:rPr>
                <w:color w:val="auto"/>
                <w:sz w:val="24"/>
                <w:highlight w:val="none"/>
              </w:rPr>
              <w:t>产业园污水处理厂目前已建成正常运行，并安装了在线监控设施并与环保部门联网，园区污水处理厂占地面积15400m²，设计处理能力为10000m</w:t>
            </w:r>
            <w:r>
              <w:rPr>
                <w:color w:val="auto"/>
                <w:sz w:val="24"/>
                <w:highlight w:val="none"/>
                <w:vertAlign w:val="superscript"/>
              </w:rPr>
              <w:t>3</w:t>
            </w:r>
            <w:r>
              <w:rPr>
                <w:color w:val="auto"/>
                <w:sz w:val="24"/>
                <w:highlight w:val="none"/>
              </w:rPr>
              <w:t>/d，分两期建设，一期处理能力5000m</w:t>
            </w:r>
            <w:r>
              <w:rPr>
                <w:color w:val="auto"/>
                <w:sz w:val="24"/>
                <w:highlight w:val="none"/>
                <w:vertAlign w:val="superscript"/>
              </w:rPr>
              <w:t>3</w:t>
            </w:r>
            <w:r>
              <w:rPr>
                <w:color w:val="auto"/>
                <w:sz w:val="24"/>
                <w:highlight w:val="none"/>
              </w:rPr>
              <w:t>/d，二期处理能力5000m</w:t>
            </w:r>
            <w:r>
              <w:rPr>
                <w:color w:val="auto"/>
                <w:sz w:val="24"/>
                <w:highlight w:val="none"/>
                <w:vertAlign w:val="superscript"/>
              </w:rPr>
              <w:t>3</w:t>
            </w:r>
            <w:r>
              <w:rPr>
                <w:color w:val="auto"/>
                <w:sz w:val="24"/>
                <w:highlight w:val="none"/>
              </w:rPr>
              <w:t>/d，现状首期5000m</w:t>
            </w:r>
            <w:r>
              <w:rPr>
                <w:color w:val="auto"/>
                <w:sz w:val="24"/>
                <w:highlight w:val="none"/>
                <w:vertAlign w:val="superscript"/>
              </w:rPr>
              <w:t>3</w:t>
            </w:r>
            <w:r>
              <w:rPr>
                <w:color w:val="auto"/>
                <w:sz w:val="24"/>
                <w:highlight w:val="none"/>
              </w:rPr>
              <w:t>/d已经建成运行。</w:t>
            </w:r>
          </w:p>
          <w:p w14:paraId="0282558D">
            <w:pPr>
              <w:widowControl/>
              <w:ind w:firstLine="480" w:firstLineChars="200"/>
              <w:rPr>
                <w:color w:val="auto"/>
                <w:highlight w:val="none"/>
              </w:rPr>
            </w:pPr>
            <w:r>
              <w:rPr>
                <w:color w:val="auto"/>
                <w:highlight w:val="none"/>
              </w:rPr>
              <w:t>根据</w:t>
            </w:r>
            <w:r>
              <w:rPr>
                <w:rFonts w:hint="eastAsia"/>
                <w:color w:val="auto"/>
                <w:highlight w:val="none"/>
              </w:rPr>
              <w:t>乐昌产业转移工业园污水处理厂2026年第1季度季报表</w:t>
            </w:r>
            <w:r>
              <w:rPr>
                <w:color w:val="auto"/>
                <w:highlight w:val="none"/>
              </w:rPr>
              <w:t>的资料显示：202</w:t>
            </w:r>
            <w:r>
              <w:rPr>
                <w:rFonts w:hint="eastAsia"/>
                <w:color w:val="auto"/>
                <w:highlight w:val="none"/>
                <w:lang w:val="en-US" w:eastAsia="zh-CN"/>
              </w:rPr>
              <w:t>6</w:t>
            </w:r>
            <w:r>
              <w:rPr>
                <w:color w:val="auto"/>
                <w:highlight w:val="none"/>
              </w:rPr>
              <w:t>年1月至</w:t>
            </w:r>
            <w:r>
              <w:rPr>
                <w:rFonts w:hint="eastAsia"/>
                <w:color w:val="auto"/>
                <w:highlight w:val="none"/>
                <w:lang w:val="en-US" w:eastAsia="zh-CN"/>
              </w:rPr>
              <w:t>3</w:t>
            </w:r>
            <w:r>
              <w:rPr>
                <w:color w:val="auto"/>
                <w:highlight w:val="none"/>
              </w:rPr>
              <w:t>月期间，乐昌市产业转移工业园污水处理厂</w:t>
            </w:r>
            <w:r>
              <w:rPr>
                <w:rFonts w:hint="eastAsia"/>
                <w:color w:val="auto"/>
                <w:highlight w:val="none"/>
                <w:lang w:eastAsia="zh-CN"/>
              </w:rPr>
              <w:t>（</w:t>
            </w:r>
            <w:r>
              <w:rPr>
                <w:rFonts w:hint="eastAsia"/>
                <w:color w:val="auto"/>
                <w:highlight w:val="none"/>
                <w:lang w:val="en-US" w:eastAsia="zh-CN"/>
              </w:rPr>
              <w:t>排污许可证编号12440281065181121N</w:t>
            </w:r>
            <w:r>
              <w:rPr>
                <w:rFonts w:hint="eastAsia"/>
                <w:color w:val="auto"/>
                <w:highlight w:val="none"/>
                <w:lang w:eastAsia="zh-CN"/>
              </w:rPr>
              <w:t>）</w:t>
            </w:r>
            <w:r>
              <w:rPr>
                <w:rFonts w:hint="eastAsia"/>
                <w:color w:val="auto"/>
                <w:highlight w:val="none"/>
                <w:lang w:val="en-US" w:eastAsia="zh-CN"/>
              </w:rPr>
              <w:t>平均日处理废水量为596.89</w:t>
            </w:r>
            <w:r>
              <w:rPr>
                <w:color w:val="auto"/>
                <w:highlight w:val="none"/>
              </w:rPr>
              <w:t>m</w:t>
            </w:r>
            <w:r>
              <w:rPr>
                <w:color w:val="auto"/>
                <w:highlight w:val="none"/>
                <w:vertAlign w:val="superscript"/>
              </w:rPr>
              <w:t>3</w:t>
            </w:r>
            <w:r>
              <w:rPr>
                <w:color w:val="auto"/>
                <w:highlight w:val="none"/>
              </w:rPr>
              <w:t>，</w:t>
            </w:r>
            <w:r>
              <w:rPr>
                <w:color w:val="auto"/>
                <w:kern w:val="0"/>
                <w:highlight w:val="none"/>
              </w:rPr>
              <w:t>则剩余接纳污水能力为</w:t>
            </w:r>
            <w:r>
              <w:rPr>
                <w:color w:val="auto"/>
                <w:highlight w:val="none"/>
              </w:rPr>
              <w:t>5000m</w:t>
            </w:r>
            <w:r>
              <w:rPr>
                <w:color w:val="auto"/>
                <w:highlight w:val="none"/>
                <w:vertAlign w:val="superscript"/>
              </w:rPr>
              <w:t>3</w:t>
            </w:r>
            <w:r>
              <w:rPr>
                <w:color w:val="auto"/>
                <w:highlight w:val="none"/>
              </w:rPr>
              <w:t>/d-</w:t>
            </w:r>
            <w:r>
              <w:rPr>
                <w:rFonts w:hint="eastAsia"/>
                <w:color w:val="auto"/>
                <w:kern w:val="0"/>
                <w:highlight w:val="none"/>
                <w:lang w:val="en-US" w:eastAsia="zh-CN"/>
              </w:rPr>
              <w:t>596.89</w:t>
            </w:r>
            <w:r>
              <w:rPr>
                <w:color w:val="auto"/>
                <w:highlight w:val="none"/>
              </w:rPr>
              <w:t>m</w:t>
            </w:r>
            <w:r>
              <w:rPr>
                <w:color w:val="auto"/>
                <w:highlight w:val="none"/>
                <w:vertAlign w:val="superscript"/>
              </w:rPr>
              <w:t>3</w:t>
            </w:r>
            <w:r>
              <w:rPr>
                <w:color w:val="auto"/>
                <w:kern w:val="0"/>
                <w:highlight w:val="none"/>
              </w:rPr>
              <w:t>/d=</w:t>
            </w:r>
            <w:r>
              <w:rPr>
                <w:rFonts w:hint="eastAsia"/>
                <w:color w:val="auto"/>
                <w:kern w:val="0"/>
                <w:highlight w:val="none"/>
                <w:lang w:val="en-US" w:eastAsia="zh-CN"/>
              </w:rPr>
              <w:t>4403.11</w:t>
            </w:r>
            <w:r>
              <w:rPr>
                <w:color w:val="auto"/>
                <w:highlight w:val="none"/>
              </w:rPr>
              <w:t>m</w:t>
            </w:r>
            <w:r>
              <w:rPr>
                <w:color w:val="auto"/>
                <w:highlight w:val="none"/>
                <w:vertAlign w:val="superscript"/>
              </w:rPr>
              <w:t>3</w:t>
            </w:r>
            <w:r>
              <w:rPr>
                <w:color w:val="auto"/>
                <w:kern w:val="0"/>
                <w:highlight w:val="none"/>
              </w:rPr>
              <w:t>/d。</w:t>
            </w:r>
          </w:p>
          <w:p w14:paraId="0CE5D766">
            <w:pPr>
              <w:pStyle w:val="24"/>
              <w:ind w:firstLine="480"/>
              <w:rPr>
                <w:color w:val="auto"/>
                <w:sz w:val="24"/>
                <w:highlight w:val="none"/>
              </w:rPr>
            </w:pPr>
            <w:r>
              <w:rPr>
                <w:color w:val="auto"/>
                <w:sz w:val="24"/>
                <w:highlight w:val="none"/>
              </w:rPr>
              <w:t>本项目纳入污水处理厂的污水排放量为</w:t>
            </w:r>
            <w:r>
              <w:rPr>
                <w:rFonts w:hint="eastAsia"/>
                <w:color w:val="auto"/>
                <w:sz w:val="24"/>
                <w:highlight w:val="none"/>
                <w:lang w:val="en-US" w:eastAsia="zh-CN"/>
              </w:rPr>
              <w:t>20.21</w:t>
            </w:r>
            <w:r>
              <w:rPr>
                <w:color w:val="auto"/>
                <w:sz w:val="24"/>
                <w:highlight w:val="none"/>
              </w:rPr>
              <w:t>m</w:t>
            </w:r>
            <w:r>
              <w:rPr>
                <w:color w:val="auto"/>
                <w:sz w:val="24"/>
                <w:highlight w:val="none"/>
                <w:vertAlign w:val="superscript"/>
              </w:rPr>
              <w:t>3</w:t>
            </w:r>
            <w:r>
              <w:rPr>
                <w:color w:val="auto"/>
                <w:sz w:val="24"/>
                <w:highlight w:val="none"/>
              </w:rPr>
              <w:t>/d，约占剩余处理能力的0.</w:t>
            </w:r>
            <w:r>
              <w:rPr>
                <w:rFonts w:hint="eastAsia"/>
                <w:color w:val="auto"/>
                <w:sz w:val="24"/>
                <w:highlight w:val="none"/>
                <w:lang w:val="en-US" w:eastAsia="zh-CN"/>
              </w:rPr>
              <w:t>46</w:t>
            </w:r>
            <w:r>
              <w:rPr>
                <w:color w:val="auto"/>
                <w:sz w:val="24"/>
                <w:highlight w:val="none"/>
              </w:rPr>
              <w:t>%。污水中的污染物主要为SS、COD</w:t>
            </w:r>
            <w:r>
              <w:rPr>
                <w:color w:val="auto"/>
                <w:sz w:val="24"/>
                <w:highlight w:val="none"/>
                <w:vertAlign w:val="subscript"/>
              </w:rPr>
              <w:t>Cr</w:t>
            </w:r>
            <w:r>
              <w:rPr>
                <w:color w:val="auto"/>
                <w:sz w:val="24"/>
                <w:highlight w:val="none"/>
              </w:rPr>
              <w:t>、BOD</w:t>
            </w:r>
            <w:r>
              <w:rPr>
                <w:color w:val="auto"/>
                <w:sz w:val="24"/>
                <w:highlight w:val="none"/>
                <w:vertAlign w:val="subscript"/>
              </w:rPr>
              <w:t>5</w:t>
            </w:r>
            <w:r>
              <w:rPr>
                <w:color w:val="auto"/>
                <w:sz w:val="24"/>
                <w:highlight w:val="none"/>
              </w:rPr>
              <w:t>、NH</w:t>
            </w:r>
            <w:r>
              <w:rPr>
                <w:color w:val="auto"/>
                <w:sz w:val="24"/>
                <w:highlight w:val="none"/>
                <w:vertAlign w:val="subscript"/>
              </w:rPr>
              <w:t>3</w:t>
            </w:r>
            <w:r>
              <w:rPr>
                <w:color w:val="auto"/>
                <w:sz w:val="24"/>
                <w:highlight w:val="none"/>
              </w:rPr>
              <w:t>-N、动植物油等，污染物种类较简单。</w:t>
            </w:r>
          </w:p>
          <w:p w14:paraId="2DFFAB92">
            <w:pPr>
              <w:pStyle w:val="24"/>
              <w:ind w:firstLine="480"/>
              <w:rPr>
                <w:color w:val="auto"/>
                <w:sz w:val="24"/>
                <w:highlight w:val="none"/>
              </w:rPr>
            </w:pPr>
            <w:r>
              <w:rPr>
                <w:color w:val="auto"/>
                <w:sz w:val="24"/>
                <w:highlight w:val="none"/>
              </w:rPr>
              <w:t>根据前文分析，</w:t>
            </w:r>
            <w:bookmarkStart w:id="141" w:name="OLE_LINK51"/>
            <w:r>
              <w:rPr>
                <w:color w:val="auto"/>
                <w:sz w:val="24"/>
                <w:highlight w:val="none"/>
              </w:rPr>
              <w:t>园区污水处理厂剩余污水处理能力完全可以容纳处理本项目排入的污水，且与园区处理能力匹配</w:t>
            </w:r>
            <w:r>
              <w:rPr>
                <w:rFonts w:hint="eastAsia"/>
                <w:color w:val="auto"/>
                <w:sz w:val="24"/>
                <w:highlight w:val="none"/>
              </w:rPr>
              <w:t>，园区排污管道已敷设至本项目位置</w:t>
            </w:r>
            <w:r>
              <w:rPr>
                <w:color w:val="auto"/>
                <w:sz w:val="24"/>
                <w:highlight w:val="none"/>
              </w:rPr>
              <w:t>。</w:t>
            </w:r>
            <w:bookmarkEnd w:id="141"/>
            <w:r>
              <w:rPr>
                <w:color w:val="auto"/>
                <w:sz w:val="24"/>
                <w:highlight w:val="none"/>
              </w:rPr>
              <w:t>因此，本</w:t>
            </w:r>
            <w:bookmarkStart w:id="142" w:name="OLE_LINK52"/>
            <w:r>
              <w:rPr>
                <w:color w:val="auto"/>
                <w:sz w:val="24"/>
                <w:highlight w:val="none"/>
              </w:rPr>
              <w:t>项目产生的废水经预处理后排入园区污水处理厂处理具有环境可行性</w:t>
            </w:r>
            <w:bookmarkEnd w:id="142"/>
            <w:r>
              <w:rPr>
                <w:color w:val="auto"/>
                <w:sz w:val="24"/>
                <w:highlight w:val="none"/>
              </w:rPr>
              <w:t>。</w:t>
            </w:r>
          </w:p>
          <w:p w14:paraId="4BC6D25B">
            <w:pPr>
              <w:pStyle w:val="63"/>
              <w:snapToGrid w:val="0"/>
              <w:jc w:val="center"/>
              <w:rPr>
                <w:color w:val="auto"/>
                <w:highlight w:val="none"/>
              </w:rPr>
            </w:pPr>
            <w:r>
              <w:rPr>
                <w:color w:val="auto"/>
                <w:highlight w:val="none"/>
              </w:rPr>
              <w:drawing>
                <wp:inline distT="0" distB="0" distL="0" distR="0">
                  <wp:extent cx="5625465" cy="2303780"/>
                  <wp:effectExtent l="0" t="0" r="13334" b="1270"/>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26" cstate="print"/>
                          <a:srcRect/>
                          <a:stretch>
                            <a:fillRect/>
                          </a:stretch>
                        </pic:blipFill>
                        <pic:spPr>
                          <a:xfrm>
                            <a:off x="0" y="0"/>
                            <a:ext cx="5625465" cy="2303780"/>
                          </a:xfrm>
                          <a:prstGeom prst="rect">
                            <a:avLst/>
                          </a:prstGeom>
                          <a:ln>
                            <a:noFill/>
                          </a:ln>
                        </pic:spPr>
                      </pic:pic>
                    </a:graphicData>
                  </a:graphic>
                </wp:inline>
              </w:drawing>
            </w:r>
          </w:p>
          <w:p w14:paraId="61C1666B">
            <w:pPr>
              <w:widowControl/>
              <w:numPr>
                <w:ilvl w:val="0"/>
                <w:numId w:val="0"/>
              </w:numPr>
              <w:tabs>
                <w:tab w:val="left" w:pos="0"/>
              </w:tabs>
              <w:snapToGrid w:val="0"/>
              <w:ind w:left="0" w:leftChars="0" w:firstLine="0" w:firstLineChars="0"/>
              <w:jc w:val="center"/>
              <w:rPr>
                <w:b/>
                <w:bCs/>
                <w:color w:val="auto"/>
                <w:sz w:val="21"/>
                <w:szCs w:val="21"/>
                <w:highlight w:val="none"/>
              </w:rPr>
            </w:pPr>
            <w:r>
              <w:rPr>
                <w:rFonts w:hint="default" w:ascii="Times New Roman" w:hAnsi="Times New Roman" w:eastAsia="宋体" w:cs="Times New Roman"/>
                <w:b/>
                <w:bCs/>
                <w:color w:val="auto"/>
                <w:kern w:val="2"/>
                <w:sz w:val="21"/>
                <w:szCs w:val="21"/>
                <w:highlight w:val="none"/>
                <w:lang w:val="en-US" w:eastAsia="zh-CN" w:bidi="ar-SA"/>
              </w:rPr>
              <w:t>图4-</w:t>
            </w:r>
            <w:r>
              <w:rPr>
                <w:rFonts w:hint="eastAsia" w:cs="Times New Roman"/>
                <w:b/>
                <w:bCs/>
                <w:color w:val="auto"/>
                <w:kern w:val="2"/>
                <w:sz w:val="21"/>
                <w:szCs w:val="21"/>
                <w:highlight w:val="none"/>
                <w:lang w:val="en-US" w:eastAsia="zh-CN" w:bidi="ar-SA"/>
              </w:rPr>
              <w:t>3</w:t>
            </w:r>
            <w:r>
              <w:rPr>
                <w:b/>
                <w:bCs/>
                <w:color w:val="auto"/>
                <w:sz w:val="21"/>
                <w:szCs w:val="21"/>
                <w:highlight w:val="none"/>
              </w:rPr>
              <w:t>园区</w:t>
            </w:r>
            <w:r>
              <w:rPr>
                <w:b/>
                <w:bCs/>
                <w:color w:val="auto"/>
                <w:kern w:val="0"/>
                <w:sz w:val="21"/>
                <w:szCs w:val="21"/>
                <w:highlight w:val="none"/>
              </w:rPr>
              <w:t>污水处理厂工艺流程图</w:t>
            </w:r>
          </w:p>
          <w:p w14:paraId="4F20B3EE">
            <w:pPr>
              <w:pStyle w:val="26"/>
              <w:ind w:firstLine="482"/>
              <w:rPr>
                <w:b/>
                <w:bCs/>
                <w:color w:val="auto"/>
                <w:highlight w:val="none"/>
              </w:rPr>
            </w:pPr>
            <w:r>
              <w:rPr>
                <w:b/>
                <w:bCs/>
                <w:color w:val="auto"/>
                <w:highlight w:val="none"/>
              </w:rPr>
              <w:t>5、监测要求</w:t>
            </w:r>
          </w:p>
          <w:p w14:paraId="472FAD22">
            <w:pPr>
              <w:pStyle w:val="25"/>
              <w:ind w:firstLine="480" w:firstLineChars="200"/>
              <w:rPr>
                <w:color w:val="auto"/>
                <w:highlight w:val="none"/>
              </w:rPr>
            </w:pPr>
            <w:r>
              <w:rPr>
                <w:color w:val="auto"/>
                <w:highlight w:val="none"/>
              </w:rPr>
              <w:t>根据《排污单位自行监测技术指南 总则》(HJ819-2017)</w:t>
            </w:r>
            <w:r>
              <w:rPr>
                <w:rFonts w:hint="eastAsia"/>
                <w:color w:val="auto"/>
                <w:highlight w:val="none"/>
                <w:lang w:eastAsia="zh-CN"/>
              </w:rPr>
              <w:t>、</w:t>
            </w:r>
            <w:r>
              <w:rPr>
                <w:rFonts w:hint="eastAsia"/>
                <w:color w:val="auto"/>
                <w:highlight w:val="none"/>
                <w:lang w:val="en-US" w:eastAsia="zh-CN"/>
              </w:rPr>
              <w:t>《排污许可证申请与核发技术规范 废弃资源加工工业（HJ1034-2019）》</w:t>
            </w:r>
            <w:r>
              <w:rPr>
                <w:color w:val="auto"/>
                <w:highlight w:val="none"/>
              </w:rPr>
              <w:t>，制定本项目生产废水自行监测计划，监测要求见下表。</w:t>
            </w:r>
          </w:p>
          <w:p w14:paraId="4A8E8444">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表4-2</w:t>
            </w:r>
            <w:r>
              <w:rPr>
                <w:rFonts w:hint="eastAsia"/>
                <w:b/>
                <w:bCs/>
                <w:color w:val="auto"/>
                <w:sz w:val="21"/>
                <w:szCs w:val="21"/>
                <w:highlight w:val="none"/>
                <w:lang w:val="en-US" w:eastAsia="zh-CN"/>
              </w:rPr>
              <w:t xml:space="preserve">1 </w:t>
            </w:r>
            <w:r>
              <w:rPr>
                <w:b/>
                <w:bCs/>
                <w:color w:val="auto"/>
                <w:sz w:val="21"/>
                <w:szCs w:val="21"/>
                <w:highlight w:val="none"/>
              </w:rPr>
              <w:t xml:space="preserve"> 监测要求</w:t>
            </w: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3169"/>
              <w:gridCol w:w="2016"/>
              <w:gridCol w:w="6096"/>
            </w:tblGrid>
            <w:tr w14:paraId="554F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19" w:type="pct"/>
                  <w:vAlign w:val="center"/>
                </w:tcPr>
                <w:p w14:paraId="27395FDD">
                  <w:pPr>
                    <w:pStyle w:val="64"/>
                    <w:rPr>
                      <w:b/>
                      <w:bCs/>
                      <w:color w:val="auto"/>
                      <w:kern w:val="2"/>
                      <w:highlight w:val="none"/>
                    </w:rPr>
                  </w:pPr>
                  <w:r>
                    <w:rPr>
                      <w:b/>
                      <w:bCs/>
                      <w:color w:val="auto"/>
                      <w:kern w:val="2"/>
                      <w:highlight w:val="none"/>
                    </w:rPr>
                    <w:t>监测点位</w:t>
                  </w:r>
                </w:p>
              </w:tc>
              <w:tc>
                <w:tcPr>
                  <w:tcW w:w="1174" w:type="pct"/>
                  <w:vAlign w:val="center"/>
                </w:tcPr>
                <w:p w14:paraId="3289209B">
                  <w:pPr>
                    <w:pStyle w:val="64"/>
                    <w:rPr>
                      <w:b/>
                      <w:bCs/>
                      <w:color w:val="auto"/>
                      <w:kern w:val="2"/>
                      <w:highlight w:val="none"/>
                    </w:rPr>
                  </w:pPr>
                  <w:r>
                    <w:rPr>
                      <w:b/>
                      <w:bCs/>
                      <w:color w:val="auto"/>
                      <w:kern w:val="2"/>
                      <w:highlight w:val="none"/>
                    </w:rPr>
                    <w:t>监测指标</w:t>
                  </w:r>
                </w:p>
              </w:tc>
              <w:tc>
                <w:tcPr>
                  <w:tcW w:w="747" w:type="pct"/>
                  <w:vAlign w:val="center"/>
                </w:tcPr>
                <w:p w14:paraId="02499232">
                  <w:pPr>
                    <w:pStyle w:val="64"/>
                    <w:rPr>
                      <w:b/>
                      <w:bCs/>
                      <w:color w:val="auto"/>
                      <w:kern w:val="2"/>
                      <w:highlight w:val="none"/>
                    </w:rPr>
                  </w:pPr>
                  <w:r>
                    <w:rPr>
                      <w:b/>
                      <w:bCs/>
                      <w:color w:val="auto"/>
                      <w:kern w:val="2"/>
                      <w:highlight w:val="none"/>
                    </w:rPr>
                    <w:t>监测频次</w:t>
                  </w:r>
                </w:p>
              </w:tc>
              <w:tc>
                <w:tcPr>
                  <w:tcW w:w="2258" w:type="pct"/>
                  <w:vAlign w:val="center"/>
                </w:tcPr>
                <w:p w14:paraId="41381691">
                  <w:pPr>
                    <w:pStyle w:val="64"/>
                    <w:rPr>
                      <w:b/>
                      <w:bCs/>
                      <w:color w:val="auto"/>
                      <w:kern w:val="2"/>
                      <w:highlight w:val="none"/>
                    </w:rPr>
                  </w:pPr>
                  <w:r>
                    <w:rPr>
                      <w:rFonts w:hint="eastAsia"/>
                      <w:b/>
                      <w:bCs/>
                      <w:color w:val="auto"/>
                      <w:kern w:val="2"/>
                      <w:highlight w:val="none"/>
                      <w:lang w:val="en-US" w:eastAsia="zh-CN"/>
                    </w:rPr>
                    <w:t>取值依据</w:t>
                  </w:r>
                </w:p>
              </w:tc>
            </w:tr>
            <w:tr w14:paraId="1374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19" w:type="pct"/>
                  <w:vMerge w:val="restart"/>
                  <w:vAlign w:val="center"/>
                </w:tcPr>
                <w:p w14:paraId="5FA8B7FC">
                  <w:pPr>
                    <w:pStyle w:val="64"/>
                    <w:rPr>
                      <w:color w:val="auto"/>
                      <w:kern w:val="2"/>
                      <w:highlight w:val="none"/>
                    </w:rPr>
                  </w:pPr>
                  <w:r>
                    <w:rPr>
                      <w:color w:val="auto"/>
                      <w:kern w:val="2"/>
                      <w:highlight w:val="none"/>
                    </w:rPr>
                    <w:t>综合废水排放口</w:t>
                  </w:r>
                </w:p>
                <w:p w14:paraId="393282C0">
                  <w:pPr>
                    <w:pStyle w:val="64"/>
                    <w:rPr>
                      <w:color w:val="auto"/>
                      <w:kern w:val="2"/>
                      <w:highlight w:val="none"/>
                    </w:rPr>
                  </w:pPr>
                  <w:r>
                    <w:rPr>
                      <w:color w:val="auto"/>
                      <w:kern w:val="2"/>
                      <w:highlight w:val="none"/>
                    </w:rPr>
                    <w:t>DW001</w:t>
                  </w:r>
                </w:p>
              </w:tc>
              <w:tc>
                <w:tcPr>
                  <w:tcW w:w="1174" w:type="pct"/>
                  <w:vAlign w:val="center"/>
                </w:tcPr>
                <w:p w14:paraId="74546400">
                  <w:pPr>
                    <w:pStyle w:val="25"/>
                    <w:spacing w:line="240" w:lineRule="auto"/>
                    <w:jc w:val="center"/>
                    <w:rPr>
                      <w:color w:val="auto"/>
                      <w:sz w:val="21"/>
                      <w:szCs w:val="21"/>
                      <w:highlight w:val="none"/>
                    </w:rPr>
                  </w:pPr>
                  <w:r>
                    <w:rPr>
                      <w:rFonts w:hint="eastAsia"/>
                      <w:color w:val="auto"/>
                      <w:sz w:val="21"/>
                      <w:szCs w:val="21"/>
                      <w:highlight w:val="none"/>
                      <w:lang w:val="en-US" w:eastAsia="zh-CN"/>
                    </w:rPr>
                    <w:t>流量、</w:t>
                  </w:r>
                  <w:r>
                    <w:rPr>
                      <w:color w:val="auto"/>
                      <w:sz w:val="21"/>
                      <w:szCs w:val="21"/>
                      <w:highlight w:val="none"/>
                    </w:rPr>
                    <w:t>pH</w:t>
                  </w:r>
                  <w:r>
                    <w:rPr>
                      <w:rFonts w:hint="eastAsia"/>
                      <w:color w:val="auto"/>
                      <w:sz w:val="21"/>
                      <w:szCs w:val="21"/>
                      <w:highlight w:val="none"/>
                      <w:lang w:val="en-US" w:eastAsia="zh-CN"/>
                    </w:rPr>
                    <w:t>值</w:t>
                  </w:r>
                  <w:r>
                    <w:rPr>
                      <w:color w:val="auto"/>
                      <w:sz w:val="21"/>
                      <w:szCs w:val="21"/>
                      <w:highlight w:val="none"/>
                    </w:rPr>
                    <w:t>、COD</w:t>
                  </w:r>
                  <w:r>
                    <w:rPr>
                      <w:color w:val="auto"/>
                      <w:sz w:val="21"/>
                      <w:szCs w:val="21"/>
                      <w:highlight w:val="none"/>
                      <w:vertAlign w:val="subscript"/>
                    </w:rPr>
                    <w:t>Cr</w:t>
                  </w:r>
                  <w:r>
                    <w:rPr>
                      <w:color w:val="auto"/>
                      <w:sz w:val="21"/>
                      <w:szCs w:val="21"/>
                      <w:highlight w:val="none"/>
                    </w:rPr>
                    <w:t>、SS、氨氮</w:t>
                  </w:r>
                </w:p>
              </w:tc>
              <w:tc>
                <w:tcPr>
                  <w:tcW w:w="747" w:type="pct"/>
                  <w:vAlign w:val="center"/>
                </w:tcPr>
                <w:p w14:paraId="0CDAD485">
                  <w:pPr>
                    <w:pStyle w:val="64"/>
                    <w:rPr>
                      <w:rFonts w:hint="eastAsia" w:eastAsia="宋体"/>
                      <w:color w:val="auto"/>
                      <w:kern w:val="2"/>
                      <w:highlight w:val="none"/>
                      <w:lang w:val="en-US" w:eastAsia="zh-CN"/>
                    </w:rPr>
                  </w:pPr>
                  <w:r>
                    <w:rPr>
                      <w:color w:val="auto"/>
                      <w:kern w:val="2"/>
                      <w:highlight w:val="none"/>
                    </w:rPr>
                    <w:t>1次/</w:t>
                  </w:r>
                  <w:r>
                    <w:rPr>
                      <w:rFonts w:hint="eastAsia"/>
                      <w:color w:val="auto"/>
                      <w:kern w:val="2"/>
                      <w:highlight w:val="none"/>
                      <w:lang w:val="en-US" w:eastAsia="zh-CN"/>
                    </w:rPr>
                    <w:t>月</w:t>
                  </w:r>
                </w:p>
              </w:tc>
              <w:tc>
                <w:tcPr>
                  <w:tcW w:w="2258" w:type="pct"/>
                  <w:vMerge w:val="restart"/>
                  <w:vAlign w:val="center"/>
                </w:tcPr>
                <w:p w14:paraId="27768FCF">
                  <w:pPr>
                    <w:pStyle w:val="64"/>
                    <w:rPr>
                      <w:rFonts w:hint="default"/>
                      <w:color w:val="auto"/>
                      <w:kern w:val="2"/>
                      <w:highlight w:val="none"/>
                      <w:lang w:val="en-US"/>
                    </w:rPr>
                  </w:pPr>
                  <w:r>
                    <w:rPr>
                      <w:rFonts w:hint="eastAsia"/>
                      <w:color w:val="auto"/>
                      <w:highlight w:val="none"/>
                      <w:lang w:val="en-US" w:eastAsia="zh-CN"/>
                    </w:rPr>
                    <w:t>《排污许可证申请与核发技术规范 废弃资源加工工业（HJ1034-2019）》表34  废弃资源加工工业排污单位废水排放口监测点位、监测指标及最低监测频次</w:t>
                  </w:r>
                </w:p>
              </w:tc>
            </w:tr>
            <w:tr w14:paraId="505A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819" w:type="pct"/>
                  <w:vMerge w:val="continue"/>
                  <w:vAlign w:val="center"/>
                </w:tcPr>
                <w:p w14:paraId="00FD1338">
                  <w:pPr>
                    <w:pStyle w:val="64"/>
                    <w:rPr>
                      <w:color w:val="auto"/>
                      <w:kern w:val="2"/>
                      <w:highlight w:val="none"/>
                    </w:rPr>
                  </w:pPr>
                </w:p>
              </w:tc>
              <w:tc>
                <w:tcPr>
                  <w:tcW w:w="1174" w:type="pct"/>
                  <w:vAlign w:val="center"/>
                </w:tcPr>
                <w:p w14:paraId="7C973947">
                  <w:pPr>
                    <w:pStyle w:val="25"/>
                    <w:spacing w:line="240" w:lineRule="auto"/>
                    <w:jc w:val="center"/>
                    <w:rPr>
                      <w:color w:val="auto"/>
                      <w:sz w:val="21"/>
                      <w:szCs w:val="21"/>
                      <w:highlight w:val="none"/>
                    </w:rPr>
                  </w:pPr>
                  <w:r>
                    <w:rPr>
                      <w:rFonts w:hint="eastAsia"/>
                      <w:color w:val="auto"/>
                      <w:sz w:val="21"/>
                      <w:szCs w:val="21"/>
                      <w:highlight w:val="none"/>
                    </w:rPr>
                    <w:t xml:space="preserve"> </w:t>
                  </w:r>
                  <w:r>
                    <w:rPr>
                      <w:color w:val="auto"/>
                      <w:sz w:val="21"/>
                      <w:szCs w:val="21"/>
                      <w:highlight w:val="none"/>
                    </w:rPr>
                    <w:t>石油类、</w:t>
                  </w:r>
                  <w:r>
                    <w:rPr>
                      <w:rFonts w:hint="eastAsia"/>
                      <w:color w:val="auto"/>
                      <w:sz w:val="21"/>
                      <w:szCs w:val="21"/>
                      <w:highlight w:val="none"/>
                      <w:lang w:val="en-US" w:eastAsia="zh-CN"/>
                    </w:rPr>
                    <w:t>SS、</w:t>
                  </w:r>
                  <w:r>
                    <w:rPr>
                      <w:color w:val="auto"/>
                      <w:sz w:val="21"/>
                      <w:szCs w:val="21"/>
                      <w:highlight w:val="none"/>
                    </w:rPr>
                    <w:t>BOD</w:t>
                  </w:r>
                  <w:r>
                    <w:rPr>
                      <w:color w:val="auto"/>
                      <w:sz w:val="21"/>
                      <w:szCs w:val="21"/>
                      <w:highlight w:val="none"/>
                      <w:vertAlign w:val="subscript"/>
                    </w:rPr>
                    <w:t>5</w:t>
                  </w:r>
                  <w:r>
                    <w:rPr>
                      <w:color w:val="auto"/>
                      <w:sz w:val="21"/>
                      <w:szCs w:val="21"/>
                      <w:highlight w:val="none"/>
                    </w:rPr>
                    <w:t>、总磷</w:t>
                  </w:r>
                </w:p>
              </w:tc>
              <w:tc>
                <w:tcPr>
                  <w:tcW w:w="747" w:type="pct"/>
                  <w:vAlign w:val="center"/>
                </w:tcPr>
                <w:p w14:paraId="42CEDA22">
                  <w:pPr>
                    <w:pStyle w:val="64"/>
                    <w:rPr>
                      <w:rFonts w:hint="default" w:eastAsia="宋体"/>
                      <w:color w:val="auto"/>
                      <w:kern w:val="2"/>
                      <w:highlight w:val="none"/>
                      <w:lang w:val="en-US" w:eastAsia="zh-CN"/>
                    </w:rPr>
                  </w:pPr>
                  <w:r>
                    <w:rPr>
                      <w:rFonts w:hint="eastAsia"/>
                      <w:color w:val="auto"/>
                      <w:kern w:val="2"/>
                      <w:highlight w:val="none"/>
                      <w:lang w:val="en-US" w:eastAsia="zh-CN"/>
                    </w:rPr>
                    <w:t>1次/半年</w:t>
                  </w:r>
                </w:p>
              </w:tc>
              <w:tc>
                <w:tcPr>
                  <w:tcW w:w="2258" w:type="pct"/>
                  <w:vMerge w:val="continue"/>
                  <w:vAlign w:val="center"/>
                </w:tcPr>
                <w:p w14:paraId="05482236">
                  <w:pPr>
                    <w:pStyle w:val="64"/>
                    <w:rPr>
                      <w:color w:val="auto"/>
                      <w:kern w:val="2"/>
                      <w:highlight w:val="none"/>
                    </w:rPr>
                  </w:pPr>
                </w:p>
              </w:tc>
            </w:tr>
          </w:tbl>
          <w:p w14:paraId="44F1CF77">
            <w:pPr>
              <w:keepNext/>
              <w:keepLines/>
              <w:tabs>
                <w:tab w:val="left" w:pos="0"/>
              </w:tabs>
              <w:ind w:firstLine="480" w:firstLineChars="200"/>
              <w:outlineLvl w:val="2"/>
              <w:rPr>
                <w:b/>
                <w:bCs/>
                <w:color w:val="auto"/>
                <w:highlight w:val="none"/>
              </w:rPr>
            </w:pPr>
            <w:r>
              <w:rPr>
                <w:b/>
                <w:bCs/>
                <w:color w:val="auto"/>
                <w:highlight w:val="none"/>
              </w:rPr>
              <w:t>三、噪声污染源</w:t>
            </w:r>
          </w:p>
          <w:p w14:paraId="3A5BECDC">
            <w:pPr>
              <w:keepNext/>
              <w:keepLines/>
              <w:tabs>
                <w:tab w:val="left" w:pos="0"/>
              </w:tabs>
              <w:ind w:firstLine="480" w:firstLineChars="200"/>
              <w:outlineLvl w:val="3"/>
              <w:rPr>
                <w:b/>
                <w:bCs/>
                <w:color w:val="auto"/>
                <w:highlight w:val="none"/>
              </w:rPr>
            </w:pPr>
            <w:r>
              <w:rPr>
                <w:b/>
                <w:bCs/>
                <w:color w:val="auto"/>
                <w:highlight w:val="none"/>
              </w:rPr>
              <w:t>1、污染源源强分析</w:t>
            </w:r>
          </w:p>
          <w:p w14:paraId="0259CFAC">
            <w:pPr>
              <w:adjustRightInd w:val="0"/>
              <w:ind w:firstLine="480" w:firstLineChars="200"/>
              <w:rPr>
                <w:bCs/>
                <w:color w:val="auto"/>
                <w:highlight w:val="none"/>
              </w:rPr>
            </w:pPr>
            <w:r>
              <w:rPr>
                <w:bCs/>
                <w:color w:val="auto"/>
                <w:highlight w:val="none"/>
              </w:rPr>
              <w:t>本项目运营期主要噪声为锤破机、破碎机、分选机等机械噪声，根据建设单位提供的设备资料，噪声级从60~85dB(A)不等，</w:t>
            </w:r>
            <w:r>
              <w:rPr>
                <w:bCs/>
                <w:color w:val="auto"/>
                <w:kern w:val="0"/>
                <w:highlight w:val="none"/>
              </w:rPr>
              <w:t>噪声特征以连续性噪声为主，间歇性噪声为辅，</w:t>
            </w:r>
            <w:r>
              <w:rPr>
                <w:bCs/>
                <w:color w:val="auto"/>
                <w:highlight w:val="none"/>
              </w:rPr>
              <w:t>噪声污染源源强核算结果见下表。</w:t>
            </w:r>
          </w:p>
          <w:p w14:paraId="28B677AE">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表4-2</w:t>
            </w:r>
            <w:r>
              <w:rPr>
                <w:rFonts w:hint="eastAsia"/>
                <w:b/>
                <w:bCs/>
                <w:color w:val="auto"/>
                <w:sz w:val="21"/>
                <w:szCs w:val="21"/>
                <w:highlight w:val="none"/>
                <w:lang w:val="en-US" w:eastAsia="zh-CN"/>
              </w:rPr>
              <w:t>2</w:t>
            </w:r>
            <w:r>
              <w:rPr>
                <w:b/>
                <w:bCs/>
                <w:color w:val="auto"/>
                <w:sz w:val="21"/>
                <w:szCs w:val="21"/>
                <w:highlight w:val="none"/>
              </w:rPr>
              <w:t xml:space="preserve"> 工业企业噪声源强调查清单（室内声源）</w:t>
            </w:r>
          </w:p>
          <w:tbl>
            <w:tblPr>
              <w:tblStyle w:val="49"/>
              <w:tblW w:w="135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868"/>
              <w:gridCol w:w="587"/>
              <w:gridCol w:w="717"/>
              <w:gridCol w:w="600"/>
              <w:gridCol w:w="450"/>
              <w:gridCol w:w="482"/>
              <w:gridCol w:w="718"/>
              <w:gridCol w:w="466"/>
              <w:gridCol w:w="567"/>
              <w:gridCol w:w="717"/>
              <w:gridCol w:w="516"/>
              <w:gridCol w:w="567"/>
              <w:gridCol w:w="600"/>
              <w:gridCol w:w="533"/>
              <w:gridCol w:w="517"/>
              <w:gridCol w:w="550"/>
              <w:gridCol w:w="367"/>
              <w:gridCol w:w="500"/>
              <w:gridCol w:w="500"/>
              <w:gridCol w:w="550"/>
              <w:gridCol w:w="516"/>
              <w:gridCol w:w="517"/>
              <w:gridCol w:w="368"/>
            </w:tblGrid>
            <w:tr w14:paraId="2EA8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29"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631A9C">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建筑物名称</w:t>
                  </w:r>
                </w:p>
              </w:tc>
              <w:tc>
                <w:tcPr>
                  <w:tcW w:w="868"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B6AA740">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声源名称</w:t>
                  </w:r>
                </w:p>
              </w:tc>
              <w:tc>
                <w:tcPr>
                  <w:tcW w:w="587"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668035">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设备数量</w:t>
                  </w:r>
                </w:p>
              </w:tc>
              <w:tc>
                <w:tcPr>
                  <w:tcW w:w="1767" w:type="dxa"/>
                  <w:gridSpan w:val="3"/>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DBE271">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空间相对位置</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482"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2523D4">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声源控制措施</w:t>
                  </w:r>
                </w:p>
              </w:tc>
              <w:tc>
                <w:tcPr>
                  <w:tcW w:w="1184" w:type="dxa"/>
                  <w:gridSpan w:val="2"/>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3D6880">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声源源强</w:t>
                  </w:r>
                </w:p>
              </w:tc>
              <w:tc>
                <w:tcPr>
                  <w:tcW w:w="2367"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90DDC4">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距室内边界距离</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2200" w:type="dxa"/>
                  <w:gridSpan w:val="4"/>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6577BFD">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室内边界声级</w:t>
                  </w:r>
                  <w:r>
                    <w:rPr>
                      <w:rFonts w:hint="default" w:ascii="Times New Roman" w:hAnsi="Times New Roman" w:eastAsia="宋体" w:cs="Times New Roman"/>
                      <w:b/>
                      <w:bCs/>
                      <w:i w:val="0"/>
                      <w:iCs w:val="0"/>
                      <w:color w:val="auto"/>
                      <w:kern w:val="0"/>
                      <w:sz w:val="21"/>
                      <w:szCs w:val="21"/>
                      <w:highlight w:val="none"/>
                      <w:u w:val="none"/>
                      <w:lang w:val="en-US" w:eastAsia="zh-CN" w:bidi="ar"/>
                    </w:rPr>
                    <w:t>/dB(A)</w:t>
                  </w:r>
                </w:p>
              </w:tc>
              <w:tc>
                <w:tcPr>
                  <w:tcW w:w="367"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319FC14">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运行时段</w:t>
                  </w:r>
                </w:p>
              </w:tc>
              <w:tc>
                <w:tcPr>
                  <w:tcW w:w="500"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DA0F71">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建筑物插入损失</w:t>
                  </w:r>
                  <w:r>
                    <w:rPr>
                      <w:rFonts w:hint="default" w:ascii="Times New Roman" w:hAnsi="Times New Roman" w:eastAsia="宋体" w:cs="Times New Roman"/>
                      <w:b/>
                      <w:bCs/>
                      <w:i w:val="0"/>
                      <w:iCs w:val="0"/>
                      <w:color w:val="auto"/>
                      <w:kern w:val="0"/>
                      <w:sz w:val="21"/>
                      <w:szCs w:val="21"/>
                      <w:highlight w:val="none"/>
                      <w:u w:val="none"/>
                      <w:lang w:val="en-US" w:eastAsia="zh-CN" w:bidi="ar"/>
                    </w:rPr>
                    <w:t>/dB(A)</w:t>
                  </w:r>
                </w:p>
              </w:tc>
              <w:tc>
                <w:tcPr>
                  <w:tcW w:w="2451" w:type="dxa"/>
                  <w:gridSpan w:val="5"/>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BD7B3D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建筑物外噪音</w:t>
                  </w:r>
                </w:p>
              </w:tc>
            </w:tr>
            <w:tr w14:paraId="30F4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29"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309BBD6">
                  <w:pPr>
                    <w:spacing w:line="240" w:lineRule="auto"/>
                    <w:jc w:val="center"/>
                    <w:rPr>
                      <w:rFonts w:hint="default" w:ascii="Times New Roman" w:hAnsi="Times New Roman" w:cs="Times New Roman"/>
                      <w:b/>
                      <w:bCs/>
                      <w:i w:val="0"/>
                      <w:iCs w:val="0"/>
                      <w:color w:val="auto"/>
                      <w:sz w:val="21"/>
                      <w:szCs w:val="21"/>
                      <w:highlight w:val="none"/>
                      <w:u w:val="none"/>
                    </w:rPr>
                  </w:pPr>
                </w:p>
              </w:tc>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99FB57">
                  <w:pPr>
                    <w:spacing w:line="240" w:lineRule="auto"/>
                    <w:jc w:val="center"/>
                    <w:rPr>
                      <w:rFonts w:hint="default" w:ascii="Times New Roman" w:hAnsi="Times New Roman" w:cs="Times New Roman"/>
                      <w:b/>
                      <w:bCs/>
                      <w:i w:val="0"/>
                      <w:iCs w:val="0"/>
                      <w:color w:val="auto"/>
                      <w:sz w:val="21"/>
                      <w:szCs w:val="21"/>
                      <w:highlight w:val="none"/>
                      <w:u w:val="none"/>
                    </w:rPr>
                  </w:pPr>
                </w:p>
              </w:tc>
              <w:tc>
                <w:tcPr>
                  <w:tcW w:w="58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25D7DE5">
                  <w:pPr>
                    <w:spacing w:line="240" w:lineRule="auto"/>
                    <w:jc w:val="center"/>
                    <w:rPr>
                      <w:rFonts w:hint="default" w:ascii="Times New Roman" w:hAnsi="Times New Roman" w:cs="Times New Roman"/>
                      <w:b/>
                      <w:bCs/>
                      <w:i w:val="0"/>
                      <w:iCs w:val="0"/>
                      <w:color w:val="auto"/>
                      <w:sz w:val="21"/>
                      <w:szCs w:val="21"/>
                      <w:highlight w:val="none"/>
                      <w:u w:val="none"/>
                    </w:rPr>
                  </w:pPr>
                </w:p>
              </w:tc>
              <w:tc>
                <w:tcPr>
                  <w:tcW w:w="1767" w:type="dxa"/>
                  <w:gridSpan w:val="3"/>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03E962">
                  <w:pPr>
                    <w:spacing w:line="240" w:lineRule="auto"/>
                    <w:jc w:val="center"/>
                    <w:rPr>
                      <w:rFonts w:hint="default" w:ascii="Times New Roman" w:hAnsi="Times New Roman" w:cs="Times New Roman"/>
                      <w:b/>
                      <w:bCs/>
                      <w:i w:val="0"/>
                      <w:iCs w:val="0"/>
                      <w:color w:val="auto"/>
                      <w:sz w:val="21"/>
                      <w:szCs w:val="21"/>
                      <w:highlight w:val="none"/>
                      <w:u w:val="none"/>
                    </w:rPr>
                  </w:pPr>
                </w:p>
              </w:tc>
              <w:tc>
                <w:tcPr>
                  <w:tcW w:w="482"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8969140">
                  <w:pPr>
                    <w:spacing w:line="240" w:lineRule="auto"/>
                    <w:jc w:val="center"/>
                    <w:rPr>
                      <w:rFonts w:hint="default" w:ascii="Times New Roman" w:hAnsi="Times New Roman" w:cs="Times New Roman"/>
                      <w:b/>
                      <w:bCs/>
                      <w:i w:val="0"/>
                      <w:iCs w:val="0"/>
                      <w:color w:val="auto"/>
                      <w:sz w:val="21"/>
                      <w:szCs w:val="21"/>
                      <w:highlight w:val="none"/>
                      <w:u w:val="none"/>
                    </w:rPr>
                  </w:pPr>
                </w:p>
              </w:tc>
              <w:tc>
                <w:tcPr>
                  <w:tcW w:w="1184"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811F9B">
                  <w:pPr>
                    <w:spacing w:line="240" w:lineRule="auto"/>
                    <w:jc w:val="center"/>
                    <w:rPr>
                      <w:rFonts w:hint="default" w:ascii="Times New Roman" w:hAnsi="Times New Roman" w:cs="Times New Roman"/>
                      <w:b/>
                      <w:bCs/>
                      <w:i w:val="0"/>
                      <w:iCs w:val="0"/>
                      <w:color w:val="auto"/>
                      <w:sz w:val="21"/>
                      <w:szCs w:val="21"/>
                      <w:highlight w:val="none"/>
                      <w:u w:val="none"/>
                    </w:rPr>
                  </w:pPr>
                </w:p>
              </w:tc>
              <w:tc>
                <w:tcPr>
                  <w:tcW w:w="2367"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449852D">
                  <w:pPr>
                    <w:spacing w:line="240" w:lineRule="auto"/>
                    <w:jc w:val="center"/>
                    <w:rPr>
                      <w:rFonts w:hint="default" w:ascii="Times New Roman" w:hAnsi="Times New Roman" w:cs="Times New Roman"/>
                      <w:b/>
                      <w:bCs/>
                      <w:i w:val="0"/>
                      <w:iCs w:val="0"/>
                      <w:color w:val="auto"/>
                      <w:sz w:val="21"/>
                      <w:szCs w:val="21"/>
                      <w:highlight w:val="none"/>
                      <w:u w:val="none"/>
                    </w:rPr>
                  </w:pPr>
                </w:p>
              </w:tc>
              <w:tc>
                <w:tcPr>
                  <w:tcW w:w="2200" w:type="dxa"/>
                  <w:gridSpan w:val="4"/>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D7B618">
                  <w:pPr>
                    <w:spacing w:line="240" w:lineRule="auto"/>
                    <w:jc w:val="center"/>
                    <w:rPr>
                      <w:rFonts w:hint="default" w:ascii="Times New Roman" w:hAnsi="Times New Roman" w:cs="Times New Roman"/>
                      <w:b/>
                      <w:bCs/>
                      <w:i w:val="0"/>
                      <w:iCs w:val="0"/>
                      <w:color w:val="auto"/>
                      <w:sz w:val="21"/>
                      <w:szCs w:val="21"/>
                      <w:highlight w:val="none"/>
                      <w:u w:val="none"/>
                    </w:rPr>
                  </w:pPr>
                </w:p>
              </w:tc>
              <w:tc>
                <w:tcPr>
                  <w:tcW w:w="36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6D34F0">
                  <w:pPr>
                    <w:spacing w:line="240" w:lineRule="auto"/>
                    <w:jc w:val="center"/>
                    <w:rPr>
                      <w:rFonts w:hint="default" w:ascii="Times New Roman" w:hAnsi="Times New Roman" w:cs="Times New Roman"/>
                      <w:b/>
                      <w:bCs/>
                      <w:i w:val="0"/>
                      <w:iCs w:val="0"/>
                      <w:color w:val="auto"/>
                      <w:sz w:val="21"/>
                      <w:szCs w:val="21"/>
                      <w:highlight w:val="none"/>
                      <w:u w:val="none"/>
                    </w:rPr>
                  </w:pPr>
                </w:p>
              </w:tc>
              <w:tc>
                <w:tcPr>
                  <w:tcW w:w="5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66B39BD">
                  <w:pPr>
                    <w:spacing w:line="240" w:lineRule="auto"/>
                    <w:jc w:val="center"/>
                    <w:rPr>
                      <w:rFonts w:hint="default" w:ascii="Times New Roman" w:hAnsi="Times New Roman" w:cs="Times New Roman"/>
                      <w:b/>
                      <w:bCs/>
                      <w:i w:val="0"/>
                      <w:iCs w:val="0"/>
                      <w:color w:val="auto"/>
                      <w:sz w:val="21"/>
                      <w:szCs w:val="21"/>
                      <w:highlight w:val="none"/>
                      <w:u w:val="none"/>
                    </w:rPr>
                  </w:pPr>
                </w:p>
              </w:tc>
              <w:tc>
                <w:tcPr>
                  <w:tcW w:w="2083" w:type="dxa"/>
                  <w:gridSpan w:val="4"/>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D8CB1D">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声压级</w:t>
                  </w:r>
                  <w:r>
                    <w:rPr>
                      <w:rFonts w:hint="default" w:ascii="Times New Roman" w:hAnsi="Times New Roman" w:eastAsia="宋体" w:cs="Times New Roman"/>
                      <w:b/>
                      <w:bCs/>
                      <w:i w:val="0"/>
                      <w:iCs w:val="0"/>
                      <w:color w:val="auto"/>
                      <w:kern w:val="0"/>
                      <w:sz w:val="21"/>
                      <w:szCs w:val="21"/>
                      <w:highlight w:val="none"/>
                      <w:u w:val="none"/>
                      <w:lang w:val="en-US" w:eastAsia="zh-CN" w:bidi="ar"/>
                    </w:rPr>
                    <w:t>/dB(A)</w:t>
                  </w:r>
                </w:p>
              </w:tc>
              <w:tc>
                <w:tcPr>
                  <w:tcW w:w="368" w:type="dxa"/>
                  <w:vMerge w:val="restart"/>
                  <w:tcBorders>
                    <w:top w:val="single" w:color="000000" w:sz="8" w:space="0"/>
                    <w:left w:val="single" w:color="000000" w:sz="8" w:space="0"/>
                    <w:right w:val="single" w:color="000000" w:sz="8" w:space="0"/>
                  </w:tcBorders>
                  <w:shd w:val="clear" w:color="auto" w:fill="auto"/>
                  <w:noWrap/>
                  <w:tcMar>
                    <w:top w:w="0" w:type="dxa"/>
                    <w:left w:w="0" w:type="dxa"/>
                    <w:bottom w:w="0" w:type="dxa"/>
                    <w:right w:w="0" w:type="dxa"/>
                  </w:tcMar>
                  <w:vAlign w:val="center"/>
                </w:tcPr>
                <w:p w14:paraId="10733E7A">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建筑物外距离</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r>
            <w:tr w14:paraId="0A47C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D818F5">
                  <w:pPr>
                    <w:spacing w:line="240" w:lineRule="auto"/>
                    <w:jc w:val="center"/>
                    <w:rPr>
                      <w:rFonts w:hint="default" w:ascii="Times New Roman" w:hAnsi="Times New Roman" w:cs="Times New Roman"/>
                      <w:b/>
                      <w:bCs/>
                      <w:i w:val="0"/>
                      <w:iCs w:val="0"/>
                      <w:color w:val="auto"/>
                      <w:sz w:val="21"/>
                      <w:szCs w:val="21"/>
                      <w:highlight w:val="none"/>
                      <w:u w:val="none"/>
                    </w:rPr>
                  </w:pPr>
                </w:p>
              </w:tc>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C39F4C">
                  <w:pPr>
                    <w:spacing w:line="240" w:lineRule="auto"/>
                    <w:jc w:val="center"/>
                    <w:rPr>
                      <w:rFonts w:hint="default" w:ascii="Times New Roman" w:hAnsi="Times New Roman" w:cs="Times New Roman"/>
                      <w:b/>
                      <w:bCs/>
                      <w:i w:val="0"/>
                      <w:iCs w:val="0"/>
                      <w:color w:val="auto"/>
                      <w:sz w:val="21"/>
                      <w:szCs w:val="21"/>
                      <w:highlight w:val="none"/>
                      <w:u w:val="none"/>
                    </w:rPr>
                  </w:pPr>
                </w:p>
              </w:tc>
              <w:tc>
                <w:tcPr>
                  <w:tcW w:w="58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813E5B8">
                  <w:pPr>
                    <w:spacing w:line="240" w:lineRule="auto"/>
                    <w:jc w:val="center"/>
                    <w:rPr>
                      <w:rFonts w:hint="default" w:ascii="Times New Roman" w:hAnsi="Times New Roman" w:cs="Times New Roman"/>
                      <w:b/>
                      <w:bCs/>
                      <w:i w:val="0"/>
                      <w:iCs w:val="0"/>
                      <w:color w:val="auto"/>
                      <w:sz w:val="21"/>
                      <w:szCs w:val="21"/>
                      <w:highlight w:val="none"/>
                      <w:u w:val="none"/>
                    </w:rPr>
                  </w:pP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15A163">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X</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98C4A02">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Y</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2E6A82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Z</w:t>
                  </w:r>
                </w:p>
              </w:tc>
              <w:tc>
                <w:tcPr>
                  <w:tcW w:w="482"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5B47C6D">
                  <w:pPr>
                    <w:spacing w:line="240" w:lineRule="auto"/>
                    <w:jc w:val="center"/>
                    <w:rPr>
                      <w:rFonts w:hint="default" w:ascii="Times New Roman" w:hAnsi="Times New Roman" w:cs="Times New Roman"/>
                      <w:b/>
                      <w:bCs/>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0DA981">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声压级</w:t>
                  </w:r>
                  <w:r>
                    <w:rPr>
                      <w:rFonts w:hint="default" w:ascii="Times New Roman" w:hAnsi="Times New Roman" w:eastAsia="宋体" w:cs="Times New Roman"/>
                      <w:b/>
                      <w:bCs/>
                      <w:i w:val="0"/>
                      <w:iCs w:val="0"/>
                      <w:color w:val="auto"/>
                      <w:kern w:val="0"/>
                      <w:sz w:val="21"/>
                      <w:szCs w:val="21"/>
                      <w:highlight w:val="none"/>
                      <w:u w:val="none"/>
                      <w:lang w:val="en-US" w:eastAsia="zh-CN" w:bidi="ar"/>
                    </w:rPr>
                    <w:t>/dB(A)</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DBD822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距声源距离</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C8F5C82">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东</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C7939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南</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EA29DA2">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西</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95FDF0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北</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CE2496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东</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B9371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南</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B41F8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西</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229362D">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北</w:t>
                  </w:r>
                </w:p>
              </w:tc>
              <w:tc>
                <w:tcPr>
                  <w:tcW w:w="367"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851414">
                  <w:pPr>
                    <w:spacing w:line="240" w:lineRule="auto"/>
                    <w:jc w:val="center"/>
                    <w:rPr>
                      <w:rFonts w:hint="default" w:ascii="Times New Roman" w:hAnsi="Times New Roman" w:cs="Times New Roman"/>
                      <w:b/>
                      <w:bCs/>
                      <w:i w:val="0"/>
                      <w:iCs w:val="0"/>
                      <w:color w:val="auto"/>
                      <w:sz w:val="21"/>
                      <w:szCs w:val="21"/>
                      <w:highlight w:val="none"/>
                      <w:u w:val="none"/>
                    </w:rPr>
                  </w:pPr>
                </w:p>
              </w:tc>
              <w:tc>
                <w:tcPr>
                  <w:tcW w:w="500"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E31186">
                  <w:pPr>
                    <w:spacing w:line="240" w:lineRule="auto"/>
                    <w:jc w:val="center"/>
                    <w:rPr>
                      <w:rFonts w:hint="default" w:ascii="Times New Roman" w:hAnsi="Times New Roman" w:cs="Times New Roman"/>
                      <w:b/>
                      <w:bCs/>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3165B96">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东</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70A9748">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南</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7494B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西</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FBD3E5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北</w:t>
                  </w:r>
                </w:p>
              </w:tc>
              <w:tc>
                <w:tcPr>
                  <w:tcW w:w="368" w:type="dxa"/>
                  <w:vMerge w:val="continue"/>
                  <w:tcBorders>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C24056">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p>
              </w:tc>
            </w:tr>
            <w:tr w14:paraId="19FD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776AB4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4DCD3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造粒机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F927A7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5056F0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71.68</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F41C92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-4.38</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A7D258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restart"/>
                  <w:tcBorders>
                    <w:top w:val="single" w:color="000000" w:sz="8" w:space="0"/>
                    <w:left w:val="single" w:color="000000" w:sz="8" w:space="0"/>
                    <w:right w:val="single" w:color="000000" w:sz="8" w:space="0"/>
                  </w:tcBorders>
                  <w:shd w:val="clear" w:color="auto" w:fill="auto"/>
                  <w:noWrap/>
                  <w:tcMar>
                    <w:top w:w="0" w:type="dxa"/>
                    <w:left w:w="0" w:type="dxa"/>
                    <w:bottom w:w="0" w:type="dxa"/>
                    <w:right w:w="0" w:type="dxa"/>
                  </w:tcMar>
                  <w:vAlign w:val="center"/>
                </w:tcPr>
                <w:p w14:paraId="26A67CC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距离衰减、减震措施</w:t>
                  </w: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8BEDDA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75.00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4F7758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03ED5B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41.53</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0CF966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15.50</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13F3EF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46.18</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15892B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37.64</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5DCF8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55.64</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D6A55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64.21</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E530DA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54.72</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4ED7AA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56.50</w:t>
                  </w:r>
                </w:p>
              </w:tc>
              <w:tc>
                <w:tcPr>
                  <w:tcW w:w="367" w:type="dxa"/>
                  <w:vMerge w:val="restart"/>
                  <w:tcBorders>
                    <w:top w:val="single" w:color="000000" w:sz="8" w:space="0"/>
                    <w:left w:val="single" w:color="000000" w:sz="8" w:space="0"/>
                    <w:right w:val="single" w:color="000000" w:sz="8" w:space="0"/>
                  </w:tcBorders>
                  <w:shd w:val="clear" w:color="auto" w:fill="auto"/>
                  <w:noWrap/>
                  <w:tcMar>
                    <w:top w:w="0" w:type="dxa"/>
                    <w:left w:w="0" w:type="dxa"/>
                    <w:bottom w:w="0" w:type="dxa"/>
                    <w:right w:w="0" w:type="dxa"/>
                  </w:tcMar>
                  <w:vAlign w:val="center"/>
                </w:tcPr>
                <w:p w14:paraId="5CD2287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昼间</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夜间</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493BD0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50DCC8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29.44</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95C248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37.66</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D3C384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28.54</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2CCCF6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30.27</w:t>
                  </w:r>
                </w:p>
              </w:tc>
              <w:tc>
                <w:tcPr>
                  <w:tcW w:w="368" w:type="dxa"/>
                  <w:vMerge w:val="restart"/>
                  <w:tcBorders>
                    <w:top w:val="single" w:color="000000" w:sz="8" w:space="0"/>
                    <w:left w:val="single" w:color="000000" w:sz="8" w:space="0"/>
                    <w:right w:val="single" w:color="000000" w:sz="8" w:space="0"/>
                  </w:tcBorders>
                  <w:shd w:val="clear" w:color="auto" w:fill="auto"/>
                  <w:noWrap/>
                  <w:tcMar>
                    <w:top w:w="0" w:type="dxa"/>
                    <w:left w:w="0" w:type="dxa"/>
                    <w:bottom w:w="0" w:type="dxa"/>
                    <w:right w:w="0" w:type="dxa"/>
                  </w:tcMar>
                  <w:vAlign w:val="center"/>
                </w:tcPr>
                <w:p w14:paraId="017ABDA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w:t>
                  </w:r>
                </w:p>
              </w:tc>
            </w:tr>
            <w:tr w14:paraId="3825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1A9FE3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C8E42C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洗料整套设备</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F161D7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9B3932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-16.97</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C7289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44.27</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8F34E7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65CD9B4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7686F0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75.00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B0C6FB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FD04F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30.31</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7B951F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65.28</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9D0FCA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FDC48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65.04</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1FB338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51.39</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265B4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44.73</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643706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55.00</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5DE4A6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44.76</w:t>
                  </w:r>
                </w:p>
              </w:tc>
              <w:tc>
                <w:tcPr>
                  <w:tcW w:w="367"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5432C57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15A7AA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288580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25.11</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20E696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18.59</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CE8A3D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28.57</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DD17B4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18.62</w:t>
                  </w:r>
                </w:p>
              </w:tc>
              <w:tc>
                <w:tcPr>
                  <w:tcW w:w="368"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3E5C254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4765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2F23D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41F54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破碎机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8AEBB9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65E3F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-14.27</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BF5922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-3.3</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393D2E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061E49D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6DA60F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2E70EC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D3EB6B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28.99</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0E368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17.86</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A5F4FB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22.52</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93388F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112.41</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B65065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58.54</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61DD6A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62.74</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F7D2E4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60.73</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05D21B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46.77</w:t>
                  </w:r>
                </w:p>
              </w:tc>
              <w:tc>
                <w:tcPr>
                  <w:tcW w:w="367"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0277286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F8EEC3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2A252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32.24</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EADB8C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36.27</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BB1C38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34.35</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023BFA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20.69</w:t>
                  </w:r>
                </w:p>
              </w:tc>
              <w:tc>
                <w:tcPr>
                  <w:tcW w:w="368"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4A1C554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1B56A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619E08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41DDD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锤破机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031300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FA6393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-16.06</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3D4FEA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85.08</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C62863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11D3E8A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F6A9E3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59D739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1CF664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28.21</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638F9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105.86</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27CE63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21.09</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DF1A0D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24.44</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3147F7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54.00</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ACC485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42.52</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A3D507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56.53</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32C72C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55.25</w:t>
                  </w:r>
                </w:p>
              </w:tc>
              <w:tc>
                <w:tcPr>
                  <w:tcW w:w="367"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72D1161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4E9432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A1820F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27.70</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B7C07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16.43</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3A2B3A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30.13</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C1D63D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28.90</w:t>
                  </w:r>
                </w:p>
              </w:tc>
              <w:tc>
                <w:tcPr>
                  <w:tcW w:w="368"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21D5B92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20B29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79B2CF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97EC57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硅胶机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CBB81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3949C5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83.03</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8BE9C6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59.41</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8B7AF3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1E9D066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A3967B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75.00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87D9E6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493CE7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35.02</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ABE402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18.83</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4E349D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60.14</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6044D5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37.66</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40CD93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54.90</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3098B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60.30</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82251E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50.21</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CC0DF8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54.28</w:t>
                  </w:r>
                </w:p>
              </w:tc>
              <w:tc>
                <w:tcPr>
                  <w:tcW w:w="367"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30297A6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C6AD13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C982A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28.66</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B0D3F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33.85</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2C2D6B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24.07</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528D0D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28.05</w:t>
                  </w:r>
                </w:p>
              </w:tc>
              <w:tc>
                <w:tcPr>
                  <w:tcW w:w="368"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3741F7D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540C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B2BBFD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CB51AE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静电分选机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86EDCD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1737B4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63.03</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1230CA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59.41</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3A925D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14EB696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E0177D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70.00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DCEB9F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B9E7E3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55.03</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5CFC24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18.38</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AB8315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40.13</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AA05DF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38.47</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96B1D0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41.21</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DE7577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50.73</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2F158E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43.95</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F6C44D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44.32</w:t>
                  </w:r>
                </w:p>
              </w:tc>
              <w:tc>
                <w:tcPr>
                  <w:tcW w:w="367"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3F41ABE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23D9F4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1AD041F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15.05</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8D6568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24.27</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7B7C90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17.74</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D43F0B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18.10</w:t>
                  </w:r>
                </w:p>
              </w:tc>
              <w:tc>
                <w:tcPr>
                  <w:tcW w:w="368" w:type="dxa"/>
                  <w:vMerge w:val="continue"/>
                  <w:tcBorders>
                    <w:left w:val="single" w:color="000000" w:sz="8" w:space="0"/>
                    <w:right w:val="single" w:color="000000" w:sz="8" w:space="0"/>
                  </w:tcBorders>
                  <w:shd w:val="clear" w:color="auto" w:fill="auto"/>
                  <w:noWrap/>
                  <w:tcMar>
                    <w:top w:w="0" w:type="dxa"/>
                    <w:left w:w="0" w:type="dxa"/>
                    <w:bottom w:w="0" w:type="dxa"/>
                    <w:right w:w="0" w:type="dxa"/>
                  </w:tcMar>
                  <w:vAlign w:val="center"/>
                </w:tcPr>
                <w:p w14:paraId="207C795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7A73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9"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A9BA7B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厂房</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4C051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材质分选机</w:t>
                  </w:r>
                </w:p>
              </w:tc>
              <w:tc>
                <w:tcPr>
                  <w:tcW w:w="58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FCF5CF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97821D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44.65</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7DF33FD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60.49</w:t>
                  </w:r>
                </w:p>
              </w:tc>
              <w:tc>
                <w:tcPr>
                  <w:tcW w:w="4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C898AA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82" w:type="dxa"/>
                  <w:vMerge w:val="continue"/>
                  <w:tcBorders>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44259E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718"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6876C40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70.00</w:t>
                  </w:r>
                </w:p>
              </w:tc>
              <w:tc>
                <w:tcPr>
                  <w:tcW w:w="46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423262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23D9FC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73.37</w:t>
                  </w:r>
                </w:p>
              </w:tc>
              <w:tc>
                <w:tcPr>
                  <w:tcW w:w="7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9F3EEB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19.05</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32EE6E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21.73</w:t>
                  </w:r>
                </w:p>
              </w:tc>
              <w:tc>
                <w:tcPr>
                  <w:tcW w:w="56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00B8C05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38.13</w:t>
                  </w:r>
                </w:p>
              </w:tc>
              <w:tc>
                <w:tcPr>
                  <w:tcW w:w="6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998B75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35.70</w:t>
                  </w:r>
                </w:p>
              </w:tc>
              <w:tc>
                <w:tcPr>
                  <w:tcW w:w="533"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C4C796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47.41</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69F9C54">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46.27</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B87BC7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41.38</w:t>
                  </w:r>
                </w:p>
              </w:tc>
              <w:tc>
                <w:tcPr>
                  <w:tcW w:w="367" w:type="dxa"/>
                  <w:vMerge w:val="continue"/>
                  <w:tcBorders>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C38CEC2">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4238A60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0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86AB46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9.58</w:t>
                  </w:r>
                </w:p>
              </w:tc>
              <w:tc>
                <w:tcPr>
                  <w:tcW w:w="550"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5D82D1B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20.97</w:t>
                  </w:r>
                </w:p>
              </w:tc>
              <w:tc>
                <w:tcPr>
                  <w:tcW w:w="516"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0D3FB1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19.88</w:t>
                  </w:r>
                </w:p>
              </w:tc>
              <w:tc>
                <w:tcPr>
                  <w:tcW w:w="517" w:type="dxa"/>
                  <w:tcBorders>
                    <w:top w:val="single" w:color="000000" w:sz="8" w:space="0"/>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36F22B5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15.16</w:t>
                  </w:r>
                </w:p>
              </w:tc>
              <w:tc>
                <w:tcPr>
                  <w:tcW w:w="368" w:type="dxa"/>
                  <w:vMerge w:val="continue"/>
                  <w:tcBorders>
                    <w:left w:val="single" w:color="000000" w:sz="8" w:space="0"/>
                    <w:bottom w:val="single" w:color="000000" w:sz="8" w:space="0"/>
                    <w:right w:val="single" w:color="000000" w:sz="8" w:space="0"/>
                  </w:tcBorders>
                  <w:shd w:val="clear" w:color="auto" w:fill="auto"/>
                  <w:noWrap/>
                  <w:tcMar>
                    <w:top w:w="0" w:type="dxa"/>
                    <w:left w:w="0" w:type="dxa"/>
                    <w:bottom w:w="0" w:type="dxa"/>
                    <w:right w:w="0" w:type="dxa"/>
                  </w:tcMar>
                  <w:vAlign w:val="center"/>
                </w:tcPr>
                <w:p w14:paraId="2462AA53">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bl>
          <w:p w14:paraId="1E74BF18">
            <w:pPr>
              <w:keepNext/>
              <w:keepLines/>
              <w:tabs>
                <w:tab w:val="left" w:pos="0"/>
              </w:tabs>
              <w:ind w:firstLine="40"/>
              <w:jc w:val="center"/>
              <w:outlineLvl w:val="3"/>
              <w:rPr>
                <w:b/>
                <w:bCs/>
                <w:color w:val="auto"/>
                <w:sz w:val="21"/>
                <w:szCs w:val="21"/>
                <w:highlight w:val="none"/>
              </w:rPr>
            </w:pPr>
          </w:p>
          <w:p w14:paraId="4BFB3E75">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表4-2</w:t>
            </w:r>
            <w:r>
              <w:rPr>
                <w:rFonts w:hint="eastAsia"/>
                <w:b/>
                <w:bCs/>
                <w:color w:val="auto"/>
                <w:sz w:val="21"/>
                <w:szCs w:val="21"/>
                <w:highlight w:val="none"/>
                <w:lang w:val="en-US" w:eastAsia="zh-CN"/>
              </w:rPr>
              <w:t>3</w:t>
            </w:r>
            <w:r>
              <w:rPr>
                <w:b/>
                <w:bCs/>
                <w:color w:val="auto"/>
                <w:sz w:val="21"/>
                <w:szCs w:val="21"/>
                <w:highlight w:val="none"/>
              </w:rPr>
              <w:t xml:space="preserve"> 项目噪声源强情况一览表（室外声源）</w:t>
            </w:r>
          </w:p>
          <w:tbl>
            <w:tblPr>
              <w:tblStyle w:val="49"/>
              <w:tblW w:w="13316" w:type="dxa"/>
              <w:tblInd w:w="-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9"/>
              <w:gridCol w:w="1195"/>
              <w:gridCol w:w="1429"/>
              <w:gridCol w:w="1573"/>
              <w:gridCol w:w="1128"/>
              <w:gridCol w:w="1401"/>
              <w:gridCol w:w="1447"/>
              <w:gridCol w:w="2016"/>
              <w:gridCol w:w="1378"/>
            </w:tblGrid>
            <w:tr w14:paraId="52BD6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1749"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C22454">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声源名称</w:t>
                  </w:r>
                </w:p>
              </w:tc>
              <w:tc>
                <w:tcPr>
                  <w:tcW w:w="1195"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294869">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设备数量</w:t>
                  </w:r>
                </w:p>
              </w:tc>
              <w:tc>
                <w:tcPr>
                  <w:tcW w:w="4130" w:type="dxa"/>
                  <w:gridSpan w:val="3"/>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8624CD">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空间相对位置</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2848" w:type="dxa"/>
                  <w:gridSpan w:val="2"/>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92273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声源源强</w:t>
                  </w:r>
                </w:p>
              </w:tc>
              <w:tc>
                <w:tcPr>
                  <w:tcW w:w="2016"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DB166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声源控制措施</w:t>
                  </w:r>
                </w:p>
              </w:tc>
              <w:tc>
                <w:tcPr>
                  <w:tcW w:w="1378"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9B1AF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运行时段</w:t>
                  </w:r>
                </w:p>
              </w:tc>
            </w:tr>
            <w:tr w14:paraId="75E3B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1749" w:type="dxa"/>
                  <w:vMerge w:val="continue"/>
                  <w:tcBorders>
                    <w:top w:val="single" w:color="000000" w:sz="8" w:space="0"/>
                    <w:left w:val="single" w:color="000000" w:sz="8" w:space="0"/>
                    <w:bottom w:val="single" w:color="000000" w:sz="8" w:space="0"/>
                    <w:right w:val="single" w:color="000000" w:sz="8" w:space="0"/>
                  </w:tcBorders>
                  <w:shd w:val="clear" w:color="auto" w:fill="D3D3D3"/>
                  <w:noWrap/>
                  <w:vAlign w:val="center"/>
                </w:tcPr>
                <w:p w14:paraId="3ED25F2F">
                  <w:pPr>
                    <w:spacing w:line="240" w:lineRule="auto"/>
                    <w:jc w:val="center"/>
                    <w:rPr>
                      <w:rFonts w:hint="default" w:ascii="Times New Roman" w:hAnsi="Times New Roman" w:cs="Times New Roman"/>
                      <w:b/>
                      <w:bCs/>
                      <w:i w:val="0"/>
                      <w:iCs w:val="0"/>
                      <w:color w:val="auto"/>
                      <w:sz w:val="21"/>
                      <w:szCs w:val="21"/>
                      <w:highlight w:val="none"/>
                      <w:u w:val="none"/>
                    </w:rPr>
                  </w:pPr>
                </w:p>
              </w:tc>
              <w:tc>
                <w:tcPr>
                  <w:tcW w:w="1195" w:type="dxa"/>
                  <w:vMerge w:val="continue"/>
                  <w:tcBorders>
                    <w:top w:val="single" w:color="000000" w:sz="8" w:space="0"/>
                    <w:left w:val="single" w:color="000000" w:sz="8" w:space="0"/>
                    <w:bottom w:val="single" w:color="000000" w:sz="8" w:space="0"/>
                    <w:right w:val="single" w:color="000000" w:sz="8" w:space="0"/>
                  </w:tcBorders>
                  <w:shd w:val="clear" w:color="auto" w:fill="D3D3D3"/>
                  <w:noWrap/>
                  <w:vAlign w:val="center"/>
                </w:tcPr>
                <w:p w14:paraId="3FAD223A">
                  <w:pPr>
                    <w:spacing w:line="240" w:lineRule="auto"/>
                    <w:jc w:val="center"/>
                    <w:rPr>
                      <w:rFonts w:hint="default" w:ascii="Times New Roman" w:hAnsi="Times New Roman" w:cs="Times New Roman"/>
                      <w:b/>
                      <w:bCs/>
                      <w:i w:val="0"/>
                      <w:iCs w:val="0"/>
                      <w:color w:val="auto"/>
                      <w:sz w:val="21"/>
                      <w:szCs w:val="21"/>
                      <w:highlight w:val="none"/>
                      <w:u w:val="none"/>
                    </w:rPr>
                  </w:pPr>
                </w:p>
              </w:tc>
              <w:tc>
                <w:tcPr>
                  <w:tcW w:w="142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35B568">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X</w:t>
                  </w:r>
                </w:p>
              </w:tc>
              <w:tc>
                <w:tcPr>
                  <w:tcW w:w="157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D5BCF54">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Y</w:t>
                  </w:r>
                </w:p>
              </w:tc>
              <w:tc>
                <w:tcPr>
                  <w:tcW w:w="11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6F08DB7">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Z</w:t>
                  </w:r>
                </w:p>
              </w:tc>
              <w:tc>
                <w:tcPr>
                  <w:tcW w:w="140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AB5D1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声压级</w:t>
                  </w:r>
                  <w:r>
                    <w:rPr>
                      <w:rFonts w:hint="default" w:ascii="Times New Roman" w:hAnsi="Times New Roman" w:eastAsia="宋体" w:cs="Times New Roman"/>
                      <w:b/>
                      <w:bCs/>
                      <w:i w:val="0"/>
                      <w:iCs w:val="0"/>
                      <w:color w:val="auto"/>
                      <w:kern w:val="0"/>
                      <w:sz w:val="21"/>
                      <w:szCs w:val="21"/>
                      <w:highlight w:val="none"/>
                      <w:u w:val="none"/>
                      <w:lang w:val="en-US" w:eastAsia="zh-CN" w:bidi="ar"/>
                    </w:rPr>
                    <w:t>/dB(A)</w:t>
                  </w:r>
                </w:p>
              </w:tc>
              <w:tc>
                <w:tcPr>
                  <w:tcW w:w="144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5C1821">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距声源距离</w:t>
                  </w:r>
                  <w:r>
                    <w:rPr>
                      <w:rFonts w:hint="default" w:ascii="Times New Roman" w:hAnsi="Times New Roman" w:eastAsia="宋体" w:cs="Times New Roman"/>
                      <w:b/>
                      <w:bCs/>
                      <w:i w:val="0"/>
                      <w:iCs w:val="0"/>
                      <w:color w:val="auto"/>
                      <w:kern w:val="0"/>
                      <w:sz w:val="21"/>
                      <w:szCs w:val="21"/>
                      <w:highlight w:val="none"/>
                      <w:u w:val="none"/>
                      <w:lang w:val="en-US" w:eastAsia="zh-CN" w:bidi="ar"/>
                    </w:rPr>
                    <w:t>/m</w:t>
                  </w:r>
                </w:p>
              </w:tc>
              <w:tc>
                <w:tcPr>
                  <w:tcW w:w="2016" w:type="dxa"/>
                  <w:vMerge w:val="continue"/>
                  <w:tcBorders>
                    <w:top w:val="single" w:color="000000" w:sz="8" w:space="0"/>
                    <w:left w:val="single" w:color="000000" w:sz="8" w:space="0"/>
                    <w:bottom w:val="single" w:color="000000" w:sz="8" w:space="0"/>
                    <w:right w:val="single" w:color="000000" w:sz="8" w:space="0"/>
                  </w:tcBorders>
                  <w:shd w:val="clear" w:color="auto" w:fill="D3D3D3"/>
                  <w:noWrap/>
                  <w:vAlign w:val="center"/>
                </w:tcPr>
                <w:p w14:paraId="07628F68">
                  <w:pPr>
                    <w:spacing w:line="240" w:lineRule="auto"/>
                    <w:jc w:val="center"/>
                    <w:rPr>
                      <w:rFonts w:hint="default" w:ascii="Times New Roman" w:hAnsi="Times New Roman" w:cs="Times New Roman"/>
                      <w:b/>
                      <w:bCs/>
                      <w:i w:val="0"/>
                      <w:iCs w:val="0"/>
                      <w:color w:val="auto"/>
                      <w:sz w:val="21"/>
                      <w:szCs w:val="21"/>
                      <w:highlight w:val="none"/>
                      <w:u w:val="none"/>
                    </w:rPr>
                  </w:pPr>
                </w:p>
              </w:tc>
              <w:tc>
                <w:tcPr>
                  <w:tcW w:w="1378" w:type="dxa"/>
                  <w:vMerge w:val="continue"/>
                  <w:tcBorders>
                    <w:top w:val="single" w:color="000000" w:sz="8" w:space="0"/>
                    <w:left w:val="single" w:color="000000" w:sz="8" w:space="0"/>
                    <w:bottom w:val="single" w:color="000000" w:sz="8" w:space="0"/>
                    <w:right w:val="single" w:color="000000" w:sz="8" w:space="0"/>
                  </w:tcBorders>
                  <w:shd w:val="clear" w:color="auto" w:fill="D3D3D3"/>
                  <w:noWrap/>
                  <w:vAlign w:val="center"/>
                </w:tcPr>
                <w:p w14:paraId="2E2FB41B">
                  <w:pPr>
                    <w:spacing w:line="240" w:lineRule="auto"/>
                    <w:jc w:val="center"/>
                    <w:rPr>
                      <w:rFonts w:hint="default" w:ascii="Times New Roman" w:hAnsi="Times New Roman" w:cs="Times New Roman"/>
                      <w:b/>
                      <w:bCs/>
                      <w:i w:val="0"/>
                      <w:iCs w:val="0"/>
                      <w:color w:val="auto"/>
                      <w:sz w:val="21"/>
                      <w:szCs w:val="21"/>
                      <w:highlight w:val="none"/>
                      <w:u w:val="none"/>
                    </w:rPr>
                  </w:pPr>
                </w:p>
              </w:tc>
            </w:tr>
            <w:tr w14:paraId="510E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74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352ED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喷淋塔</w:t>
                  </w:r>
                </w:p>
              </w:tc>
              <w:tc>
                <w:tcPr>
                  <w:tcW w:w="119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A1DCF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2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B231C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20.59</w:t>
                  </w:r>
                </w:p>
              </w:tc>
              <w:tc>
                <w:tcPr>
                  <w:tcW w:w="157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B7BFB3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-9.51</w:t>
                  </w:r>
                </w:p>
              </w:tc>
              <w:tc>
                <w:tcPr>
                  <w:tcW w:w="11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29284A">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0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B070C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80.00</w:t>
                  </w:r>
                </w:p>
              </w:tc>
              <w:tc>
                <w:tcPr>
                  <w:tcW w:w="144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06D8B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016" w:type="dxa"/>
                  <w:vMerge w:val="restart"/>
                  <w:tcBorders>
                    <w:top w:val="single" w:color="000000" w:sz="8" w:space="0"/>
                    <w:left w:val="single" w:color="000000" w:sz="8" w:space="0"/>
                    <w:right w:val="single" w:color="000000" w:sz="8" w:space="0"/>
                  </w:tcBorders>
                  <w:shd w:val="clear" w:color="auto" w:fill="auto"/>
                  <w:noWrap/>
                  <w:vAlign w:val="center"/>
                </w:tcPr>
                <w:p w14:paraId="5304C955">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距离衰减、减震措施</w:t>
                  </w:r>
                </w:p>
              </w:tc>
              <w:tc>
                <w:tcPr>
                  <w:tcW w:w="1378" w:type="dxa"/>
                  <w:vMerge w:val="restart"/>
                  <w:tcBorders>
                    <w:top w:val="single" w:color="000000" w:sz="8" w:space="0"/>
                    <w:left w:val="single" w:color="000000" w:sz="8" w:space="0"/>
                    <w:right w:val="single" w:color="000000" w:sz="8" w:space="0"/>
                  </w:tcBorders>
                  <w:shd w:val="clear" w:color="auto" w:fill="auto"/>
                  <w:noWrap/>
                  <w:vAlign w:val="center"/>
                </w:tcPr>
                <w:p w14:paraId="55D41478">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昼间</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夜间</w:t>
                  </w:r>
                </w:p>
              </w:tc>
            </w:tr>
            <w:tr w14:paraId="16EDD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74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5BAB2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废气处理风机</w:t>
                  </w: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9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BC7340">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2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4E6DF6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-8.05</w:t>
                  </w:r>
                </w:p>
              </w:tc>
              <w:tc>
                <w:tcPr>
                  <w:tcW w:w="157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8FE17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-24.11</w:t>
                  </w:r>
                </w:p>
              </w:tc>
              <w:tc>
                <w:tcPr>
                  <w:tcW w:w="11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F361B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0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09B27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85.00</w:t>
                  </w:r>
                </w:p>
              </w:tc>
              <w:tc>
                <w:tcPr>
                  <w:tcW w:w="144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D784F7">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016" w:type="dxa"/>
                  <w:vMerge w:val="continue"/>
                  <w:tcBorders>
                    <w:left w:val="single" w:color="000000" w:sz="8" w:space="0"/>
                    <w:right w:val="single" w:color="000000" w:sz="8" w:space="0"/>
                  </w:tcBorders>
                  <w:shd w:val="clear" w:color="auto" w:fill="auto"/>
                  <w:noWrap/>
                  <w:vAlign w:val="center"/>
                </w:tcPr>
                <w:p w14:paraId="331A248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1378" w:type="dxa"/>
                  <w:vMerge w:val="continue"/>
                  <w:tcBorders>
                    <w:left w:val="single" w:color="000000" w:sz="8" w:space="0"/>
                    <w:right w:val="single" w:color="000000" w:sz="8" w:space="0"/>
                  </w:tcBorders>
                  <w:shd w:val="clear" w:color="auto" w:fill="auto"/>
                  <w:noWrap/>
                  <w:vAlign w:val="center"/>
                </w:tcPr>
                <w:p w14:paraId="6B730C99">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r w14:paraId="4FC0A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74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4BBA0E">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废气处理风机</w:t>
                  </w: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9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284D2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2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DE0EF6">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65.46</w:t>
                  </w:r>
                </w:p>
              </w:tc>
              <w:tc>
                <w:tcPr>
                  <w:tcW w:w="157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61344F">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-23.57</w:t>
                  </w:r>
                </w:p>
              </w:tc>
              <w:tc>
                <w:tcPr>
                  <w:tcW w:w="11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C821B1">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0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F3CC6C">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85.00</w:t>
                  </w:r>
                </w:p>
              </w:tc>
              <w:tc>
                <w:tcPr>
                  <w:tcW w:w="144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1DF47B">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016" w:type="dxa"/>
                  <w:vMerge w:val="continue"/>
                  <w:tcBorders>
                    <w:left w:val="single" w:color="000000" w:sz="8" w:space="0"/>
                    <w:bottom w:val="single" w:color="000000" w:sz="8" w:space="0"/>
                    <w:right w:val="single" w:color="000000" w:sz="8" w:space="0"/>
                  </w:tcBorders>
                  <w:shd w:val="clear" w:color="auto" w:fill="auto"/>
                  <w:noWrap/>
                  <w:vAlign w:val="center"/>
                </w:tcPr>
                <w:p w14:paraId="4766718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c>
                <w:tcPr>
                  <w:tcW w:w="1378" w:type="dxa"/>
                  <w:vMerge w:val="continue"/>
                  <w:tcBorders>
                    <w:left w:val="single" w:color="000000" w:sz="8" w:space="0"/>
                    <w:bottom w:val="single" w:color="000000" w:sz="8" w:space="0"/>
                    <w:right w:val="single" w:color="000000" w:sz="8" w:space="0"/>
                  </w:tcBorders>
                  <w:shd w:val="clear" w:color="auto" w:fill="auto"/>
                  <w:noWrap/>
                  <w:vAlign w:val="center"/>
                </w:tcPr>
                <w:p w14:paraId="492C2A4D">
                  <w:pPr>
                    <w:keepNext w:val="0"/>
                    <w:keepLines w:val="0"/>
                    <w:widowControl/>
                    <w:suppressLineNumbers w:val="0"/>
                    <w:spacing w:line="240" w:lineRule="auto"/>
                    <w:jc w:val="center"/>
                    <w:textAlignment w:val="center"/>
                    <w:rPr>
                      <w:rFonts w:hint="default" w:ascii="Times New Roman" w:hAnsi="Times New Roman" w:cs="Times New Roman"/>
                      <w:i w:val="0"/>
                      <w:iCs w:val="0"/>
                      <w:color w:val="auto"/>
                      <w:sz w:val="21"/>
                      <w:szCs w:val="21"/>
                      <w:highlight w:val="none"/>
                      <w:u w:val="none"/>
                    </w:rPr>
                  </w:pPr>
                </w:p>
              </w:tc>
            </w:tr>
          </w:tbl>
          <w:p w14:paraId="2E3EEE7E">
            <w:pPr>
              <w:pStyle w:val="2"/>
              <w:rPr>
                <w:b/>
                <w:bCs/>
                <w:color w:val="auto"/>
                <w:sz w:val="21"/>
                <w:szCs w:val="21"/>
                <w:highlight w:val="none"/>
              </w:rPr>
            </w:pPr>
          </w:p>
          <w:p w14:paraId="71C60EBB">
            <w:pPr>
              <w:pStyle w:val="56"/>
              <w:rPr>
                <w:color w:val="auto"/>
                <w:highlight w:val="none"/>
              </w:rPr>
            </w:pPr>
          </w:p>
          <w:p w14:paraId="4DFC1961">
            <w:pPr>
              <w:pStyle w:val="10"/>
              <w:numPr>
                <w:ilvl w:val="2"/>
                <w:numId w:val="0"/>
              </w:numPr>
              <w:rPr>
                <w:color w:val="auto"/>
                <w:highlight w:val="none"/>
              </w:rPr>
            </w:pPr>
          </w:p>
        </w:tc>
      </w:tr>
    </w:tbl>
    <w:p w14:paraId="5C103C47">
      <w:pPr>
        <w:rPr>
          <w:color w:val="auto"/>
          <w:highlight w:val="none"/>
        </w:rPr>
        <w:sectPr>
          <w:pgSz w:w="16838" w:h="11906" w:orient="landscape"/>
          <w:pgMar w:top="1417" w:right="1440" w:bottom="1417" w:left="1440" w:header="851" w:footer="680" w:gutter="0"/>
          <w:pgNumType w:fmt="numberInDash"/>
          <w:cols w:space="0" w:num="1"/>
          <w:docGrid w:type="linesAndChars" w:linePitch="336" w:charSpace="0"/>
        </w:sect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9345"/>
      </w:tblGrid>
      <w:tr w14:paraId="5457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08" w:type="dxa"/>
            <w:vAlign w:val="center"/>
          </w:tcPr>
          <w:p w14:paraId="64C51FC9">
            <w:pPr>
              <w:jc w:val="center"/>
              <w:rPr>
                <w:color w:val="auto"/>
                <w:highlight w:val="none"/>
              </w:rPr>
            </w:pPr>
            <w:bookmarkStart w:id="143" w:name="_Toc7465"/>
            <w:r>
              <w:rPr>
                <w:b/>
                <w:bCs/>
                <w:color w:val="auto"/>
                <w:highlight w:val="none"/>
              </w:rPr>
              <w:t>运营期环境影响和保护措施</w:t>
            </w:r>
          </w:p>
        </w:tc>
        <w:tc>
          <w:tcPr>
            <w:tcW w:w="9345" w:type="dxa"/>
          </w:tcPr>
          <w:p w14:paraId="35F622CF">
            <w:pPr>
              <w:adjustRightInd w:val="0"/>
              <w:ind w:firstLine="480" w:firstLineChars="200"/>
              <w:rPr>
                <w:b/>
                <w:bCs/>
                <w:color w:val="auto"/>
                <w:highlight w:val="none"/>
              </w:rPr>
            </w:pPr>
            <w:r>
              <w:rPr>
                <w:b/>
                <w:bCs/>
                <w:color w:val="auto"/>
                <w:highlight w:val="none"/>
              </w:rPr>
              <w:t>2、达标分析</w:t>
            </w:r>
          </w:p>
          <w:p w14:paraId="0168F61D">
            <w:pPr>
              <w:adjustRightInd w:val="0"/>
              <w:ind w:firstLine="480" w:firstLineChars="200"/>
              <w:rPr>
                <w:color w:val="auto"/>
                <w:highlight w:val="none"/>
              </w:rPr>
            </w:pPr>
            <w:r>
              <w:rPr>
                <w:color w:val="auto"/>
                <w:highlight w:val="none"/>
              </w:rPr>
              <w:t>项目厂界外50米范围内无声环境保护目标。</w:t>
            </w:r>
            <w:r>
              <w:rPr>
                <w:bCs/>
                <w:color w:val="auto"/>
                <w:kern w:val="0"/>
                <w:highlight w:val="none"/>
              </w:rPr>
              <w:t>项目运营期产生的噪声主要为生产设备运行时产生的噪声，其噪声的强度值为60~85dB（A）之间。</w:t>
            </w:r>
          </w:p>
          <w:p w14:paraId="4D237A24">
            <w:pPr>
              <w:pStyle w:val="86"/>
              <w:snapToGrid w:val="0"/>
              <w:ind w:firstLine="480"/>
              <w:jc w:val="left"/>
              <w:rPr>
                <w:b/>
                <w:color w:val="auto"/>
                <w:kern w:val="0"/>
                <w:highlight w:val="none"/>
              </w:rPr>
            </w:pPr>
            <w:r>
              <w:rPr>
                <w:color w:val="auto"/>
                <w:highlight w:val="none"/>
              </w:rPr>
              <w:t>根据《环境影响评价技术导则-声环境》（HJ2.4-2021）提出噪声预测方法，对于生产车间内的室内声源应先预测噪声源靠近围护结构处的噪声值，再根据建筑隔声情况采用等效室外声源声压级法进行换算；对于处于室外的噪声源</w:t>
            </w:r>
            <w:r>
              <w:rPr>
                <w:color w:val="auto"/>
                <w:kern w:val="0"/>
                <w:highlight w:val="none"/>
              </w:rPr>
              <w:t>，在考虑相关降噪措施后按照噪声衰减公式进行预测。相关计算公式如下：</w:t>
            </w:r>
          </w:p>
          <w:p w14:paraId="45045650">
            <w:pPr>
              <w:pStyle w:val="86"/>
              <w:snapToGrid w:val="0"/>
              <w:ind w:left="480" w:leftChars="200" w:firstLine="0" w:firstLineChars="0"/>
              <w:jc w:val="left"/>
              <w:rPr>
                <w:color w:val="auto"/>
                <w:highlight w:val="none"/>
              </w:rPr>
            </w:pPr>
            <w:r>
              <w:rPr>
                <w:color w:val="auto"/>
                <w:highlight w:val="none"/>
              </w:rPr>
              <w:t>①噪声源靠近围护结构处的噪声值预测</w:t>
            </w:r>
          </w:p>
          <w:p w14:paraId="5CE372E1">
            <w:pPr>
              <w:pStyle w:val="86"/>
              <w:snapToGrid w:val="0"/>
              <w:ind w:left="480" w:leftChars="200" w:firstLine="0" w:firstLineChars="0"/>
              <w:jc w:val="left"/>
              <w:rPr>
                <w:color w:val="auto"/>
                <w:kern w:val="0"/>
                <w:highlight w:val="none"/>
              </w:rPr>
            </w:pPr>
            <w:r>
              <w:rPr>
                <w:color w:val="auto"/>
                <w:kern w:val="0"/>
                <w:highlight w:val="none"/>
              </w:rPr>
              <w:t>A.计算某一室内声源靠近围护结构处产生的A声压级Lp1：</w:t>
            </w:r>
          </w:p>
          <w:p w14:paraId="7A4A266F">
            <w:pPr>
              <w:snapToGrid w:val="0"/>
              <w:ind w:firstLine="480" w:firstLineChars="200"/>
              <w:rPr>
                <w:color w:val="auto"/>
                <w:highlight w:val="none"/>
              </w:rPr>
            </w:pPr>
            <m:oMathPara>
              <m:oMath>
                <m:sSub>
                  <m:sSubPr>
                    <m:ctrlPr>
                      <w:rPr>
                        <w:rFonts w:ascii="Cambria Math" w:hAnsi="Cambria Math"/>
                        <w:color w:val="auto"/>
                        <w:highlight w:val="none"/>
                      </w:rPr>
                    </m:ctrlPr>
                  </m:sSubPr>
                  <m:e>
                    <m:r>
                      <m:rPr/>
                      <w:rPr>
                        <w:rFonts w:ascii="Cambria Math" w:hAnsi="Cambria Math"/>
                        <w:color w:val="auto"/>
                        <w:highlight w:val="none"/>
                      </w:rPr>
                      <m:t>L</m:t>
                    </m:r>
                    <m:ctrlPr>
                      <w:rPr>
                        <w:rFonts w:ascii="Cambria Math" w:hAnsi="Cambria Math"/>
                        <w:color w:val="auto"/>
                        <w:highlight w:val="none"/>
                      </w:rPr>
                    </m:ctrlPr>
                  </m:e>
                  <m:sub>
                    <m:r>
                      <m:rPr/>
                      <w:rPr>
                        <w:rFonts w:ascii="Cambria Math" w:hAnsi="Cambria Math"/>
                        <w:color w:val="auto"/>
                        <w:highlight w:val="none"/>
                      </w:rPr>
                      <m:t>p1</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ascii="Cambria Math" w:hAnsi="Cambria Math"/>
                        <w:color w:val="auto"/>
                        <w:highlight w:val="none"/>
                      </w:rPr>
                      <m:t>L</m:t>
                    </m:r>
                    <m:ctrlPr>
                      <w:rPr>
                        <w:rFonts w:ascii="Cambria Math" w:hAnsi="Cambria Math"/>
                        <w:color w:val="auto"/>
                        <w:highlight w:val="none"/>
                      </w:rPr>
                    </m:ctrlPr>
                  </m:e>
                  <m:sub>
                    <m:r>
                      <m:rPr/>
                      <w:rPr>
                        <w:rFonts w:ascii="Cambria Math" w:hAnsi="Cambria Math"/>
                        <w:color w:val="auto"/>
                        <w:highlight w:val="none"/>
                      </w:rPr>
                      <m:t>w</m:t>
                    </m:r>
                    <m:ctrlPr>
                      <w:rPr>
                        <w:rFonts w:ascii="Cambria Math" w:hAnsi="Cambria Math"/>
                        <w:color w:val="auto"/>
                        <w:highlight w:val="none"/>
                      </w:rPr>
                    </m:ctrlPr>
                  </m:sub>
                </m:sSub>
                <m:r>
                  <m:rPr>
                    <m:sty m:val="p"/>
                  </m:rPr>
                  <w:rPr>
                    <w:rFonts w:ascii="Cambria Math" w:hAnsi="Cambria Math"/>
                    <w:color w:val="auto"/>
                    <w:highlight w:val="none"/>
                  </w:rPr>
                  <m:t>+10lg⁡(</m:t>
                </m:r>
                <m:f>
                  <m:fPr>
                    <m:ctrlPr>
                      <w:rPr>
                        <w:rFonts w:ascii="Cambria Math" w:hAnsi="Cambria Math"/>
                        <w:color w:val="auto"/>
                        <w:highlight w:val="none"/>
                      </w:rPr>
                    </m:ctrlPr>
                  </m:fPr>
                  <m:num>
                    <m:r>
                      <m:rPr/>
                      <w:rPr>
                        <w:rFonts w:ascii="Cambria Math" w:hAnsi="Cambria Math"/>
                        <w:color w:val="auto"/>
                        <w:highlight w:val="none"/>
                      </w:rPr>
                      <m:t>Q</m:t>
                    </m:r>
                    <m:ctrlPr>
                      <w:rPr>
                        <w:rFonts w:ascii="Cambria Math" w:hAnsi="Cambria Math"/>
                        <w:color w:val="auto"/>
                        <w:highlight w:val="none"/>
                      </w:rPr>
                    </m:ctrlPr>
                  </m:num>
                  <m:den>
                    <m:r>
                      <m:rPr/>
                      <w:rPr>
                        <w:rFonts w:ascii="Cambria Math" w:hAnsi="Cambria Math"/>
                        <w:color w:val="auto"/>
                        <w:highlight w:val="none"/>
                      </w:rPr>
                      <m:t>4π</m:t>
                    </m:r>
                    <m:sSup>
                      <m:sSupPr>
                        <m:ctrlPr>
                          <w:rPr>
                            <w:rFonts w:ascii="Cambria Math" w:hAnsi="Cambria Math"/>
                            <w:i/>
                            <w:color w:val="auto"/>
                            <w:highlight w:val="none"/>
                          </w:rPr>
                        </m:ctrlPr>
                      </m:sSupPr>
                      <m:e>
                        <m:r>
                          <m:rPr/>
                          <w:rPr>
                            <w:rFonts w:ascii="Cambria Math" w:hAnsi="Cambria Math"/>
                            <w:color w:val="auto"/>
                            <w:highlight w:val="none"/>
                          </w:rPr>
                          <m:t>r</m:t>
                        </m:r>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ctrlPr>
                      <w:rPr>
                        <w:rFonts w:ascii="Cambria Math" w:hAnsi="Cambria Math"/>
                        <w:color w:val="auto"/>
                        <w:highlight w:val="none"/>
                      </w:rPr>
                    </m:ctrlPr>
                  </m:den>
                </m:f>
                <m:r>
                  <m:rPr/>
                  <w:rPr>
                    <w:rFonts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4</m:t>
                    </m:r>
                    <m:ctrlPr>
                      <w:rPr>
                        <w:rFonts w:ascii="Cambria Math" w:hAnsi="Cambria Math"/>
                        <w:i/>
                        <w:color w:val="auto"/>
                        <w:highlight w:val="none"/>
                      </w:rPr>
                    </m:ctrlPr>
                  </m:num>
                  <m:den>
                    <m:r>
                      <m:rPr/>
                      <w:rPr>
                        <w:rFonts w:ascii="Cambria Math" w:hAnsi="Cambria Math"/>
                        <w:color w:val="auto"/>
                        <w:highlight w:val="none"/>
                      </w:rPr>
                      <m:t>R</m:t>
                    </m:r>
                    <m:ctrlPr>
                      <w:rPr>
                        <w:rFonts w:ascii="Cambria Math" w:hAnsi="Cambria Math"/>
                        <w:i/>
                        <w:color w:val="auto"/>
                        <w:highlight w:val="none"/>
                      </w:rPr>
                    </m:ctrlPr>
                  </m:den>
                </m:f>
                <m:r>
                  <m:rPr/>
                  <w:rPr>
                    <w:rFonts w:ascii="Cambria Math" w:hAnsi="Cambria Math"/>
                    <w:color w:val="auto"/>
                    <w:highlight w:val="none"/>
                  </w:rPr>
                  <m:t>)</m:t>
                </m:r>
              </m:oMath>
            </m:oMathPara>
          </w:p>
          <w:p w14:paraId="488FA051">
            <w:pPr>
              <w:snapToGrid w:val="0"/>
              <w:ind w:firstLine="480" w:firstLineChars="200"/>
              <w:rPr>
                <w:color w:val="auto"/>
                <w:kern w:val="0"/>
                <w:highlight w:val="none"/>
              </w:rPr>
            </w:pPr>
            <w:r>
              <w:rPr>
                <w:color w:val="auto"/>
                <w:kern w:val="0"/>
                <w:highlight w:val="none"/>
              </w:rPr>
              <w:t>式中：</w:t>
            </w:r>
          </w:p>
          <w:p w14:paraId="4396B6B8">
            <w:pPr>
              <w:snapToGrid w:val="0"/>
              <w:ind w:firstLine="480" w:firstLineChars="200"/>
              <w:rPr>
                <w:color w:val="auto"/>
                <w:kern w:val="0"/>
                <w:highlight w:val="none"/>
              </w:rPr>
            </w:pPr>
            <w:r>
              <w:rPr>
                <w:color w:val="auto"/>
                <w:kern w:val="0"/>
                <w:highlight w:val="none"/>
              </w:rPr>
              <w:t>Q－指向性因数：通常对无指向性声源，当声源放在房间中心时，Q=1；当放在一面墙的中心时，Q=2；当放在两面墙夹角时，Q=4；当放在三面墙夹角处时，Q=8。</w:t>
            </w:r>
          </w:p>
          <w:p w14:paraId="7FF5896A">
            <w:pPr>
              <w:snapToGrid w:val="0"/>
              <w:ind w:firstLine="480" w:firstLineChars="200"/>
              <w:rPr>
                <w:color w:val="auto"/>
                <w:kern w:val="0"/>
                <w:highlight w:val="none"/>
              </w:rPr>
            </w:pPr>
            <w:r>
              <w:rPr>
                <w:color w:val="auto"/>
                <w:kern w:val="0"/>
                <w:highlight w:val="none"/>
              </w:rPr>
              <w:t>R－房间常数：R=Sa/(1-a)，S为房间内表面面积，m</w:t>
            </w:r>
            <w:r>
              <w:rPr>
                <w:color w:val="auto"/>
                <w:kern w:val="0"/>
                <w:highlight w:val="none"/>
                <w:vertAlign w:val="superscript"/>
              </w:rPr>
              <w:t>2</w:t>
            </w:r>
            <w:r>
              <w:rPr>
                <w:color w:val="auto"/>
                <w:kern w:val="0"/>
                <w:highlight w:val="none"/>
              </w:rPr>
              <w:t>；a为平均吸声系数。</w:t>
            </w:r>
          </w:p>
          <w:p w14:paraId="576EF3ED">
            <w:pPr>
              <w:snapToGrid w:val="0"/>
              <w:ind w:firstLine="480" w:firstLineChars="200"/>
              <w:rPr>
                <w:color w:val="auto"/>
                <w:kern w:val="0"/>
                <w:highlight w:val="none"/>
              </w:rPr>
            </w:pPr>
            <w:r>
              <w:rPr>
                <w:color w:val="auto"/>
                <w:kern w:val="0"/>
                <w:highlight w:val="none"/>
              </w:rPr>
              <w:t>r－声源到靠近围护结构某点处的距离，m。</w:t>
            </w:r>
          </w:p>
          <w:p w14:paraId="28DFD3A1">
            <w:pPr>
              <w:snapToGrid w:val="0"/>
              <w:ind w:firstLine="480" w:firstLineChars="200"/>
              <w:rPr>
                <w:color w:val="auto"/>
                <w:kern w:val="0"/>
                <w:highlight w:val="none"/>
              </w:rPr>
            </w:pPr>
            <w:r>
              <w:rPr>
                <w:color w:val="auto"/>
                <w:kern w:val="0"/>
                <w:highlight w:val="none"/>
              </w:rPr>
              <w:t>Lw为设备源强声级。</w:t>
            </w:r>
          </w:p>
          <w:p w14:paraId="1FB19F95">
            <w:pPr>
              <w:snapToGrid w:val="0"/>
              <w:ind w:firstLine="480" w:firstLineChars="200"/>
              <w:rPr>
                <w:color w:val="auto"/>
                <w:kern w:val="0"/>
                <w:highlight w:val="none"/>
              </w:rPr>
            </w:pPr>
            <w:r>
              <w:rPr>
                <w:color w:val="auto"/>
                <w:kern w:val="0"/>
                <w:highlight w:val="none"/>
              </w:rPr>
              <w:t>B.计算出所有室内声源在围护结构处产生的叠加A声压级：</w:t>
            </w:r>
          </w:p>
          <w:p w14:paraId="161B4377">
            <w:pPr>
              <w:snapToGrid w:val="0"/>
              <w:ind w:firstLine="480" w:firstLineChars="200"/>
              <w:rPr>
                <w:color w:val="auto"/>
                <w:highlight w:val="none"/>
              </w:rPr>
            </w:pPr>
            <m:oMathPara>
              <m:oMathParaPr>
                <m:jc m:val="center"/>
              </m:oMathParaPr>
              <m:oMath>
                <m:sSub>
                  <m:sSubPr>
                    <m:ctrlPr>
                      <w:rPr>
                        <w:rFonts w:ascii="Cambria Math" w:hAnsi="Cambria Math"/>
                        <w:i/>
                        <w:color w:val="auto"/>
                        <w:highlight w:val="none"/>
                      </w:rPr>
                    </m:ctrlPr>
                  </m:sSubPr>
                  <m:e>
                    <m:r>
                      <m:rPr/>
                      <w:rPr>
                        <w:rFonts w:ascii="Cambria Math" w:hAnsi="Cambria Math"/>
                        <w:color w:val="auto"/>
                        <w:highlight w:val="none"/>
                      </w:rPr>
                      <m:t>L</m:t>
                    </m:r>
                    <m:ctrlPr>
                      <w:rPr>
                        <w:rFonts w:ascii="Cambria Math" w:hAnsi="Cambria Math"/>
                        <w:i/>
                        <w:color w:val="auto"/>
                        <w:highlight w:val="none"/>
                      </w:rPr>
                    </m:ctrlPr>
                  </m:e>
                  <m:sub>
                    <m:r>
                      <m:rPr/>
                      <w:rPr>
                        <w:rFonts w:ascii="Cambria Math" w:hAnsi="Cambria Math"/>
                        <w:color w:val="auto"/>
                        <w:highlight w:val="none"/>
                      </w:rPr>
                      <m:t>P1</m:t>
                    </m:r>
                    <m:ctrlPr>
                      <w:rPr>
                        <w:rFonts w:ascii="Cambria Math" w:hAnsi="Cambria Math"/>
                        <w:i/>
                        <w:color w:val="auto"/>
                        <w:highlight w:val="none"/>
                      </w:rPr>
                    </m:ctrlPr>
                  </m:sub>
                </m:sSub>
                <m:r>
                  <m:rPr>
                    <m:sty m:val="p"/>
                  </m:rPr>
                  <w:rPr>
                    <w:rFonts w:ascii="Cambria Math" w:hAnsi="Cambria Math"/>
                    <w:color w:val="auto"/>
                    <w:highlight w:val="none"/>
                  </w:rPr>
                  <m:t>(</m:t>
                </m:r>
                <m:r>
                  <m:rPr/>
                  <w:rPr>
                    <w:rFonts w:ascii="Cambria Math" w:hAnsi="Cambria Math"/>
                    <w:color w:val="auto"/>
                    <w:highlight w:val="none"/>
                  </w:rPr>
                  <m:t>T</m:t>
                </m:r>
                <m:r>
                  <m:rPr>
                    <m:sty m:val="p"/>
                  </m:rPr>
                  <w:rPr>
                    <w:rFonts w:ascii="Cambria Math" w:hAnsi="Cambria Math"/>
                    <w:color w:val="auto"/>
                    <w:highlight w:val="none"/>
                  </w:rPr>
                  <m:t>)=10lg</m:t>
                </m:r>
                <m:nary>
                  <m:naryPr>
                    <m:chr m:val="∑"/>
                    <m:limLoc m:val="undOvr"/>
                    <m:ctrlPr>
                      <w:rPr>
                        <w:rFonts w:ascii="Cambria Math" w:hAnsi="Cambria Math"/>
                        <w:color w:val="auto"/>
                        <w:highlight w:val="none"/>
                      </w:rPr>
                    </m:ctrlPr>
                  </m:naryPr>
                  <m:sub>
                    <m:r>
                      <m:rPr/>
                      <w:rPr>
                        <w:rFonts w:ascii="Cambria Math" w:hAnsi="Cambria Math"/>
                        <w:color w:val="auto"/>
                        <w:highlight w:val="none"/>
                      </w:rPr>
                      <m:t>i</m:t>
                    </m:r>
                    <m:r>
                      <m:rPr>
                        <m:sty m:val="p"/>
                      </m:rPr>
                      <w:rPr>
                        <w:rFonts w:ascii="Cambria Math" w:hAnsi="Cambria Math"/>
                        <w:color w:val="auto"/>
                        <w:highlight w:val="none"/>
                      </w:rPr>
                      <m:t>=1</m:t>
                    </m:r>
                    <m:ctrlPr>
                      <w:rPr>
                        <w:rFonts w:ascii="Cambria Math" w:hAnsi="Cambria Math"/>
                        <w:color w:val="auto"/>
                        <w:highlight w:val="none"/>
                      </w:rPr>
                    </m:ctrlPr>
                  </m:sub>
                  <m:sup>
                    <m:r>
                      <m:rPr/>
                      <w:rPr>
                        <w:rFonts w:ascii="Cambria Math" w:hAnsi="Cambria Math"/>
                        <w:color w:val="auto"/>
                        <w:highlight w:val="none"/>
                      </w:rPr>
                      <m:t>n</m:t>
                    </m:r>
                    <m:ctrlPr>
                      <w:rPr>
                        <w:rFonts w:ascii="Cambria Math" w:hAnsi="Cambria Math"/>
                        <w:color w:val="auto"/>
                        <w:highlight w:val="none"/>
                      </w:rPr>
                    </m:ctrlPr>
                  </m:sup>
                  <m:e>
                    <m:sSup>
                      <m:sSupPr>
                        <m:ctrlPr>
                          <w:rPr>
                            <w:rFonts w:ascii="Cambria Math" w:hAnsi="Cambria Math"/>
                            <w:i/>
                            <w:color w:val="auto"/>
                            <w:highlight w:val="none"/>
                          </w:rPr>
                        </m:ctrlPr>
                      </m:sSupPr>
                      <m:e>
                        <m:r>
                          <m:rPr/>
                          <w:rPr>
                            <w:rFonts w:ascii="Cambria Math" w:hAnsi="Cambria Math"/>
                            <w:color w:val="auto"/>
                            <w:highlight w:val="none"/>
                          </w:rPr>
                          <m:t>10</m:t>
                        </m:r>
                        <m:ctrlPr>
                          <w:rPr>
                            <w:rFonts w:ascii="Cambria Math" w:hAnsi="Cambria Math"/>
                            <w:i/>
                            <w:color w:val="auto"/>
                            <w:highlight w:val="none"/>
                          </w:rPr>
                        </m:ctrlPr>
                      </m:e>
                      <m:sup>
                        <m:r>
                          <m:rPr/>
                          <w:rPr>
                            <w:rFonts w:ascii="Cambria Math" w:hAnsi="Cambria Math"/>
                            <w:color w:val="auto"/>
                            <w:highlight w:val="none"/>
                          </w:rPr>
                          <m:t>0.1</m:t>
                        </m:r>
                        <m:sSub>
                          <m:sSubPr>
                            <m:ctrlPr>
                              <w:rPr>
                                <w:rFonts w:ascii="Cambria Math" w:hAnsi="Cambria Math"/>
                                <w:i/>
                                <w:color w:val="auto"/>
                                <w:highlight w:val="none"/>
                              </w:rPr>
                            </m:ctrlPr>
                          </m:sSubPr>
                          <m:e>
                            <m:r>
                              <m:rPr/>
                              <w:rPr>
                                <w:rFonts w:ascii="Cambria Math" w:hAnsi="Cambria Math"/>
                                <w:color w:val="auto"/>
                                <w:highlight w:val="none"/>
                              </w:rPr>
                              <m:t>L</m:t>
                            </m:r>
                            <m:ctrlPr>
                              <w:rPr>
                                <w:rFonts w:ascii="Cambria Math" w:hAnsi="Cambria Math"/>
                                <w:i/>
                                <w:color w:val="auto"/>
                                <w:highlight w:val="none"/>
                              </w:rPr>
                            </m:ctrlPr>
                          </m:e>
                          <m:sub>
                            <m:r>
                              <m:rPr/>
                              <w:rPr>
                                <w:rFonts w:ascii="Cambria Math" w:hAnsi="Cambria Math"/>
                                <w:color w:val="auto"/>
                                <w:highlight w:val="none"/>
                              </w:rPr>
                              <m:t>P1j</m:t>
                            </m:r>
                            <m:ctrlPr>
                              <w:rPr>
                                <w:rFonts w:ascii="Cambria Math" w:hAnsi="Cambria Math"/>
                                <w:i/>
                                <w:color w:val="auto"/>
                                <w:highlight w:val="none"/>
                              </w:rPr>
                            </m:ctrlPr>
                          </m:sub>
                        </m:sSub>
                        <m:ctrlPr>
                          <w:rPr>
                            <w:rFonts w:ascii="Cambria Math" w:hAnsi="Cambria Math"/>
                            <w:i/>
                            <w:color w:val="auto"/>
                            <w:highlight w:val="none"/>
                          </w:rPr>
                        </m:ctrlPr>
                      </m:sup>
                    </m:sSup>
                    <m:ctrlPr>
                      <w:rPr>
                        <w:rFonts w:ascii="Cambria Math" w:hAnsi="Cambria Math"/>
                        <w:color w:val="auto"/>
                        <w:highlight w:val="none"/>
                      </w:rPr>
                    </m:ctrlPr>
                  </m:e>
                </m:nary>
              </m:oMath>
            </m:oMathPara>
          </w:p>
          <w:p w14:paraId="691A8E42">
            <w:pPr>
              <w:snapToGrid w:val="0"/>
              <w:ind w:firstLine="480" w:firstLineChars="200"/>
              <w:rPr>
                <w:color w:val="auto"/>
                <w:kern w:val="0"/>
                <w:highlight w:val="none"/>
              </w:rPr>
            </w:pPr>
            <w:r>
              <w:rPr>
                <w:color w:val="auto"/>
                <w:kern w:val="0"/>
                <w:highlight w:val="none"/>
              </w:rPr>
              <w:t>式中：</w:t>
            </w:r>
          </w:p>
          <w:p w14:paraId="0A19B560">
            <w:pPr>
              <w:snapToGrid w:val="0"/>
              <w:ind w:firstLine="480" w:firstLineChars="200"/>
              <w:rPr>
                <w:color w:val="auto"/>
                <w:kern w:val="0"/>
                <w:highlight w:val="none"/>
              </w:rPr>
            </w:pPr>
            <w:r>
              <w:rPr>
                <w:color w:val="auto"/>
                <w:kern w:val="0"/>
                <w:highlight w:val="none"/>
              </w:rPr>
              <w:t>Lp1(T)--靠近围护结构处室内 N个声源叠加A声压级，dB(A)；</w:t>
            </w:r>
          </w:p>
          <w:p w14:paraId="04FCEA79">
            <w:pPr>
              <w:snapToGrid w:val="0"/>
              <w:ind w:firstLine="480" w:firstLineChars="200"/>
              <w:rPr>
                <w:color w:val="auto"/>
                <w:kern w:val="0"/>
                <w:highlight w:val="none"/>
              </w:rPr>
            </w:pPr>
            <w:r>
              <w:rPr>
                <w:color w:val="auto"/>
                <w:kern w:val="0"/>
                <w:highlight w:val="none"/>
              </w:rPr>
              <w:t>Lp1j--室内 j声源的A声压级，dB(A)。</w:t>
            </w:r>
          </w:p>
          <w:p w14:paraId="50C578D1">
            <w:pPr>
              <w:snapToGrid w:val="0"/>
              <w:spacing w:before="156" w:beforeLines="50"/>
              <w:ind w:firstLine="480" w:firstLineChars="200"/>
              <w:rPr>
                <w:b/>
                <w:color w:val="auto"/>
                <w:kern w:val="0"/>
                <w:highlight w:val="none"/>
              </w:rPr>
            </w:pPr>
            <w:r>
              <w:rPr>
                <w:bCs/>
                <w:color w:val="auto"/>
                <w:highlight w:val="none"/>
              </w:rPr>
              <w:t>②厂房边界处的噪声值预测</w:t>
            </w:r>
          </w:p>
          <w:p w14:paraId="4B58C726">
            <w:pPr>
              <w:snapToGrid w:val="0"/>
              <w:ind w:firstLine="480" w:firstLineChars="200"/>
              <w:rPr>
                <w:color w:val="auto"/>
                <w:kern w:val="0"/>
                <w:highlight w:val="none"/>
              </w:rPr>
            </w:pPr>
            <w:r>
              <w:rPr>
                <w:color w:val="auto"/>
                <w:kern w:val="0"/>
                <w:highlight w:val="none"/>
              </w:rPr>
              <w:t>在室内近似为扩散声场地，按下式计算出靠近室外围护结构处的声压级：</w:t>
            </w:r>
          </w:p>
          <w:p w14:paraId="64B9D10E">
            <w:pPr>
              <w:snapToGrid w:val="0"/>
              <w:ind w:firstLine="480" w:firstLineChars="200"/>
              <w:rPr>
                <w:color w:val="auto"/>
                <w:kern w:val="0"/>
                <w:highlight w:val="none"/>
              </w:rPr>
            </w:pPr>
            <m:oMathPara>
              <m:oMathParaPr>
                <m:jc m:val="center"/>
              </m:oMathParaPr>
              <m:oMath>
                <m:sSub>
                  <m:sSubPr>
                    <m:ctrlPr>
                      <w:rPr>
                        <w:rFonts w:ascii="Cambria Math" w:hAnsi="Cambria Math"/>
                        <w:color w:val="auto"/>
                        <w:kern w:val="0"/>
                        <w:highlight w:val="none"/>
                      </w:rPr>
                    </m:ctrlPr>
                  </m:sSubPr>
                  <m:e>
                    <m:r>
                      <m:rPr/>
                      <w:rPr>
                        <w:rFonts w:ascii="Cambria Math" w:hAnsi="Cambria Math"/>
                        <w:color w:val="auto"/>
                        <w:kern w:val="0"/>
                        <w:highlight w:val="none"/>
                      </w:rPr>
                      <m:t>L</m:t>
                    </m:r>
                    <m:ctrlPr>
                      <w:rPr>
                        <w:rFonts w:ascii="Cambria Math" w:hAnsi="Cambria Math"/>
                        <w:color w:val="auto"/>
                        <w:kern w:val="0"/>
                        <w:highlight w:val="none"/>
                      </w:rPr>
                    </m:ctrlPr>
                  </m:e>
                  <m:sub>
                    <m:r>
                      <m:rPr/>
                      <w:rPr>
                        <w:rFonts w:ascii="Cambria Math" w:hAnsi="Cambria Math"/>
                        <w:color w:val="auto"/>
                        <w:kern w:val="0"/>
                        <w:highlight w:val="none"/>
                      </w:rPr>
                      <m:t>P2</m:t>
                    </m:r>
                    <m:ctrlPr>
                      <w:rPr>
                        <w:rFonts w:ascii="Cambria Math" w:hAnsi="Cambria Math"/>
                        <w:color w:val="auto"/>
                        <w:kern w:val="0"/>
                        <w:highlight w:val="none"/>
                      </w:rPr>
                    </m:ctrlPr>
                  </m:sub>
                </m:sSub>
                <m:r>
                  <m:rPr/>
                  <w:rPr>
                    <w:rFonts w:ascii="Cambria Math" w:hAnsi="Cambria Math"/>
                    <w:color w:val="auto"/>
                    <w:kern w:val="0"/>
                    <w:highlight w:val="none"/>
                  </w:rPr>
                  <m:t>=</m:t>
                </m:r>
                <m:sSub>
                  <m:sSubPr>
                    <m:ctrlPr>
                      <w:rPr>
                        <w:rFonts w:ascii="Cambria Math" w:hAnsi="Cambria Math"/>
                        <w:color w:val="auto"/>
                        <w:kern w:val="0"/>
                        <w:highlight w:val="none"/>
                      </w:rPr>
                    </m:ctrlPr>
                  </m:sSubPr>
                  <m:e>
                    <m:r>
                      <m:rPr/>
                      <w:rPr>
                        <w:rFonts w:ascii="Cambria Math" w:hAnsi="Cambria Math"/>
                        <w:color w:val="auto"/>
                        <w:kern w:val="0"/>
                        <w:highlight w:val="none"/>
                      </w:rPr>
                      <m:t>L</m:t>
                    </m:r>
                    <m:ctrlPr>
                      <w:rPr>
                        <w:rFonts w:ascii="Cambria Math" w:hAnsi="Cambria Math"/>
                        <w:color w:val="auto"/>
                        <w:kern w:val="0"/>
                        <w:highlight w:val="none"/>
                      </w:rPr>
                    </m:ctrlPr>
                  </m:e>
                  <m:sub>
                    <m:r>
                      <m:rPr/>
                      <w:rPr>
                        <w:rFonts w:ascii="Cambria Math" w:hAnsi="Cambria Math"/>
                        <w:color w:val="auto"/>
                        <w:kern w:val="0"/>
                        <w:highlight w:val="none"/>
                      </w:rPr>
                      <m:t>P1</m:t>
                    </m:r>
                    <m:ctrlPr>
                      <w:rPr>
                        <w:rFonts w:ascii="Cambria Math" w:hAnsi="Cambria Math"/>
                        <w:color w:val="auto"/>
                        <w:kern w:val="0"/>
                        <w:highlight w:val="none"/>
                      </w:rPr>
                    </m:ctrlPr>
                  </m:sub>
                </m:sSub>
                <m:r>
                  <m:rPr/>
                  <w:rPr>
                    <w:rFonts w:ascii="Cambria Math" w:hAnsi="Cambria Math"/>
                    <w:color w:val="auto"/>
                    <w:kern w:val="0"/>
                    <w:highlight w:val="none"/>
                  </w:rPr>
                  <m:t>−(TL+6)</m:t>
                </m:r>
              </m:oMath>
            </m:oMathPara>
          </w:p>
          <w:p w14:paraId="5162CE5A">
            <w:pPr>
              <w:snapToGrid w:val="0"/>
              <w:ind w:firstLine="480" w:firstLineChars="200"/>
              <w:rPr>
                <w:color w:val="auto"/>
                <w:kern w:val="0"/>
                <w:highlight w:val="none"/>
              </w:rPr>
            </w:pPr>
            <w:r>
              <w:rPr>
                <w:color w:val="auto"/>
                <w:kern w:val="0"/>
                <w:highlight w:val="none"/>
              </w:rPr>
              <w:t>式中：</w:t>
            </w:r>
          </w:p>
          <w:p w14:paraId="548BFABF">
            <w:pPr>
              <w:snapToGrid w:val="0"/>
              <w:ind w:firstLine="480" w:firstLineChars="200"/>
              <w:rPr>
                <w:color w:val="auto"/>
                <w:kern w:val="0"/>
                <w:highlight w:val="none"/>
              </w:rPr>
            </w:pPr>
            <w:r>
              <w:rPr>
                <w:color w:val="auto"/>
                <w:kern w:val="0"/>
                <w:highlight w:val="none"/>
              </w:rPr>
              <w:t>Lp1－声源室内声压级，dB(A)；</w:t>
            </w:r>
          </w:p>
          <w:p w14:paraId="3E1DF909">
            <w:pPr>
              <w:snapToGrid w:val="0"/>
              <w:ind w:firstLine="480" w:firstLineChars="200"/>
              <w:rPr>
                <w:color w:val="auto"/>
                <w:kern w:val="0"/>
                <w:highlight w:val="none"/>
              </w:rPr>
            </w:pPr>
            <w:r>
              <w:rPr>
                <w:color w:val="auto"/>
                <w:kern w:val="0"/>
                <w:highlight w:val="none"/>
              </w:rPr>
              <w:t>Lp2－等效室外声压级，dB(A)；</w:t>
            </w:r>
          </w:p>
          <w:p w14:paraId="37B8BD34">
            <w:pPr>
              <w:snapToGrid w:val="0"/>
              <w:ind w:firstLine="480" w:firstLineChars="200"/>
              <w:rPr>
                <w:color w:val="auto"/>
                <w:kern w:val="0"/>
                <w:highlight w:val="none"/>
              </w:rPr>
            </w:pPr>
            <w:r>
              <w:rPr>
                <w:color w:val="auto"/>
                <w:kern w:val="0"/>
                <w:highlight w:val="none"/>
              </w:rPr>
              <w:t>TL－隔墙（或窗户）倍频带的隔声量，dB(A)。</w:t>
            </w:r>
          </w:p>
          <w:p w14:paraId="1D25A45F">
            <w:pPr>
              <w:spacing w:before="50"/>
              <w:ind w:firstLine="480" w:firstLineChars="200"/>
              <w:jc w:val="center"/>
              <w:rPr>
                <w:color w:val="auto"/>
                <w:kern w:val="0"/>
                <w:highlight w:val="none"/>
              </w:rPr>
            </w:pPr>
            <w:r>
              <w:rPr>
                <w:color w:val="auto"/>
                <w:highlight w:val="none"/>
              </w:rPr>
              <w:drawing>
                <wp:inline distT="0" distB="0" distL="0" distR="0">
                  <wp:extent cx="2820035" cy="1122045"/>
                  <wp:effectExtent l="0" t="0" r="18415" b="1905"/>
                  <wp:docPr id="1032" name="图片 27"/>
                  <wp:cNvGraphicFramePr/>
                  <a:graphic xmlns:a="http://schemas.openxmlformats.org/drawingml/2006/main">
                    <a:graphicData uri="http://schemas.openxmlformats.org/drawingml/2006/picture">
                      <pic:pic xmlns:pic="http://schemas.openxmlformats.org/drawingml/2006/picture">
                        <pic:nvPicPr>
                          <pic:cNvPr id="1032" name="图片 27"/>
                          <pic:cNvPicPr/>
                        </pic:nvPicPr>
                        <pic:blipFill>
                          <a:blip r:embed="rId27" cstate="print"/>
                          <a:srcRect b="19148"/>
                          <a:stretch>
                            <a:fillRect/>
                          </a:stretch>
                        </pic:blipFill>
                        <pic:spPr>
                          <a:xfrm>
                            <a:off x="0" y="0"/>
                            <a:ext cx="2820035" cy="1122045"/>
                          </a:xfrm>
                          <a:prstGeom prst="rect">
                            <a:avLst/>
                          </a:prstGeom>
                          <a:ln>
                            <a:noFill/>
                          </a:ln>
                        </pic:spPr>
                      </pic:pic>
                    </a:graphicData>
                  </a:graphic>
                </wp:inline>
              </w:drawing>
            </w:r>
          </w:p>
          <w:p w14:paraId="1046107E">
            <w:pPr>
              <w:widowControl/>
              <w:numPr>
                <w:ilvl w:val="0"/>
                <w:numId w:val="0"/>
              </w:numPr>
              <w:tabs>
                <w:tab w:val="left" w:pos="0"/>
              </w:tabs>
              <w:ind w:left="0" w:leftChars="0" w:firstLine="0" w:firstLineChars="0"/>
              <w:jc w:val="center"/>
              <w:rPr>
                <w:color w:val="auto"/>
                <w:kern w:val="0"/>
                <w:sz w:val="21"/>
                <w:szCs w:val="21"/>
                <w:highlight w:val="none"/>
              </w:rPr>
            </w:pPr>
            <w:r>
              <w:rPr>
                <w:rFonts w:hint="default" w:ascii="Times New Roman" w:hAnsi="Times New Roman" w:eastAsia="宋体" w:cs="Times New Roman"/>
                <w:b/>
                <w:color w:val="auto"/>
                <w:kern w:val="0"/>
                <w:sz w:val="21"/>
                <w:szCs w:val="21"/>
                <w:highlight w:val="none"/>
                <w:lang w:val="en-US" w:eastAsia="zh-CN" w:bidi="ar-SA"/>
              </w:rPr>
              <w:t>图4-</w:t>
            </w:r>
            <w:r>
              <w:rPr>
                <w:rFonts w:hint="eastAsia" w:cs="Times New Roman"/>
                <w:b/>
                <w:color w:val="auto"/>
                <w:kern w:val="0"/>
                <w:sz w:val="21"/>
                <w:szCs w:val="21"/>
                <w:highlight w:val="none"/>
                <w:lang w:val="en-US" w:eastAsia="zh-CN" w:bidi="ar-SA"/>
              </w:rPr>
              <w:t xml:space="preserve">4 </w:t>
            </w:r>
            <w:r>
              <w:rPr>
                <w:b/>
                <w:bCs/>
                <w:color w:val="auto"/>
                <w:sz w:val="21"/>
                <w:szCs w:val="21"/>
                <w:highlight w:val="none"/>
              </w:rPr>
              <w:t>室内声源等效为室外声源图例</w:t>
            </w:r>
          </w:p>
          <w:p w14:paraId="50802E85">
            <w:pPr>
              <w:ind w:firstLine="480" w:firstLineChars="200"/>
              <w:rPr>
                <w:color w:val="auto"/>
                <w:kern w:val="0"/>
                <w:highlight w:val="none"/>
              </w:rPr>
            </w:pPr>
            <w:r>
              <w:rPr>
                <w:color w:val="auto"/>
                <w:kern w:val="0"/>
                <w:highlight w:val="none"/>
              </w:rPr>
              <w:t>根据《噪声污染控制工程》（高等教育出版社，洪宗辉）中资料，本项目砖墙为双面粉刷的墙体，实测的隔声量为49dB（A），考虑到门窗面积和开门开窗对隔声的负面影响，实际隔声量（TL+6）为2</w:t>
            </w:r>
            <w:r>
              <w:rPr>
                <w:rFonts w:hint="eastAsia"/>
                <w:color w:val="auto"/>
                <w:kern w:val="0"/>
                <w:highlight w:val="none"/>
                <w:lang w:val="en-US" w:eastAsia="zh-CN"/>
              </w:rPr>
              <w:t>0</w:t>
            </w:r>
            <w:r>
              <w:rPr>
                <w:color w:val="auto"/>
                <w:kern w:val="0"/>
                <w:highlight w:val="none"/>
              </w:rPr>
              <w:t>dB（A）左右。</w:t>
            </w:r>
          </w:p>
          <w:p w14:paraId="0E1B8F13">
            <w:pPr>
              <w:snapToGrid w:val="0"/>
              <w:spacing w:before="156" w:beforeLines="50"/>
              <w:ind w:firstLine="480" w:firstLineChars="200"/>
              <w:rPr>
                <w:bCs/>
                <w:color w:val="auto"/>
                <w:kern w:val="0"/>
                <w:highlight w:val="none"/>
              </w:rPr>
            </w:pPr>
            <w:r>
              <w:rPr>
                <w:bCs/>
                <w:color w:val="auto"/>
                <w:kern w:val="0"/>
                <w:highlight w:val="none"/>
              </w:rPr>
              <w:t>③</w:t>
            </w:r>
            <w:r>
              <w:rPr>
                <w:bCs/>
                <w:color w:val="auto"/>
                <w:highlight w:val="none"/>
              </w:rPr>
              <w:t>项目厂界处的噪声值预测</w:t>
            </w:r>
          </w:p>
          <w:p w14:paraId="2532ED1E">
            <w:pPr>
              <w:snapToGrid w:val="0"/>
              <w:ind w:firstLine="480" w:firstLineChars="200"/>
              <w:rPr>
                <w:color w:val="auto"/>
                <w:kern w:val="0"/>
                <w:highlight w:val="none"/>
              </w:rPr>
            </w:pPr>
            <w:r>
              <w:rPr>
                <w:color w:val="auto"/>
                <w:kern w:val="0"/>
                <w:highlight w:val="none"/>
              </w:rPr>
              <w:t>建筑物每一面墙可以当成一个面源，当预测点和面声源中心距离r处于以下条件时，可按下述方法近似计算：</w:t>
            </w:r>
          </w:p>
          <w:p w14:paraId="0898159D">
            <w:pPr>
              <w:snapToGrid w:val="0"/>
              <w:ind w:firstLine="480" w:firstLineChars="200"/>
              <w:rPr>
                <w:color w:val="auto"/>
                <w:kern w:val="0"/>
                <w:highlight w:val="none"/>
              </w:rPr>
            </w:pPr>
            <w:r>
              <w:rPr>
                <w:color w:val="auto"/>
                <w:kern w:val="0"/>
                <w:highlight w:val="none"/>
              </w:rPr>
              <w:t>r&lt;a/π时（a为车间这一侧墙面的高度），几乎不衰减（Adiv≈0），即是车间边界与厂界非常接近时，不考虑衰减，直接以该侧车间边界值作为项目厂界预测值。</w:t>
            </w:r>
          </w:p>
          <w:p w14:paraId="18D72BDF">
            <w:pPr>
              <w:snapToGrid w:val="0"/>
              <w:ind w:firstLine="480" w:firstLineChars="200"/>
              <w:rPr>
                <w:color w:val="auto"/>
                <w:kern w:val="0"/>
                <w:highlight w:val="none"/>
              </w:rPr>
            </w:pPr>
            <w:r>
              <w:rPr>
                <w:color w:val="auto"/>
                <w:kern w:val="0"/>
                <w:highlight w:val="none"/>
              </w:rPr>
              <w:t>当a/π&lt;r&lt;b/π（a为车间这一侧墙面的高度，b为车间这一侧墙面的长度），距离加倍衰减3dB（A）左右，类似线声源衰减特性（Adiv≈10 lg（r/r0）），即按照线声源计算公式，计算衰减值。</w:t>
            </w:r>
          </w:p>
          <w:p w14:paraId="63CA6066">
            <w:pPr>
              <w:snapToGrid w:val="0"/>
              <w:ind w:firstLine="480" w:firstLineChars="200"/>
              <w:rPr>
                <w:color w:val="auto"/>
                <w:kern w:val="0"/>
                <w:highlight w:val="none"/>
              </w:rPr>
            </w:pPr>
            <w:r>
              <w:rPr>
                <w:color w:val="auto"/>
                <w:kern w:val="0"/>
                <w:highlight w:val="none"/>
              </w:rPr>
              <w:t>当r&gt;b/π时（b为车间这一侧墙面的长度），距离加倍衰减趋近于6dB(A)，类似点声源衰减特性（Adiv≈20 lg（r/r0）），即按照点声源计算公式，计算衰减值。</w:t>
            </w:r>
          </w:p>
          <w:p w14:paraId="62E45D63">
            <w:pPr>
              <w:tabs>
                <w:tab w:val="left" w:pos="7227"/>
              </w:tabs>
              <w:autoSpaceDE w:val="0"/>
              <w:autoSpaceDN w:val="0"/>
              <w:ind w:firstLine="40"/>
              <w:jc w:val="center"/>
              <w:textAlignment w:val="baseline"/>
              <w:rPr>
                <w:rFonts w:hint="eastAsia"/>
                <w:b/>
                <w:color w:val="auto"/>
                <w:kern w:val="0"/>
                <w:sz w:val="21"/>
                <w:szCs w:val="21"/>
                <w:highlight w:val="none"/>
              </w:rPr>
            </w:pPr>
            <w:r>
              <w:rPr>
                <w:b/>
                <w:color w:val="auto"/>
                <w:kern w:val="0"/>
                <w:sz w:val="21"/>
                <w:szCs w:val="21"/>
                <w:highlight w:val="none"/>
              </w:rPr>
              <w:t>表4-</w:t>
            </w:r>
            <w:r>
              <w:rPr>
                <w:rFonts w:hint="eastAsia"/>
                <w:b/>
                <w:color w:val="auto"/>
                <w:kern w:val="0"/>
                <w:sz w:val="21"/>
                <w:szCs w:val="21"/>
                <w:highlight w:val="none"/>
              </w:rPr>
              <w:t>2</w:t>
            </w:r>
            <w:r>
              <w:rPr>
                <w:rFonts w:hint="eastAsia"/>
                <w:b/>
                <w:color w:val="auto"/>
                <w:kern w:val="0"/>
                <w:sz w:val="21"/>
                <w:szCs w:val="21"/>
                <w:highlight w:val="none"/>
                <w:lang w:val="en-US" w:eastAsia="zh-CN"/>
              </w:rPr>
              <w:t>4</w:t>
            </w:r>
            <w:r>
              <w:rPr>
                <w:rFonts w:hint="eastAsia"/>
                <w:b/>
                <w:color w:val="auto"/>
                <w:kern w:val="0"/>
                <w:sz w:val="21"/>
                <w:szCs w:val="21"/>
                <w:highlight w:val="none"/>
              </w:rPr>
              <w:t xml:space="preserve"> </w:t>
            </w:r>
            <w:r>
              <w:rPr>
                <w:b/>
                <w:color w:val="auto"/>
                <w:kern w:val="0"/>
                <w:sz w:val="21"/>
                <w:szCs w:val="21"/>
                <w:highlight w:val="none"/>
              </w:rPr>
              <w:t>项目厂界噪声贡献值预测结果</w:t>
            </w:r>
            <w:r>
              <w:rPr>
                <w:rFonts w:hint="eastAsia"/>
                <w:b/>
                <w:color w:val="auto"/>
                <w:kern w:val="0"/>
                <w:sz w:val="21"/>
                <w:szCs w:val="21"/>
                <w:highlight w:val="none"/>
              </w:rPr>
              <w:t>（单位：</w:t>
            </w:r>
            <w:r>
              <w:rPr>
                <w:color w:val="auto"/>
                <w:kern w:val="0"/>
                <w:highlight w:val="none"/>
              </w:rPr>
              <w:t>dB(A)</w:t>
            </w:r>
            <w:r>
              <w:rPr>
                <w:rFonts w:hint="eastAsia"/>
                <w:b/>
                <w:color w:val="auto"/>
                <w:kern w:val="0"/>
                <w:sz w:val="21"/>
                <w:szCs w:val="21"/>
                <w:highlight w:val="none"/>
              </w:rPr>
              <w:t>）</w:t>
            </w:r>
          </w:p>
          <w:tbl>
            <w:tblPr>
              <w:tblStyle w:val="4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04"/>
              <w:gridCol w:w="868"/>
              <w:gridCol w:w="868"/>
              <w:gridCol w:w="978"/>
              <w:gridCol w:w="978"/>
              <w:gridCol w:w="1377"/>
              <w:gridCol w:w="1533"/>
            </w:tblGrid>
            <w:tr w14:paraId="7263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2204"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4BED59">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声环境保护目标名称</w:t>
                  </w:r>
                </w:p>
              </w:tc>
              <w:tc>
                <w:tcPr>
                  <w:tcW w:w="1736" w:type="dxa"/>
                  <w:gridSpan w:val="2"/>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0D6B6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噪声标准</w:t>
                  </w:r>
                  <w:r>
                    <w:rPr>
                      <w:rFonts w:hint="default" w:ascii="Times New Roman" w:hAnsi="Times New Roman" w:eastAsia="宋体" w:cs="Times New Roman"/>
                      <w:b/>
                      <w:bCs/>
                      <w:i w:val="0"/>
                      <w:iCs w:val="0"/>
                      <w:color w:val="auto"/>
                      <w:kern w:val="0"/>
                      <w:sz w:val="22"/>
                      <w:szCs w:val="22"/>
                      <w:highlight w:val="none"/>
                      <w:u w:val="none"/>
                      <w:lang w:val="en-US" w:eastAsia="zh-CN" w:bidi="ar"/>
                    </w:rPr>
                    <w:t>/dB(A)</w:t>
                  </w:r>
                </w:p>
              </w:tc>
              <w:tc>
                <w:tcPr>
                  <w:tcW w:w="1956" w:type="dxa"/>
                  <w:gridSpan w:val="2"/>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82D02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噪声贡献值</w:t>
                  </w:r>
                  <w:r>
                    <w:rPr>
                      <w:rFonts w:hint="default" w:ascii="Times New Roman" w:hAnsi="Times New Roman" w:eastAsia="宋体" w:cs="Times New Roman"/>
                      <w:b/>
                      <w:bCs/>
                      <w:i w:val="0"/>
                      <w:iCs w:val="0"/>
                      <w:color w:val="auto"/>
                      <w:kern w:val="0"/>
                      <w:sz w:val="22"/>
                      <w:szCs w:val="22"/>
                      <w:highlight w:val="none"/>
                      <w:u w:val="none"/>
                      <w:lang w:val="en-US" w:eastAsia="zh-CN" w:bidi="ar"/>
                    </w:rPr>
                    <w:t>/dB(A)</w:t>
                  </w:r>
                </w:p>
              </w:tc>
              <w:tc>
                <w:tcPr>
                  <w:tcW w:w="2910" w:type="dxa"/>
                  <w:gridSpan w:val="2"/>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D74AA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超标和达标情况</w:t>
                  </w:r>
                </w:p>
              </w:tc>
            </w:tr>
            <w:tr w14:paraId="3F5A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2204"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0CA788">
                  <w:pPr>
                    <w:jc w:val="center"/>
                    <w:rPr>
                      <w:rFonts w:hint="eastAsia" w:ascii="宋体" w:hAnsi="宋体" w:eastAsia="宋体" w:cs="宋体"/>
                      <w:b/>
                      <w:bCs/>
                      <w:i w:val="0"/>
                      <w:iCs w:val="0"/>
                      <w:color w:val="auto"/>
                      <w:sz w:val="22"/>
                      <w:szCs w:val="22"/>
                      <w:highlight w:val="none"/>
                      <w:u w:val="none"/>
                    </w:rPr>
                  </w:pP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31039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昼间</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B70A4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夜间</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D39CA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昼间</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1B5F0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夜间</w:t>
                  </w:r>
                </w:p>
              </w:tc>
              <w:tc>
                <w:tcPr>
                  <w:tcW w:w="137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B3E23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昼间</w:t>
                  </w:r>
                </w:p>
              </w:tc>
              <w:tc>
                <w:tcPr>
                  <w:tcW w:w="15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6EC72F">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夜间</w:t>
                  </w:r>
                </w:p>
              </w:tc>
            </w:tr>
            <w:tr w14:paraId="40DE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220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12E6DE">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东厂界</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FEE272">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lang w:val="en-US"/>
                    </w:rPr>
                  </w:pPr>
                  <w:r>
                    <w:rPr>
                      <w:rFonts w:hint="eastAsia" w:ascii="Times New Roman" w:hAnsi="Times New Roman" w:eastAsia="宋体" w:cs="Times New Roman"/>
                      <w:i w:val="0"/>
                      <w:iCs w:val="0"/>
                      <w:color w:val="auto"/>
                      <w:kern w:val="0"/>
                      <w:sz w:val="22"/>
                      <w:szCs w:val="22"/>
                      <w:highlight w:val="none"/>
                      <w:u w:val="none"/>
                      <w:lang w:val="en-US" w:eastAsia="zh-CN" w:bidi="ar"/>
                    </w:rPr>
                    <w:t>70</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B4DC7B">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55</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50DA76">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15.76</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C5D14B">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15.76</w:t>
                  </w:r>
                </w:p>
              </w:tc>
              <w:tc>
                <w:tcPr>
                  <w:tcW w:w="137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81AC99">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c>
                <w:tcPr>
                  <w:tcW w:w="15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8B3130">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r>
            <w:tr w14:paraId="7ECF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220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230FBF">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南厂界</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E4A796">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65</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55380A">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55</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5C62C7">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47.58</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416823">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47.58</w:t>
                  </w:r>
                </w:p>
              </w:tc>
              <w:tc>
                <w:tcPr>
                  <w:tcW w:w="137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18599D">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c>
                <w:tcPr>
                  <w:tcW w:w="15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BF41BA">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r>
            <w:tr w14:paraId="033B6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220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9AA3E8">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西厂界</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5E99F6">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65</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16814D">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55</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70B759">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22.46</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86CA69">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22.46</w:t>
                  </w:r>
                </w:p>
              </w:tc>
              <w:tc>
                <w:tcPr>
                  <w:tcW w:w="137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81A751">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c>
                <w:tcPr>
                  <w:tcW w:w="15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15FF3A">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r>
            <w:tr w14:paraId="19F5B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20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E6C53E">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北厂界</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19C4BA5">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lang w:val="en-US"/>
                    </w:rPr>
                  </w:pPr>
                  <w:r>
                    <w:rPr>
                      <w:rFonts w:hint="eastAsia" w:ascii="Times New Roman" w:hAnsi="Times New Roman" w:eastAsia="宋体" w:cs="Times New Roman"/>
                      <w:i w:val="0"/>
                      <w:iCs w:val="0"/>
                      <w:color w:val="auto"/>
                      <w:kern w:val="0"/>
                      <w:sz w:val="22"/>
                      <w:szCs w:val="22"/>
                      <w:highlight w:val="none"/>
                      <w:u w:val="none"/>
                      <w:lang w:val="en-US" w:eastAsia="zh-CN" w:bidi="ar"/>
                    </w:rPr>
                    <w:t>70</w:t>
                  </w:r>
                </w:p>
              </w:tc>
              <w:tc>
                <w:tcPr>
                  <w:tcW w:w="86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9A91C2">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lang w:val="en-US"/>
                    </w:rPr>
                  </w:pPr>
                  <w:r>
                    <w:rPr>
                      <w:rFonts w:hint="eastAsia" w:ascii="Times New Roman" w:hAnsi="Times New Roman" w:eastAsia="宋体" w:cs="Times New Roman"/>
                      <w:i w:val="0"/>
                      <w:iCs w:val="0"/>
                      <w:color w:val="auto"/>
                      <w:kern w:val="0"/>
                      <w:sz w:val="22"/>
                      <w:szCs w:val="22"/>
                      <w:highlight w:val="none"/>
                      <w:u w:val="none"/>
                      <w:lang w:val="en-US" w:eastAsia="zh-CN" w:bidi="ar"/>
                    </w:rPr>
                    <w:t>55</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B2F6E8B">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18.43</w:t>
                  </w:r>
                </w:p>
              </w:tc>
              <w:tc>
                <w:tcPr>
                  <w:tcW w:w="97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99FA59">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18.43</w:t>
                  </w:r>
                </w:p>
              </w:tc>
              <w:tc>
                <w:tcPr>
                  <w:tcW w:w="137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D711E82">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c>
                <w:tcPr>
                  <w:tcW w:w="153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0BB573">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达标</w:t>
                  </w:r>
                </w:p>
              </w:tc>
            </w:tr>
          </w:tbl>
          <w:p w14:paraId="5E0CF370">
            <w:pPr>
              <w:pStyle w:val="2"/>
              <w:ind w:firstLine="480" w:firstLineChars="200"/>
              <w:rPr>
                <w:rFonts w:ascii="Times New Roman" w:cs="Times New Roman"/>
                <w:b/>
                <w:bCs/>
                <w:color w:val="auto"/>
                <w:highlight w:val="none"/>
              </w:rPr>
            </w:pPr>
            <w:r>
              <w:rPr>
                <w:rFonts w:ascii="Times New Roman" w:cs="Times New Roman"/>
                <w:color w:val="auto"/>
                <w:highlight w:val="none"/>
              </w:rPr>
              <w:t>通过预测分析，生产噪声经过厂房内隔声以及距离的衰减后，</w:t>
            </w:r>
            <w:r>
              <w:rPr>
                <w:rFonts w:ascii="Times New Roman" w:cs="Times New Roman"/>
                <w:color w:val="auto"/>
                <w:kern w:val="0"/>
                <w:highlight w:val="none"/>
              </w:rPr>
              <w:t>项目厂房</w:t>
            </w:r>
            <w:r>
              <w:rPr>
                <w:rFonts w:hint="eastAsia" w:ascii="Times New Roman" w:cs="Times New Roman"/>
                <w:color w:val="auto"/>
                <w:kern w:val="0"/>
                <w:highlight w:val="none"/>
                <w:lang w:val="en-US" w:eastAsia="zh-CN"/>
              </w:rPr>
              <w:t>东、北</w:t>
            </w:r>
            <w:r>
              <w:rPr>
                <w:rFonts w:ascii="Times New Roman" w:cs="Times New Roman"/>
                <w:color w:val="auto"/>
                <w:kern w:val="0"/>
                <w:highlight w:val="none"/>
              </w:rPr>
              <w:t>厂界外1米处</w:t>
            </w:r>
            <w:r>
              <w:rPr>
                <w:rFonts w:ascii="Times New Roman" w:cs="Times New Roman"/>
                <w:color w:val="auto"/>
                <w:highlight w:val="none"/>
              </w:rPr>
              <w:t>可达到</w:t>
            </w:r>
            <w:r>
              <w:rPr>
                <w:rFonts w:ascii="Times New Roman" w:cs="Times New Roman"/>
                <w:color w:val="auto"/>
                <w:spacing w:val="-2"/>
                <w:highlight w:val="none"/>
              </w:rPr>
              <w:t>《工业企业场界环境噪声排放标准》（GB12348-2008）中的</w:t>
            </w:r>
            <w:r>
              <w:rPr>
                <w:rFonts w:hint="eastAsia" w:ascii="Times New Roman" w:cs="Times New Roman"/>
                <w:color w:val="auto"/>
                <w:spacing w:val="-2"/>
                <w:highlight w:val="none"/>
                <w:lang w:eastAsia="zh-CN"/>
              </w:rPr>
              <w:t>4</w:t>
            </w:r>
            <w:r>
              <w:rPr>
                <w:rFonts w:hint="eastAsia" w:ascii="Times New Roman" w:cs="Times New Roman"/>
                <w:color w:val="auto"/>
                <w:spacing w:val="-2"/>
                <w:highlight w:val="none"/>
                <w:lang w:val="en-US" w:eastAsia="zh-CN"/>
              </w:rPr>
              <w:t>a</w:t>
            </w:r>
            <w:r>
              <w:rPr>
                <w:rFonts w:hint="eastAsia" w:ascii="Times New Roman" w:cs="Times New Roman"/>
                <w:color w:val="auto"/>
                <w:spacing w:val="-2"/>
                <w:highlight w:val="none"/>
                <w:lang w:eastAsia="zh-CN"/>
              </w:rPr>
              <w:t>类</w:t>
            </w:r>
            <w:r>
              <w:rPr>
                <w:rFonts w:ascii="Times New Roman" w:cs="Times New Roman"/>
                <w:color w:val="auto"/>
                <w:spacing w:val="-2"/>
                <w:highlight w:val="none"/>
              </w:rPr>
              <w:t>标准</w:t>
            </w:r>
            <w:r>
              <w:rPr>
                <w:rFonts w:ascii="Times New Roman" w:cs="Times New Roman"/>
                <w:color w:val="auto"/>
                <w:highlight w:val="none"/>
              </w:rPr>
              <w:t>，</w:t>
            </w:r>
            <w:r>
              <w:rPr>
                <w:rFonts w:hint="eastAsia" w:ascii="Times New Roman" w:cs="Times New Roman"/>
                <w:color w:val="auto"/>
                <w:kern w:val="0"/>
                <w:highlight w:val="none"/>
                <w:lang w:val="en-US" w:eastAsia="zh-CN"/>
              </w:rPr>
              <w:t>南、西</w:t>
            </w:r>
            <w:r>
              <w:rPr>
                <w:rFonts w:ascii="Times New Roman" w:cs="Times New Roman"/>
                <w:color w:val="auto"/>
                <w:kern w:val="0"/>
                <w:highlight w:val="none"/>
              </w:rPr>
              <w:t>厂界外1米处</w:t>
            </w:r>
            <w:r>
              <w:rPr>
                <w:rFonts w:ascii="Times New Roman" w:cs="Times New Roman"/>
                <w:color w:val="auto"/>
                <w:highlight w:val="none"/>
              </w:rPr>
              <w:t>可达到</w:t>
            </w:r>
            <w:r>
              <w:rPr>
                <w:rFonts w:ascii="Times New Roman" w:cs="Times New Roman"/>
                <w:color w:val="auto"/>
                <w:spacing w:val="-2"/>
                <w:highlight w:val="none"/>
              </w:rPr>
              <w:t>《工业企业场界环境噪声排放标准》（GB12348-2008）中的</w:t>
            </w:r>
            <w:r>
              <w:rPr>
                <w:rFonts w:hint="eastAsia" w:ascii="Times New Roman" w:cs="Times New Roman"/>
                <w:color w:val="auto"/>
                <w:spacing w:val="-2"/>
                <w:highlight w:val="none"/>
                <w:lang w:val="en-US" w:eastAsia="zh-CN"/>
              </w:rPr>
              <w:t>3</w:t>
            </w:r>
            <w:r>
              <w:rPr>
                <w:rFonts w:hint="eastAsia" w:ascii="Times New Roman" w:cs="Times New Roman"/>
                <w:color w:val="auto"/>
                <w:spacing w:val="-2"/>
                <w:highlight w:val="none"/>
                <w:lang w:eastAsia="zh-CN"/>
              </w:rPr>
              <w:t>类</w:t>
            </w:r>
            <w:r>
              <w:rPr>
                <w:rFonts w:ascii="Times New Roman" w:cs="Times New Roman"/>
                <w:color w:val="auto"/>
                <w:spacing w:val="-2"/>
                <w:highlight w:val="none"/>
              </w:rPr>
              <w:t>标准</w:t>
            </w:r>
            <w:r>
              <w:rPr>
                <w:rFonts w:ascii="Times New Roman" w:cs="Times New Roman"/>
                <w:color w:val="auto"/>
                <w:highlight w:val="none"/>
              </w:rPr>
              <w:t>，即项目产生的噪声不会对周边环境造成太大影响。</w:t>
            </w:r>
          </w:p>
          <w:p w14:paraId="2F1F7DD8">
            <w:pPr>
              <w:pStyle w:val="20"/>
              <w:numPr>
                <w:ilvl w:val="3"/>
                <w:numId w:val="0"/>
              </w:numPr>
              <w:ind w:firstLine="480" w:firstLineChars="200"/>
              <w:rPr>
                <w:color w:val="auto"/>
                <w:highlight w:val="none"/>
              </w:rPr>
            </w:pPr>
            <w:r>
              <w:rPr>
                <w:color w:val="auto"/>
                <w:highlight w:val="none"/>
              </w:rPr>
              <w:t>3、污染防治措施</w:t>
            </w:r>
          </w:p>
          <w:p w14:paraId="6C7A21A4">
            <w:pPr>
              <w:pStyle w:val="22"/>
              <w:numPr>
                <w:ilvl w:val="0"/>
                <w:numId w:val="0"/>
              </w:numPr>
              <w:ind w:firstLine="480" w:firstLineChars="200"/>
              <w:rPr>
                <w:color w:val="auto"/>
                <w:highlight w:val="none"/>
              </w:rPr>
            </w:pPr>
            <w:r>
              <w:rPr>
                <w:color w:val="auto"/>
                <w:highlight w:val="none"/>
              </w:rPr>
              <w:t>为确保厂界噪声满足《工业企业厂界环境噪声排放标准》（GB12348-2008）中的相应标准，项目拟采取以下噪声与振动治理措施：</w:t>
            </w:r>
          </w:p>
          <w:p w14:paraId="08254847">
            <w:pPr>
              <w:pStyle w:val="22"/>
              <w:numPr>
                <w:ilvl w:val="0"/>
                <w:numId w:val="0"/>
              </w:numPr>
              <w:ind w:firstLine="480" w:firstLineChars="200"/>
              <w:rPr>
                <w:color w:val="auto"/>
                <w:highlight w:val="none"/>
              </w:rPr>
            </w:pPr>
            <w:r>
              <w:rPr>
                <w:color w:val="auto"/>
                <w:highlight w:val="none"/>
              </w:rPr>
              <w:t>①合理布局：尽量将高噪声设备布置在厂房中间，尽可能地选择远离厂界的位置。</w:t>
            </w:r>
          </w:p>
          <w:p w14:paraId="01DBB60F">
            <w:pPr>
              <w:pStyle w:val="22"/>
              <w:numPr>
                <w:ilvl w:val="0"/>
                <w:numId w:val="0"/>
              </w:numPr>
              <w:ind w:firstLine="480" w:firstLineChars="200"/>
              <w:rPr>
                <w:color w:val="auto"/>
                <w:highlight w:val="none"/>
              </w:rPr>
            </w:pPr>
            <w:r>
              <w:rPr>
                <w:color w:val="auto"/>
                <w:highlight w:val="none"/>
              </w:rPr>
              <w:t>②落实设备基础减振以及厂房隔声：</w:t>
            </w:r>
          </w:p>
          <w:p w14:paraId="449056AE">
            <w:pPr>
              <w:pStyle w:val="22"/>
              <w:numPr>
                <w:ilvl w:val="0"/>
                <w:numId w:val="0"/>
              </w:numPr>
              <w:ind w:firstLine="480" w:firstLineChars="200"/>
              <w:rPr>
                <w:color w:val="auto"/>
                <w:highlight w:val="none"/>
              </w:rPr>
            </w:pPr>
            <w:r>
              <w:rPr>
                <w:color w:val="auto"/>
                <w:highlight w:val="none"/>
              </w:rPr>
              <w:t>A、在设备选型方面，在满足工艺生产的前提下，选用精度高、装配质量好、噪声低的设备；对设备基础进行减振；</w:t>
            </w:r>
          </w:p>
          <w:p w14:paraId="7C0B8395">
            <w:pPr>
              <w:pStyle w:val="22"/>
              <w:numPr>
                <w:ilvl w:val="0"/>
                <w:numId w:val="0"/>
              </w:numPr>
              <w:ind w:firstLine="480" w:firstLineChars="200"/>
              <w:rPr>
                <w:color w:val="auto"/>
                <w:highlight w:val="none"/>
              </w:rPr>
            </w:pPr>
            <w:r>
              <w:rPr>
                <w:color w:val="auto"/>
                <w:highlight w:val="none"/>
              </w:rPr>
              <w:t>B、重视厂房的使用状况，不设门窗或设隔声玻璃门窗。</w:t>
            </w:r>
          </w:p>
          <w:p w14:paraId="7C876CA0">
            <w:pPr>
              <w:pStyle w:val="22"/>
              <w:numPr>
                <w:ilvl w:val="0"/>
                <w:numId w:val="0"/>
              </w:numPr>
              <w:ind w:firstLine="480" w:firstLineChars="200"/>
              <w:rPr>
                <w:color w:val="auto"/>
                <w:highlight w:val="none"/>
              </w:rPr>
            </w:pPr>
            <w:r>
              <w:rPr>
                <w:color w:val="auto"/>
                <w:highlight w:val="none"/>
              </w:rPr>
              <w:t>③加强内部管理：建立设备定期维护、保养的管理制度，以防止设备故障形成的非生产噪声，同时确保环保措施发挥最有效的功能；加强职工环保意识教育，提倡文明生产，防止人为噪声。</w:t>
            </w:r>
          </w:p>
          <w:p w14:paraId="15316377">
            <w:pPr>
              <w:pStyle w:val="22"/>
              <w:numPr>
                <w:ilvl w:val="0"/>
                <w:numId w:val="0"/>
              </w:numPr>
              <w:ind w:firstLine="480" w:firstLineChars="200"/>
              <w:rPr>
                <w:color w:val="auto"/>
                <w:highlight w:val="none"/>
              </w:rPr>
            </w:pPr>
            <w:r>
              <w:rPr>
                <w:color w:val="auto"/>
                <w:highlight w:val="none"/>
              </w:rPr>
              <w:t>④合理安排生产时间：尽可能地安排在昼间进行生产，若夜间必须生产应控制夜间生产时间，特别夜间应停止高噪声设备，减少机械的噪声影响。</w:t>
            </w:r>
          </w:p>
          <w:p w14:paraId="786B391E">
            <w:pPr>
              <w:pStyle w:val="22"/>
              <w:numPr>
                <w:ilvl w:val="0"/>
                <w:numId w:val="0"/>
              </w:numPr>
              <w:ind w:firstLine="480" w:firstLineChars="200"/>
              <w:rPr>
                <w:color w:val="auto"/>
                <w:highlight w:val="none"/>
              </w:rPr>
            </w:pPr>
            <w:r>
              <w:rPr>
                <w:color w:val="auto"/>
                <w:highlight w:val="none"/>
              </w:rPr>
              <w:t>⑤针对</w:t>
            </w:r>
            <w:r>
              <w:rPr>
                <w:rFonts w:hint="eastAsia"/>
                <w:color w:val="auto"/>
                <w:highlight w:val="none"/>
              </w:rPr>
              <w:t>锤破机、破碎</w:t>
            </w:r>
            <w:r>
              <w:rPr>
                <w:color w:val="auto"/>
                <w:highlight w:val="none"/>
              </w:rPr>
              <w:t>机，安装减振垫（橡胶/NBR材质）或弹簧减振器，橡胶减振垫能有效吸收高频振动，降低噪音15~25dB，且安装简便，无需地脚螺栓固定；弹簧减振器则适用于低频振动隔离，通过调整预紧力可适配不同吨位设备，安装时需确保减振器与设备底座紧密连接，并定期检查螺栓紧固状态。</w:t>
            </w:r>
          </w:p>
          <w:p w14:paraId="3EBE286B">
            <w:pPr>
              <w:pStyle w:val="22"/>
              <w:numPr>
                <w:ilvl w:val="0"/>
                <w:numId w:val="0"/>
              </w:numPr>
              <w:ind w:firstLine="480" w:firstLineChars="200"/>
              <w:rPr>
                <w:color w:val="auto"/>
                <w:highlight w:val="none"/>
              </w:rPr>
            </w:pPr>
            <w:r>
              <w:rPr>
                <w:color w:val="auto"/>
                <w:highlight w:val="none"/>
              </w:rPr>
              <w:t>⑥通风管道采用橡胶软管或金属波纹管。橡胶软管适用于常温常压环境，但耐高温高压性较差,金属波纹管则能耐高温、高压和腐蚀，适合制冷剂管路等苛刻工况。</w:t>
            </w:r>
          </w:p>
          <w:p w14:paraId="21C44439">
            <w:pPr>
              <w:pStyle w:val="22"/>
              <w:numPr>
                <w:ilvl w:val="0"/>
                <w:numId w:val="0"/>
              </w:numPr>
              <w:ind w:firstLine="480" w:firstLineChars="200"/>
              <w:rPr>
                <w:color w:val="auto"/>
                <w:highlight w:val="none"/>
              </w:rPr>
            </w:pPr>
            <w:r>
              <w:rPr>
                <w:color w:val="auto"/>
                <w:highlight w:val="none"/>
              </w:rPr>
              <w:t>⑦生产设备定期进行润滑处理，定期维护轴承、齿轮，使用高粘度润滑油减少轴承、齿轮摩擦噪声，并优化轴承预紧力以减少振动源。</w:t>
            </w:r>
          </w:p>
          <w:p w14:paraId="43303ECD">
            <w:pPr>
              <w:pStyle w:val="22"/>
              <w:numPr>
                <w:ilvl w:val="0"/>
                <w:numId w:val="0"/>
              </w:numPr>
              <w:ind w:firstLine="480" w:firstLineChars="200"/>
              <w:rPr>
                <w:color w:val="auto"/>
                <w:highlight w:val="none"/>
              </w:rPr>
            </w:pPr>
            <w:r>
              <w:rPr>
                <w:color w:val="auto"/>
                <w:highlight w:val="none"/>
              </w:rPr>
              <w:t>⑧对旋转部件（如砂轮、转子）定期进行校验，减少不平衡质量引发的振动。定期使用专业平衡机（如银箭数控设备）进行动/静平衡检测，通过添加配重块或去重调整质量分布，确保残余不平衡量符合标准。</w:t>
            </w:r>
          </w:p>
          <w:p w14:paraId="05EB2998">
            <w:pPr>
              <w:pStyle w:val="22"/>
              <w:numPr>
                <w:ilvl w:val="0"/>
                <w:numId w:val="0"/>
              </w:numPr>
              <w:ind w:firstLine="480" w:firstLineChars="200"/>
              <w:rPr>
                <w:color w:val="auto"/>
                <w:highlight w:val="none"/>
              </w:rPr>
            </w:pPr>
            <w:r>
              <w:rPr>
                <w:color w:val="auto"/>
                <w:highlight w:val="none"/>
              </w:rPr>
              <w:t>⑨针对设备外壳振动明显的设备，可在设备外壳粘贴丁基橡胶阻尼片，抑制薄板振动。</w:t>
            </w:r>
          </w:p>
          <w:p w14:paraId="6560044B">
            <w:pPr>
              <w:pStyle w:val="22"/>
              <w:numPr>
                <w:ilvl w:val="0"/>
                <w:numId w:val="0"/>
              </w:numPr>
              <w:ind w:firstLine="480" w:firstLineChars="200"/>
              <w:rPr>
                <w:b/>
                <w:bCs/>
                <w:color w:val="auto"/>
                <w:highlight w:val="none"/>
              </w:rPr>
            </w:pPr>
            <w:r>
              <w:rPr>
                <w:color w:val="auto"/>
                <w:highlight w:val="none"/>
              </w:rPr>
              <w:t>本项目周边50米范围内不存在声环境保护目标，经采取上述的降噪措施后，预计项目</w:t>
            </w:r>
            <w:r>
              <w:rPr>
                <w:rFonts w:hint="eastAsia"/>
                <w:color w:val="auto"/>
                <w:highlight w:val="none"/>
                <w:lang w:val="en-US" w:eastAsia="zh-CN"/>
              </w:rPr>
              <w:t>东、北</w:t>
            </w:r>
            <w:r>
              <w:rPr>
                <w:color w:val="auto"/>
                <w:highlight w:val="none"/>
              </w:rPr>
              <w:t>厂界噪声排放可达到《工业企业厂界环境噪声排放标准》（GB12348-2008）</w:t>
            </w:r>
            <w:r>
              <w:rPr>
                <w:rFonts w:hint="eastAsia"/>
                <w:color w:val="auto"/>
                <w:highlight w:val="none"/>
                <w:lang w:eastAsia="zh-CN"/>
              </w:rPr>
              <w:t>4</w:t>
            </w:r>
            <w:r>
              <w:rPr>
                <w:rFonts w:hint="eastAsia"/>
                <w:color w:val="auto"/>
                <w:highlight w:val="none"/>
                <w:lang w:val="en-US" w:eastAsia="zh-CN"/>
              </w:rPr>
              <w:t>a</w:t>
            </w:r>
            <w:r>
              <w:rPr>
                <w:rFonts w:hint="eastAsia"/>
                <w:color w:val="auto"/>
                <w:highlight w:val="none"/>
                <w:lang w:eastAsia="zh-CN"/>
              </w:rPr>
              <w:t>类</w:t>
            </w:r>
            <w:r>
              <w:rPr>
                <w:color w:val="auto"/>
                <w:highlight w:val="none"/>
              </w:rPr>
              <w:t>标准，</w:t>
            </w:r>
            <w:r>
              <w:rPr>
                <w:rFonts w:hint="eastAsia" w:cs="Times New Roman"/>
                <w:color w:val="auto"/>
                <w:kern w:val="0"/>
                <w:highlight w:val="none"/>
                <w:lang w:val="en-US" w:eastAsia="zh-CN"/>
              </w:rPr>
              <w:t>南、西</w:t>
            </w:r>
            <w:r>
              <w:rPr>
                <w:rFonts w:ascii="Times New Roman" w:cs="Times New Roman"/>
                <w:color w:val="auto"/>
                <w:kern w:val="0"/>
                <w:highlight w:val="none"/>
              </w:rPr>
              <w:t>厂界外1米处</w:t>
            </w:r>
            <w:r>
              <w:rPr>
                <w:rFonts w:ascii="Times New Roman" w:cs="Times New Roman"/>
                <w:color w:val="auto"/>
                <w:highlight w:val="none"/>
              </w:rPr>
              <w:t>可达到</w:t>
            </w:r>
            <w:r>
              <w:rPr>
                <w:rFonts w:ascii="Times New Roman" w:cs="Times New Roman"/>
                <w:color w:val="auto"/>
                <w:spacing w:val="-2"/>
                <w:highlight w:val="none"/>
              </w:rPr>
              <w:t>《工业企业场界环境噪声排放标准》（GB12348-2008）中的</w:t>
            </w:r>
            <w:r>
              <w:rPr>
                <w:rFonts w:hint="eastAsia" w:cs="Times New Roman"/>
                <w:color w:val="auto"/>
                <w:spacing w:val="-2"/>
                <w:highlight w:val="none"/>
                <w:lang w:val="en-US" w:eastAsia="zh-CN"/>
              </w:rPr>
              <w:t>3</w:t>
            </w:r>
            <w:r>
              <w:rPr>
                <w:rFonts w:hint="eastAsia" w:ascii="Times New Roman" w:cs="Times New Roman"/>
                <w:color w:val="auto"/>
                <w:spacing w:val="-2"/>
                <w:highlight w:val="none"/>
                <w:lang w:eastAsia="zh-CN"/>
              </w:rPr>
              <w:t>类</w:t>
            </w:r>
            <w:r>
              <w:rPr>
                <w:rFonts w:ascii="Times New Roman" w:cs="Times New Roman"/>
                <w:color w:val="auto"/>
                <w:spacing w:val="-2"/>
                <w:highlight w:val="none"/>
              </w:rPr>
              <w:t>标准</w:t>
            </w:r>
            <w:r>
              <w:rPr>
                <w:rFonts w:ascii="Times New Roman" w:cs="Times New Roman"/>
                <w:color w:val="auto"/>
                <w:highlight w:val="none"/>
              </w:rPr>
              <w:t>，</w:t>
            </w:r>
            <w:r>
              <w:rPr>
                <w:color w:val="auto"/>
                <w:highlight w:val="none"/>
              </w:rPr>
              <w:t>噪声对声环境影响不大。</w:t>
            </w:r>
          </w:p>
          <w:p w14:paraId="614D25D8">
            <w:pPr>
              <w:keepNext/>
              <w:keepLines/>
              <w:tabs>
                <w:tab w:val="left" w:pos="0"/>
              </w:tabs>
              <w:ind w:firstLine="480" w:firstLineChars="200"/>
              <w:outlineLvl w:val="3"/>
              <w:rPr>
                <w:color w:val="auto"/>
                <w:highlight w:val="none"/>
              </w:rPr>
            </w:pPr>
            <w:r>
              <w:rPr>
                <w:b/>
                <w:bCs/>
                <w:color w:val="auto"/>
                <w:highlight w:val="none"/>
              </w:rPr>
              <w:t>4、监测要求</w:t>
            </w:r>
          </w:p>
          <w:p w14:paraId="12FBC3DE">
            <w:pPr>
              <w:ind w:firstLine="480" w:firstLineChars="200"/>
              <w:rPr>
                <w:color w:val="auto"/>
                <w:highlight w:val="none"/>
              </w:rPr>
            </w:pPr>
            <w:r>
              <w:rPr>
                <w:color w:val="auto"/>
                <w:highlight w:val="none"/>
              </w:rPr>
              <w:t>根据《排污单位自行监测技术指南 总则》（HJ819-2017）和《排污许可证申请与核发技术规范 工业噪声》（HJ1301-2023），本项目噪声监测要求见下表。</w:t>
            </w:r>
          </w:p>
          <w:p w14:paraId="006762E1">
            <w:pPr>
              <w:pStyle w:val="2"/>
              <w:tabs>
                <w:tab w:val="left" w:pos="0"/>
              </w:tabs>
              <w:spacing w:line="240" w:lineRule="auto"/>
              <w:ind w:firstLine="40"/>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表4-</w:t>
            </w:r>
            <w:r>
              <w:rPr>
                <w:rFonts w:hint="eastAsia" w:ascii="Times New Roman" w:cs="Times New Roman"/>
                <w:b/>
                <w:bCs/>
                <w:color w:val="auto"/>
                <w:sz w:val="21"/>
                <w:szCs w:val="21"/>
                <w:highlight w:val="none"/>
              </w:rPr>
              <w:t>2</w:t>
            </w:r>
            <w:r>
              <w:rPr>
                <w:rFonts w:hint="eastAsia" w:ascii="Times New Roman" w:cs="Times New Roman"/>
                <w:b/>
                <w:bCs/>
                <w:color w:val="auto"/>
                <w:sz w:val="21"/>
                <w:szCs w:val="21"/>
                <w:highlight w:val="none"/>
                <w:lang w:val="en-US" w:eastAsia="zh-CN"/>
              </w:rPr>
              <w:t>5</w:t>
            </w:r>
            <w:r>
              <w:rPr>
                <w:rFonts w:hint="eastAsia" w:ascii="Times New Roman" w:cs="Times New Roman"/>
                <w:b/>
                <w:bCs/>
                <w:color w:val="auto"/>
                <w:sz w:val="21"/>
                <w:szCs w:val="21"/>
                <w:highlight w:val="none"/>
              </w:rPr>
              <w:t xml:space="preserve"> </w:t>
            </w:r>
            <w:r>
              <w:rPr>
                <w:rFonts w:ascii="Times New Roman" w:cs="Times New Roman"/>
                <w:b/>
                <w:bCs/>
                <w:color w:val="auto"/>
                <w:sz w:val="21"/>
                <w:szCs w:val="21"/>
                <w:highlight w:val="none"/>
              </w:rPr>
              <w:t>厂界噪声监测要求</w:t>
            </w:r>
          </w:p>
          <w:tbl>
            <w:tblPr>
              <w:tblStyle w:val="50"/>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51" w:type="dxa"/>
                <w:bottom w:w="0" w:type="dxa"/>
                <w:right w:w="51" w:type="dxa"/>
              </w:tblCellMar>
            </w:tblPr>
            <w:tblGrid>
              <w:gridCol w:w="582"/>
              <w:gridCol w:w="1593"/>
              <w:gridCol w:w="1236"/>
              <w:gridCol w:w="1347"/>
              <w:gridCol w:w="1676"/>
              <w:gridCol w:w="2661"/>
            </w:tblGrid>
            <w:tr w14:paraId="385B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669" w:hRule="atLeast"/>
                <w:jc w:val="center"/>
              </w:trPr>
              <w:tc>
                <w:tcPr>
                  <w:tcW w:w="320" w:type="pct"/>
                  <w:vAlign w:val="center"/>
                </w:tcPr>
                <w:p w14:paraId="5BE127A3">
                  <w:pPr>
                    <w:spacing w:line="276" w:lineRule="auto"/>
                    <w:jc w:val="center"/>
                    <w:rPr>
                      <w:b/>
                      <w:bCs/>
                      <w:color w:val="auto"/>
                      <w:sz w:val="21"/>
                      <w:szCs w:val="21"/>
                      <w:highlight w:val="none"/>
                    </w:rPr>
                  </w:pPr>
                  <w:r>
                    <w:rPr>
                      <w:b/>
                      <w:bCs/>
                      <w:color w:val="auto"/>
                      <w:sz w:val="21"/>
                      <w:szCs w:val="21"/>
                      <w:highlight w:val="none"/>
                    </w:rPr>
                    <w:t>类别</w:t>
                  </w:r>
                </w:p>
              </w:tc>
              <w:tc>
                <w:tcPr>
                  <w:tcW w:w="875" w:type="pct"/>
                  <w:vAlign w:val="center"/>
                </w:tcPr>
                <w:p w14:paraId="20C47088">
                  <w:pPr>
                    <w:spacing w:line="276" w:lineRule="auto"/>
                    <w:jc w:val="center"/>
                    <w:rPr>
                      <w:b/>
                      <w:bCs/>
                      <w:color w:val="auto"/>
                      <w:sz w:val="21"/>
                      <w:szCs w:val="21"/>
                      <w:highlight w:val="none"/>
                    </w:rPr>
                  </w:pPr>
                  <w:r>
                    <w:rPr>
                      <w:b/>
                      <w:bCs/>
                      <w:color w:val="auto"/>
                      <w:sz w:val="21"/>
                      <w:szCs w:val="21"/>
                      <w:highlight w:val="none"/>
                    </w:rPr>
                    <w:t>监测点位</w:t>
                  </w:r>
                </w:p>
              </w:tc>
              <w:tc>
                <w:tcPr>
                  <w:tcW w:w="679" w:type="pct"/>
                  <w:vAlign w:val="center"/>
                </w:tcPr>
                <w:p w14:paraId="06E31395">
                  <w:pPr>
                    <w:spacing w:line="276" w:lineRule="auto"/>
                    <w:jc w:val="center"/>
                    <w:rPr>
                      <w:b/>
                      <w:bCs/>
                      <w:color w:val="auto"/>
                      <w:sz w:val="21"/>
                      <w:szCs w:val="21"/>
                      <w:highlight w:val="none"/>
                    </w:rPr>
                  </w:pPr>
                  <w:r>
                    <w:rPr>
                      <w:b/>
                      <w:bCs/>
                      <w:color w:val="auto"/>
                      <w:sz w:val="21"/>
                      <w:szCs w:val="21"/>
                      <w:highlight w:val="none"/>
                    </w:rPr>
                    <w:t>监测指标</w:t>
                  </w:r>
                </w:p>
              </w:tc>
              <w:tc>
                <w:tcPr>
                  <w:tcW w:w="740" w:type="pct"/>
                  <w:vAlign w:val="center"/>
                </w:tcPr>
                <w:p w14:paraId="66E6AAEB">
                  <w:pPr>
                    <w:spacing w:line="276" w:lineRule="auto"/>
                    <w:jc w:val="center"/>
                    <w:rPr>
                      <w:b/>
                      <w:bCs/>
                      <w:color w:val="auto"/>
                      <w:sz w:val="21"/>
                      <w:szCs w:val="21"/>
                      <w:highlight w:val="none"/>
                    </w:rPr>
                  </w:pPr>
                  <w:r>
                    <w:rPr>
                      <w:b/>
                      <w:bCs/>
                      <w:color w:val="auto"/>
                      <w:sz w:val="21"/>
                      <w:szCs w:val="21"/>
                      <w:highlight w:val="none"/>
                    </w:rPr>
                    <w:t>监测频次</w:t>
                  </w:r>
                </w:p>
              </w:tc>
              <w:tc>
                <w:tcPr>
                  <w:tcW w:w="921" w:type="pct"/>
                  <w:vAlign w:val="center"/>
                </w:tcPr>
                <w:p w14:paraId="07991BD0">
                  <w:pPr>
                    <w:spacing w:line="276" w:lineRule="auto"/>
                    <w:jc w:val="center"/>
                    <w:rPr>
                      <w:b/>
                      <w:bCs/>
                      <w:color w:val="auto"/>
                      <w:sz w:val="21"/>
                      <w:szCs w:val="21"/>
                      <w:highlight w:val="none"/>
                    </w:rPr>
                  </w:pPr>
                  <w:r>
                    <w:rPr>
                      <w:b/>
                      <w:bCs/>
                      <w:color w:val="auto"/>
                      <w:sz w:val="21"/>
                      <w:szCs w:val="21"/>
                      <w:highlight w:val="none"/>
                    </w:rPr>
                    <w:t>监测采样和分析方法</w:t>
                  </w:r>
                </w:p>
              </w:tc>
              <w:tc>
                <w:tcPr>
                  <w:tcW w:w="1462" w:type="pct"/>
                  <w:vAlign w:val="center"/>
                </w:tcPr>
                <w:p w14:paraId="63C5E195">
                  <w:pPr>
                    <w:spacing w:line="276" w:lineRule="auto"/>
                    <w:jc w:val="center"/>
                    <w:rPr>
                      <w:b/>
                      <w:bCs/>
                      <w:color w:val="auto"/>
                      <w:sz w:val="21"/>
                      <w:szCs w:val="21"/>
                      <w:highlight w:val="none"/>
                    </w:rPr>
                  </w:pPr>
                  <w:r>
                    <w:rPr>
                      <w:b/>
                      <w:bCs/>
                      <w:color w:val="auto"/>
                      <w:sz w:val="21"/>
                      <w:szCs w:val="21"/>
                      <w:highlight w:val="none"/>
                    </w:rPr>
                    <w:t>排放执行标准</w:t>
                  </w:r>
                </w:p>
              </w:tc>
            </w:tr>
            <w:tr w14:paraId="2718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164" w:hRule="atLeast"/>
                <w:jc w:val="center"/>
              </w:trPr>
              <w:tc>
                <w:tcPr>
                  <w:tcW w:w="320" w:type="pct"/>
                  <w:vMerge w:val="restart"/>
                  <w:vAlign w:val="center"/>
                </w:tcPr>
                <w:p w14:paraId="7CB9F6FD">
                  <w:pPr>
                    <w:spacing w:line="276" w:lineRule="auto"/>
                    <w:jc w:val="center"/>
                    <w:rPr>
                      <w:color w:val="auto"/>
                      <w:sz w:val="21"/>
                      <w:szCs w:val="21"/>
                      <w:highlight w:val="none"/>
                    </w:rPr>
                  </w:pPr>
                  <w:r>
                    <w:rPr>
                      <w:color w:val="auto"/>
                      <w:sz w:val="21"/>
                      <w:szCs w:val="21"/>
                      <w:highlight w:val="none"/>
                    </w:rPr>
                    <w:t>噪声</w:t>
                  </w:r>
                </w:p>
              </w:tc>
              <w:tc>
                <w:tcPr>
                  <w:tcW w:w="875" w:type="pct"/>
                  <w:vAlign w:val="center"/>
                </w:tcPr>
                <w:p w14:paraId="1E818BFF">
                  <w:pPr>
                    <w:spacing w:line="276" w:lineRule="auto"/>
                    <w:jc w:val="center"/>
                    <w:rPr>
                      <w:color w:val="auto"/>
                      <w:sz w:val="21"/>
                      <w:szCs w:val="21"/>
                      <w:highlight w:val="none"/>
                    </w:rPr>
                  </w:pPr>
                  <w:r>
                    <w:rPr>
                      <w:color w:val="auto"/>
                      <w:sz w:val="21"/>
                      <w:szCs w:val="21"/>
                      <w:highlight w:val="none"/>
                    </w:rPr>
                    <w:t>东、北面厂界外1米处</w:t>
                  </w:r>
                </w:p>
              </w:tc>
              <w:tc>
                <w:tcPr>
                  <w:tcW w:w="679" w:type="pct"/>
                  <w:vAlign w:val="center"/>
                </w:tcPr>
                <w:p w14:paraId="195025BE">
                  <w:pPr>
                    <w:spacing w:line="276" w:lineRule="auto"/>
                    <w:jc w:val="center"/>
                    <w:rPr>
                      <w:color w:val="auto"/>
                      <w:sz w:val="21"/>
                      <w:szCs w:val="21"/>
                      <w:highlight w:val="none"/>
                    </w:rPr>
                  </w:pPr>
                  <w:r>
                    <w:rPr>
                      <w:color w:val="auto"/>
                      <w:sz w:val="21"/>
                      <w:szCs w:val="21"/>
                      <w:highlight w:val="none"/>
                    </w:rPr>
                    <w:t>等效连续A声级</w:t>
                  </w:r>
                </w:p>
              </w:tc>
              <w:tc>
                <w:tcPr>
                  <w:tcW w:w="740" w:type="pct"/>
                  <w:vAlign w:val="center"/>
                </w:tcPr>
                <w:p w14:paraId="16A0DD92">
                  <w:pPr>
                    <w:spacing w:line="276" w:lineRule="auto"/>
                    <w:jc w:val="center"/>
                    <w:rPr>
                      <w:color w:val="auto"/>
                      <w:sz w:val="21"/>
                      <w:szCs w:val="21"/>
                      <w:highlight w:val="none"/>
                    </w:rPr>
                  </w:pPr>
                  <w:r>
                    <w:rPr>
                      <w:color w:val="auto"/>
                      <w:sz w:val="21"/>
                      <w:szCs w:val="21"/>
                      <w:highlight w:val="none"/>
                    </w:rPr>
                    <w:t>每季度1次，监测昼间</w:t>
                  </w:r>
                  <w:r>
                    <w:rPr>
                      <w:rFonts w:hint="eastAsia"/>
                      <w:color w:val="auto"/>
                      <w:sz w:val="21"/>
                      <w:szCs w:val="21"/>
                      <w:highlight w:val="none"/>
                    </w:rPr>
                    <w:t>、夜间</w:t>
                  </w:r>
                </w:p>
              </w:tc>
              <w:tc>
                <w:tcPr>
                  <w:tcW w:w="921" w:type="pct"/>
                  <w:vAlign w:val="center"/>
                </w:tcPr>
                <w:p w14:paraId="777FCB8F">
                  <w:pPr>
                    <w:spacing w:line="276" w:lineRule="auto"/>
                    <w:jc w:val="center"/>
                    <w:rPr>
                      <w:color w:val="auto"/>
                      <w:sz w:val="21"/>
                      <w:szCs w:val="21"/>
                      <w:highlight w:val="none"/>
                    </w:rPr>
                  </w:pPr>
                  <w:r>
                    <w:rPr>
                      <w:color w:val="auto"/>
                      <w:sz w:val="21"/>
                      <w:szCs w:val="21"/>
                      <w:highlight w:val="none"/>
                    </w:rPr>
                    <w:t>《环境监测技术规范》</w:t>
                  </w:r>
                </w:p>
              </w:tc>
              <w:tc>
                <w:tcPr>
                  <w:tcW w:w="1462" w:type="pct"/>
                  <w:vAlign w:val="center"/>
                </w:tcPr>
                <w:p w14:paraId="3FF9A70E">
                  <w:pPr>
                    <w:spacing w:line="276" w:lineRule="auto"/>
                    <w:jc w:val="center"/>
                    <w:rPr>
                      <w:color w:val="auto"/>
                      <w:sz w:val="21"/>
                      <w:szCs w:val="21"/>
                      <w:highlight w:val="none"/>
                    </w:rPr>
                  </w:pPr>
                  <w:r>
                    <w:rPr>
                      <w:color w:val="auto"/>
                      <w:sz w:val="21"/>
                      <w:szCs w:val="21"/>
                      <w:highlight w:val="none"/>
                    </w:rPr>
                    <w:t>《工业企业厂界环境噪声排放标准》（GB12348-2008）</w:t>
                  </w:r>
                  <w:r>
                    <w:rPr>
                      <w:rFonts w:hint="eastAsia"/>
                      <w:color w:val="auto"/>
                      <w:sz w:val="21"/>
                      <w:szCs w:val="21"/>
                      <w:highlight w:val="none"/>
                      <w:lang w:eastAsia="zh-CN"/>
                    </w:rPr>
                    <w:t>4</w:t>
                  </w:r>
                  <w:r>
                    <w:rPr>
                      <w:rFonts w:hint="eastAsia"/>
                      <w:color w:val="auto"/>
                      <w:sz w:val="21"/>
                      <w:szCs w:val="21"/>
                      <w:highlight w:val="none"/>
                      <w:lang w:val="en-US" w:eastAsia="zh-CN"/>
                    </w:rPr>
                    <w:t>a</w:t>
                  </w:r>
                  <w:r>
                    <w:rPr>
                      <w:rFonts w:hint="eastAsia"/>
                      <w:color w:val="auto"/>
                      <w:sz w:val="21"/>
                      <w:szCs w:val="21"/>
                      <w:highlight w:val="none"/>
                      <w:lang w:eastAsia="zh-CN"/>
                    </w:rPr>
                    <w:t>类</w:t>
                  </w:r>
                  <w:r>
                    <w:rPr>
                      <w:color w:val="auto"/>
                      <w:sz w:val="21"/>
                      <w:szCs w:val="21"/>
                      <w:highlight w:val="none"/>
                    </w:rPr>
                    <w:t>标准</w:t>
                  </w:r>
                </w:p>
              </w:tc>
            </w:tr>
            <w:tr w14:paraId="0144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164" w:hRule="atLeast"/>
                <w:jc w:val="center"/>
              </w:trPr>
              <w:tc>
                <w:tcPr>
                  <w:tcW w:w="320" w:type="pct"/>
                  <w:vMerge w:val="continue"/>
                  <w:vAlign w:val="center"/>
                </w:tcPr>
                <w:p w14:paraId="787A0EDC">
                  <w:pPr>
                    <w:spacing w:line="276" w:lineRule="auto"/>
                    <w:jc w:val="center"/>
                    <w:rPr>
                      <w:color w:val="auto"/>
                      <w:sz w:val="21"/>
                      <w:szCs w:val="21"/>
                      <w:highlight w:val="none"/>
                    </w:rPr>
                  </w:pPr>
                </w:p>
              </w:tc>
              <w:tc>
                <w:tcPr>
                  <w:tcW w:w="875" w:type="pct"/>
                  <w:vAlign w:val="center"/>
                </w:tcPr>
                <w:p w14:paraId="06F0F1C9">
                  <w:pPr>
                    <w:spacing w:line="276" w:lineRule="auto"/>
                    <w:jc w:val="center"/>
                    <w:rPr>
                      <w:color w:val="auto"/>
                      <w:sz w:val="21"/>
                      <w:szCs w:val="21"/>
                      <w:highlight w:val="none"/>
                    </w:rPr>
                  </w:pPr>
                  <w:r>
                    <w:rPr>
                      <w:color w:val="auto"/>
                      <w:sz w:val="21"/>
                      <w:szCs w:val="21"/>
                      <w:highlight w:val="none"/>
                    </w:rPr>
                    <w:t>南、西面厂界外1米处</w:t>
                  </w:r>
                </w:p>
              </w:tc>
              <w:tc>
                <w:tcPr>
                  <w:tcW w:w="1236" w:type="dxa"/>
                  <w:vAlign w:val="center"/>
                </w:tcPr>
                <w:p w14:paraId="0E4AE5A5">
                  <w:pPr>
                    <w:spacing w:line="276" w:lineRule="auto"/>
                    <w:jc w:val="center"/>
                    <w:rPr>
                      <w:color w:val="auto"/>
                      <w:sz w:val="21"/>
                      <w:szCs w:val="21"/>
                      <w:highlight w:val="none"/>
                    </w:rPr>
                  </w:pPr>
                  <w:r>
                    <w:rPr>
                      <w:color w:val="auto"/>
                      <w:sz w:val="21"/>
                      <w:szCs w:val="21"/>
                      <w:highlight w:val="none"/>
                    </w:rPr>
                    <w:t>等效连续A声级</w:t>
                  </w:r>
                </w:p>
              </w:tc>
              <w:tc>
                <w:tcPr>
                  <w:tcW w:w="1347" w:type="dxa"/>
                  <w:vAlign w:val="center"/>
                </w:tcPr>
                <w:p w14:paraId="4F65F062">
                  <w:pPr>
                    <w:spacing w:line="276" w:lineRule="auto"/>
                    <w:jc w:val="center"/>
                    <w:rPr>
                      <w:color w:val="auto"/>
                      <w:sz w:val="21"/>
                      <w:szCs w:val="21"/>
                      <w:highlight w:val="none"/>
                    </w:rPr>
                  </w:pPr>
                  <w:r>
                    <w:rPr>
                      <w:color w:val="auto"/>
                      <w:sz w:val="21"/>
                      <w:szCs w:val="21"/>
                      <w:highlight w:val="none"/>
                    </w:rPr>
                    <w:t>每季度1次，监测昼间</w:t>
                  </w:r>
                  <w:r>
                    <w:rPr>
                      <w:rFonts w:hint="eastAsia"/>
                      <w:color w:val="auto"/>
                      <w:sz w:val="21"/>
                      <w:szCs w:val="21"/>
                      <w:highlight w:val="none"/>
                    </w:rPr>
                    <w:t>、夜间</w:t>
                  </w:r>
                </w:p>
              </w:tc>
              <w:tc>
                <w:tcPr>
                  <w:tcW w:w="1677" w:type="dxa"/>
                  <w:vAlign w:val="center"/>
                </w:tcPr>
                <w:p w14:paraId="136A43DA">
                  <w:pPr>
                    <w:spacing w:line="276" w:lineRule="auto"/>
                    <w:jc w:val="center"/>
                    <w:rPr>
                      <w:color w:val="auto"/>
                      <w:sz w:val="21"/>
                      <w:szCs w:val="21"/>
                      <w:highlight w:val="none"/>
                    </w:rPr>
                  </w:pPr>
                  <w:r>
                    <w:rPr>
                      <w:color w:val="auto"/>
                      <w:sz w:val="21"/>
                      <w:szCs w:val="21"/>
                      <w:highlight w:val="none"/>
                    </w:rPr>
                    <w:t>《环境监测技术规范》</w:t>
                  </w:r>
                </w:p>
              </w:tc>
              <w:tc>
                <w:tcPr>
                  <w:tcW w:w="2659" w:type="dxa"/>
                  <w:vAlign w:val="center"/>
                </w:tcPr>
                <w:p w14:paraId="2303B616">
                  <w:pPr>
                    <w:spacing w:line="276" w:lineRule="auto"/>
                    <w:jc w:val="center"/>
                    <w:rPr>
                      <w:color w:val="auto"/>
                      <w:sz w:val="21"/>
                      <w:szCs w:val="21"/>
                      <w:highlight w:val="none"/>
                    </w:rPr>
                  </w:pPr>
                  <w:r>
                    <w:rPr>
                      <w:color w:val="auto"/>
                      <w:sz w:val="21"/>
                      <w:szCs w:val="21"/>
                      <w:highlight w:val="none"/>
                    </w:rPr>
                    <w:t>《工业企业厂界环境噪声排放标准》（GB12348-2008）</w:t>
                  </w:r>
                  <w:r>
                    <w:rPr>
                      <w:rFonts w:hint="eastAsia"/>
                      <w:color w:val="auto"/>
                      <w:sz w:val="21"/>
                      <w:szCs w:val="21"/>
                      <w:highlight w:val="none"/>
                      <w:lang w:val="en-US" w:eastAsia="zh-CN"/>
                    </w:rPr>
                    <w:t>3</w:t>
                  </w:r>
                  <w:r>
                    <w:rPr>
                      <w:rFonts w:hint="eastAsia"/>
                      <w:color w:val="auto"/>
                      <w:sz w:val="21"/>
                      <w:szCs w:val="21"/>
                      <w:highlight w:val="none"/>
                      <w:lang w:eastAsia="zh-CN"/>
                    </w:rPr>
                    <w:t>类</w:t>
                  </w:r>
                  <w:r>
                    <w:rPr>
                      <w:color w:val="auto"/>
                      <w:sz w:val="21"/>
                      <w:szCs w:val="21"/>
                      <w:highlight w:val="none"/>
                    </w:rPr>
                    <w:t>标准</w:t>
                  </w:r>
                </w:p>
              </w:tc>
            </w:tr>
          </w:tbl>
          <w:p w14:paraId="352E4830">
            <w:pPr>
              <w:pStyle w:val="10"/>
              <w:numPr>
                <w:ilvl w:val="2"/>
                <w:numId w:val="0"/>
              </w:numPr>
              <w:ind w:firstLine="480" w:firstLineChars="200"/>
              <w:rPr>
                <w:color w:val="auto"/>
                <w:highlight w:val="none"/>
              </w:rPr>
            </w:pPr>
            <w:r>
              <w:rPr>
                <w:color w:val="auto"/>
                <w:highlight w:val="none"/>
              </w:rPr>
              <w:t>四、固体废物污染源</w:t>
            </w:r>
          </w:p>
          <w:p w14:paraId="582CC18A">
            <w:pPr>
              <w:keepNext/>
              <w:keepLines/>
              <w:tabs>
                <w:tab w:val="left" w:pos="0"/>
              </w:tabs>
              <w:ind w:left="480" w:leftChars="200"/>
              <w:outlineLvl w:val="3"/>
              <w:rPr>
                <w:b/>
                <w:bCs/>
                <w:color w:val="auto"/>
                <w:highlight w:val="none"/>
              </w:rPr>
            </w:pPr>
            <w:r>
              <w:rPr>
                <w:b/>
                <w:bCs/>
                <w:color w:val="auto"/>
                <w:highlight w:val="none"/>
              </w:rPr>
              <w:t>1、固体废物源强</w:t>
            </w:r>
          </w:p>
          <w:p w14:paraId="159BB052">
            <w:pPr>
              <w:keepNext/>
              <w:keepLines/>
              <w:tabs>
                <w:tab w:val="left" w:pos="0"/>
              </w:tabs>
              <w:ind w:left="480" w:leftChars="200"/>
              <w:outlineLvl w:val="3"/>
              <w:rPr>
                <w:color w:val="auto"/>
                <w:highlight w:val="none"/>
              </w:rPr>
            </w:pPr>
            <w:r>
              <w:rPr>
                <w:color w:val="auto"/>
                <w:highlight w:val="none"/>
              </w:rPr>
              <w:t>（1）一般工业固体废物</w:t>
            </w:r>
          </w:p>
          <w:p w14:paraId="1DF9119E">
            <w:pPr>
              <w:pStyle w:val="24"/>
              <w:ind w:firstLine="480"/>
              <w:rPr>
                <w:color w:val="auto"/>
                <w:sz w:val="24"/>
                <w:highlight w:val="none"/>
              </w:rPr>
            </w:pPr>
            <w:r>
              <w:rPr>
                <w:color w:val="auto"/>
                <w:sz w:val="24"/>
                <w:highlight w:val="none"/>
              </w:rPr>
              <w:t>本项目运营期间产生的一般固废有废木屑杂物</w:t>
            </w:r>
            <w:r>
              <w:rPr>
                <w:rFonts w:hint="eastAsia"/>
                <w:color w:val="auto"/>
                <w:sz w:val="24"/>
                <w:highlight w:val="none"/>
              </w:rPr>
              <w:t>、</w:t>
            </w:r>
            <w:r>
              <w:rPr>
                <w:color w:val="auto"/>
                <w:sz w:val="24"/>
                <w:highlight w:val="none"/>
              </w:rPr>
              <w:t>废橡胶、</w:t>
            </w:r>
            <w:r>
              <w:rPr>
                <w:rFonts w:hint="eastAsia"/>
                <w:color w:val="auto"/>
                <w:sz w:val="24"/>
                <w:highlight w:val="none"/>
              </w:rPr>
              <w:t>包装废料、</w:t>
            </w:r>
            <w:r>
              <w:rPr>
                <w:color w:val="auto"/>
                <w:sz w:val="24"/>
                <w:highlight w:val="none"/>
              </w:rPr>
              <w:t>布袋</w:t>
            </w:r>
            <w:r>
              <w:rPr>
                <w:rFonts w:hint="eastAsia"/>
                <w:color w:val="auto"/>
                <w:sz w:val="24"/>
                <w:highlight w:val="none"/>
              </w:rPr>
              <w:t>收集粉尘、</w:t>
            </w:r>
            <w:r>
              <w:rPr>
                <w:color w:val="auto"/>
                <w:sz w:val="24"/>
                <w:highlight w:val="none"/>
              </w:rPr>
              <w:t>废</w:t>
            </w:r>
            <w:r>
              <w:rPr>
                <w:rFonts w:hint="eastAsia"/>
                <w:color w:val="auto"/>
                <w:sz w:val="24"/>
                <w:highlight w:val="none"/>
              </w:rPr>
              <w:t>布</w:t>
            </w:r>
            <w:r>
              <w:rPr>
                <w:color w:val="auto"/>
                <w:sz w:val="24"/>
                <w:highlight w:val="none"/>
              </w:rPr>
              <w:t>袋</w:t>
            </w:r>
            <w:r>
              <w:rPr>
                <w:rFonts w:hint="eastAsia"/>
                <w:color w:val="auto"/>
                <w:highlight w:val="none"/>
              </w:rPr>
              <w:t>、</w:t>
            </w:r>
            <w:r>
              <w:rPr>
                <w:rFonts w:hint="eastAsia"/>
                <w:color w:val="auto"/>
                <w:sz w:val="24"/>
                <w:highlight w:val="none"/>
              </w:rPr>
              <w:t>污水处理污泥</w:t>
            </w:r>
            <w:r>
              <w:rPr>
                <w:color w:val="auto"/>
                <w:sz w:val="24"/>
                <w:highlight w:val="none"/>
              </w:rPr>
              <w:t>等。</w:t>
            </w:r>
          </w:p>
          <w:p w14:paraId="3A76D0E5">
            <w:pPr>
              <w:pStyle w:val="24"/>
              <w:ind w:firstLine="480"/>
              <w:rPr>
                <w:color w:val="auto"/>
                <w:sz w:val="24"/>
                <w:highlight w:val="none"/>
              </w:rPr>
            </w:pPr>
            <w:r>
              <w:rPr>
                <w:color w:val="auto"/>
                <w:sz w:val="24"/>
                <w:highlight w:val="none"/>
              </w:rPr>
              <w:t>①废木屑杂物</w:t>
            </w:r>
          </w:p>
          <w:p w14:paraId="2FFF3AB3">
            <w:pPr>
              <w:pStyle w:val="24"/>
              <w:ind w:firstLine="480"/>
              <w:rPr>
                <w:color w:val="auto"/>
                <w:sz w:val="24"/>
                <w:highlight w:val="none"/>
              </w:rPr>
            </w:pPr>
            <w:r>
              <w:rPr>
                <w:color w:val="auto"/>
                <w:sz w:val="24"/>
                <w:highlight w:val="none"/>
              </w:rPr>
              <w:t>本项目分选过程会产生废木屑等杂物，</w:t>
            </w:r>
            <w:r>
              <w:rPr>
                <w:rFonts w:hint="eastAsia"/>
                <w:color w:val="auto"/>
                <w:sz w:val="24"/>
                <w:highlight w:val="none"/>
              </w:rPr>
              <w:t>根据建设单位提供资料，废木屑杂物产生量约为原料用量的0.001%，则废木屑杂物</w:t>
            </w:r>
            <w:r>
              <w:rPr>
                <w:color w:val="auto"/>
                <w:sz w:val="24"/>
                <w:highlight w:val="none"/>
              </w:rPr>
              <w:t>年产生量</w:t>
            </w:r>
            <w:r>
              <w:rPr>
                <w:rFonts w:hint="eastAsia"/>
                <w:color w:val="auto"/>
                <w:sz w:val="24"/>
                <w:highlight w:val="none"/>
                <w:lang w:val="en-US" w:eastAsia="zh-CN"/>
              </w:rPr>
              <w:t>1.0</w:t>
            </w:r>
            <w:r>
              <w:rPr>
                <w:color w:val="auto"/>
                <w:sz w:val="24"/>
                <w:highlight w:val="none"/>
              </w:rPr>
              <w:t>t/a，属于一般固废，统一收集后外售。根据《固体废物分类与代码目录》（公告2024年 第4号），木块等杂质属于SW17可再生类废物，属于非特定行业，废物代码为900-099-S17。</w:t>
            </w:r>
          </w:p>
          <w:p w14:paraId="0C4C51C3">
            <w:pPr>
              <w:pStyle w:val="24"/>
              <w:ind w:firstLine="480"/>
              <w:rPr>
                <w:color w:val="auto"/>
                <w:sz w:val="24"/>
                <w:highlight w:val="none"/>
              </w:rPr>
            </w:pPr>
            <w:r>
              <w:rPr>
                <w:color w:val="auto"/>
                <w:sz w:val="24"/>
                <w:highlight w:val="none"/>
              </w:rPr>
              <w:t>②废橡胶</w:t>
            </w:r>
          </w:p>
          <w:p w14:paraId="1D20DBA4">
            <w:pPr>
              <w:pStyle w:val="24"/>
              <w:ind w:firstLine="480"/>
              <w:rPr>
                <w:color w:val="auto"/>
                <w:sz w:val="24"/>
                <w:highlight w:val="none"/>
              </w:rPr>
            </w:pPr>
            <w:r>
              <w:rPr>
                <w:color w:val="auto"/>
                <w:sz w:val="24"/>
                <w:highlight w:val="none"/>
              </w:rPr>
              <w:t>本项目分选过程会产生废橡胶，</w:t>
            </w:r>
            <w:r>
              <w:rPr>
                <w:rFonts w:hint="eastAsia"/>
                <w:color w:val="auto"/>
                <w:sz w:val="24"/>
                <w:highlight w:val="none"/>
              </w:rPr>
              <w:t>根据建设单位提供资料，废橡胶产生量约为原料用量的</w:t>
            </w:r>
            <w:r>
              <w:rPr>
                <w:rFonts w:hint="eastAsia"/>
                <w:color w:val="auto"/>
                <w:sz w:val="24"/>
                <w:highlight w:val="none"/>
                <w:lang w:val="en-US" w:eastAsia="zh-CN"/>
              </w:rPr>
              <w:t>3.5‰</w:t>
            </w:r>
            <w:r>
              <w:rPr>
                <w:rFonts w:hint="eastAsia"/>
                <w:color w:val="auto"/>
                <w:sz w:val="24"/>
                <w:highlight w:val="none"/>
              </w:rPr>
              <w:t>，则废橡胶</w:t>
            </w:r>
            <w:r>
              <w:rPr>
                <w:color w:val="auto"/>
                <w:sz w:val="24"/>
                <w:highlight w:val="none"/>
              </w:rPr>
              <w:t>年产生量</w:t>
            </w:r>
            <w:r>
              <w:rPr>
                <w:rFonts w:hint="eastAsia"/>
                <w:color w:val="auto"/>
                <w:sz w:val="24"/>
                <w:highlight w:val="none"/>
                <w:lang w:val="en-US" w:eastAsia="zh-CN"/>
              </w:rPr>
              <w:t>351.23</w:t>
            </w:r>
            <w:r>
              <w:rPr>
                <w:color w:val="auto"/>
                <w:sz w:val="24"/>
                <w:highlight w:val="none"/>
              </w:rPr>
              <w:t>t/a，属于一般固废，统一收集后外售。根据《固体废物分类与代码目录》（公告2024年 第4号），废橡胶属于SW17可再生类废物，属于非特定行业，废物代码为900-006-S17。</w:t>
            </w:r>
          </w:p>
          <w:p w14:paraId="111728C9">
            <w:pPr>
              <w:pStyle w:val="24"/>
              <w:ind w:firstLine="480"/>
              <w:rPr>
                <w:color w:val="auto"/>
                <w:sz w:val="24"/>
                <w:highlight w:val="none"/>
              </w:rPr>
            </w:pPr>
            <w:r>
              <w:rPr>
                <w:color w:val="auto"/>
                <w:sz w:val="24"/>
                <w:highlight w:val="none"/>
              </w:rPr>
              <w:fldChar w:fldCharType="begin"/>
            </w:r>
            <w:r>
              <w:rPr>
                <w:color w:val="auto"/>
                <w:sz w:val="24"/>
                <w:highlight w:val="none"/>
              </w:rPr>
              <w:instrText xml:space="preserve"> = 3 \* GB3 \* MERGEFORMAT </w:instrText>
            </w:r>
            <w:r>
              <w:rPr>
                <w:color w:val="auto"/>
                <w:sz w:val="24"/>
                <w:highlight w:val="none"/>
              </w:rPr>
              <w:fldChar w:fldCharType="separate"/>
            </w:r>
            <w:r>
              <w:rPr>
                <w:color w:val="auto"/>
                <w:sz w:val="24"/>
                <w:highlight w:val="none"/>
              </w:rPr>
              <w:t>③</w:t>
            </w:r>
            <w:r>
              <w:rPr>
                <w:color w:val="auto"/>
                <w:sz w:val="24"/>
                <w:highlight w:val="none"/>
              </w:rPr>
              <w:fldChar w:fldCharType="end"/>
            </w:r>
            <w:r>
              <w:rPr>
                <w:rFonts w:hint="eastAsia"/>
                <w:color w:val="auto"/>
                <w:sz w:val="24"/>
                <w:highlight w:val="none"/>
              </w:rPr>
              <w:t>包装废料</w:t>
            </w:r>
          </w:p>
          <w:p w14:paraId="625E0729">
            <w:pPr>
              <w:pStyle w:val="24"/>
              <w:ind w:firstLine="480"/>
              <w:rPr>
                <w:color w:val="auto"/>
                <w:highlight w:val="none"/>
              </w:rPr>
            </w:pPr>
            <w:r>
              <w:rPr>
                <w:rFonts w:hint="eastAsia"/>
                <w:color w:val="auto"/>
                <w:sz w:val="24"/>
                <w:highlight w:val="none"/>
              </w:rPr>
              <w:t>主要包括原辅材料包装袋，产生量约为2t/年，属于SW17可再生类废物，</w:t>
            </w:r>
            <w:r>
              <w:rPr>
                <w:color w:val="auto"/>
                <w:sz w:val="24"/>
                <w:highlight w:val="none"/>
              </w:rPr>
              <w:t>根据《固体废物分类与代码目录》（公告2024年 第4号），</w:t>
            </w:r>
            <w:r>
              <w:rPr>
                <w:rFonts w:hint="eastAsia"/>
                <w:color w:val="auto"/>
                <w:sz w:val="24"/>
                <w:highlight w:val="none"/>
              </w:rPr>
              <w:t>属于非特定行业，废物代码为900-003-S17。</w:t>
            </w:r>
          </w:p>
          <w:p w14:paraId="317F9699">
            <w:pPr>
              <w:pStyle w:val="24"/>
              <w:ind w:firstLine="480"/>
              <w:rPr>
                <w:color w:val="auto"/>
                <w:sz w:val="24"/>
                <w:highlight w:val="none"/>
              </w:rPr>
            </w:pPr>
            <w:r>
              <w:rPr>
                <w:rFonts w:hint="eastAsia"/>
                <w:color w:val="auto"/>
                <w:sz w:val="24"/>
                <w:highlight w:val="none"/>
              </w:rPr>
              <w:t>④布袋</w:t>
            </w:r>
            <w:r>
              <w:rPr>
                <w:color w:val="auto"/>
                <w:sz w:val="24"/>
                <w:highlight w:val="none"/>
              </w:rPr>
              <w:t>收集粉尘</w:t>
            </w:r>
          </w:p>
          <w:p w14:paraId="4285DA7A">
            <w:pPr>
              <w:ind w:firstLine="480" w:firstLineChars="200"/>
              <w:rPr>
                <w:color w:val="auto"/>
                <w:highlight w:val="none"/>
              </w:rPr>
            </w:pPr>
            <w:r>
              <w:rPr>
                <w:color w:val="auto"/>
                <w:highlight w:val="none"/>
              </w:rPr>
              <w:t>根据废气源强核算</w:t>
            </w:r>
            <w:r>
              <w:rPr>
                <w:rFonts w:hint="eastAsia"/>
                <w:color w:val="auto"/>
                <w:highlight w:val="none"/>
              </w:rPr>
              <w:t>，</w:t>
            </w:r>
            <w:r>
              <w:rPr>
                <w:color w:val="auto"/>
                <w:highlight w:val="none"/>
              </w:rPr>
              <w:t>收集的粉尘量约为</w:t>
            </w:r>
            <w:r>
              <w:rPr>
                <w:rFonts w:hint="eastAsia"/>
                <w:color w:val="auto"/>
                <w:highlight w:val="none"/>
                <w:lang w:val="en-US" w:eastAsia="zh-CN"/>
              </w:rPr>
              <w:t>12.19</w:t>
            </w:r>
            <w:r>
              <w:rPr>
                <w:color w:val="auto"/>
                <w:highlight w:val="none"/>
              </w:rPr>
              <w:t>t/a，废物代码为900-0</w:t>
            </w:r>
            <w:r>
              <w:rPr>
                <w:rFonts w:hint="eastAsia"/>
                <w:color w:val="auto"/>
                <w:highlight w:val="none"/>
              </w:rPr>
              <w:t>99</w:t>
            </w:r>
            <w:r>
              <w:rPr>
                <w:color w:val="auto"/>
                <w:highlight w:val="none"/>
              </w:rPr>
              <w:t>-S17全部收集后外售。</w:t>
            </w:r>
          </w:p>
          <w:p w14:paraId="5B3C052D">
            <w:pPr>
              <w:pStyle w:val="47"/>
              <w:wordWrap/>
              <w:spacing w:after="0"/>
              <w:ind w:firstLine="480" w:firstLineChars="200"/>
              <w:rPr>
                <w:color w:val="auto"/>
                <w:highlight w:val="none"/>
              </w:rPr>
            </w:pPr>
            <w:r>
              <w:rPr>
                <w:rFonts w:hint="eastAsia"/>
                <w:color w:val="auto"/>
                <w:highlight w:val="none"/>
              </w:rPr>
              <w:t>⑤</w:t>
            </w:r>
            <w:r>
              <w:rPr>
                <w:color w:val="auto"/>
                <w:highlight w:val="none"/>
              </w:rPr>
              <w:t>布袋除尘器废滤袋</w:t>
            </w:r>
          </w:p>
          <w:p w14:paraId="0D79665F">
            <w:pPr>
              <w:pStyle w:val="47"/>
              <w:wordWrap/>
              <w:spacing w:after="0"/>
              <w:ind w:firstLine="480" w:firstLineChars="200"/>
              <w:rPr>
                <w:color w:val="auto"/>
                <w:highlight w:val="none"/>
              </w:rPr>
            </w:pPr>
            <w:r>
              <w:rPr>
                <w:color w:val="auto"/>
                <w:highlight w:val="none"/>
              </w:rPr>
              <w:t>本项目设置一套布袋除尘器，每次更换量约0.05t，废物代码为900-0</w:t>
            </w:r>
            <w:r>
              <w:rPr>
                <w:rFonts w:hint="eastAsia"/>
                <w:color w:val="auto"/>
                <w:highlight w:val="none"/>
              </w:rPr>
              <w:t>09</w:t>
            </w:r>
            <w:r>
              <w:rPr>
                <w:color w:val="auto"/>
                <w:highlight w:val="none"/>
              </w:rPr>
              <w:t>-S</w:t>
            </w:r>
            <w:r>
              <w:rPr>
                <w:rFonts w:hint="eastAsia"/>
                <w:color w:val="auto"/>
                <w:highlight w:val="none"/>
              </w:rPr>
              <w:t>59，</w:t>
            </w:r>
            <w:r>
              <w:rPr>
                <w:color w:val="auto"/>
                <w:highlight w:val="none"/>
              </w:rPr>
              <w:t>更换后委托厂家回收处置。</w:t>
            </w:r>
          </w:p>
          <w:p w14:paraId="638E917D">
            <w:pPr>
              <w:ind w:left="480" w:leftChars="200"/>
              <w:rPr>
                <w:color w:val="auto"/>
                <w:highlight w:val="none"/>
              </w:rPr>
            </w:pPr>
            <w:r>
              <w:rPr>
                <w:rFonts w:hint="eastAsia"/>
                <w:color w:val="auto"/>
                <w:highlight w:val="none"/>
              </w:rPr>
              <w:t>⑥</w:t>
            </w:r>
            <w:r>
              <w:rPr>
                <w:color w:val="auto"/>
                <w:highlight w:val="none"/>
              </w:rPr>
              <w:t>污水站处理污泥</w:t>
            </w:r>
            <w:r>
              <w:rPr>
                <w:color w:val="auto"/>
                <w:highlight w:val="none"/>
              </w:rPr>
              <w:br w:type="textWrapping"/>
            </w:r>
            <w:r>
              <w:rPr>
                <w:rFonts w:hint="eastAsia"/>
                <w:color w:val="auto"/>
                <w:highlight w:val="none"/>
              </w:rPr>
              <w:t>絮凝沉淀池产生污泥按以下公式计算：</w:t>
            </w:r>
          </w:p>
          <w:p w14:paraId="216274D3">
            <w:pPr>
              <w:pStyle w:val="24"/>
              <w:ind w:firstLine="480"/>
              <w:jc w:val="center"/>
              <w:rPr>
                <w:color w:val="auto"/>
                <w:sz w:val="24"/>
                <w:highlight w:val="none"/>
              </w:rPr>
            </w:pPr>
            <w:r>
              <w:rPr>
                <w:color w:val="auto"/>
                <w:sz w:val="24"/>
                <w:highlight w:val="none"/>
              </w:rPr>
              <w:t>W = Q * (C1 - C2) *10</w:t>
            </w:r>
            <w:r>
              <w:rPr>
                <w:color w:val="auto"/>
                <w:sz w:val="24"/>
                <w:highlight w:val="none"/>
                <w:vertAlign w:val="superscript"/>
              </w:rPr>
              <w:t>-3</w:t>
            </w:r>
          </w:p>
          <w:p w14:paraId="0F6273A2">
            <w:pPr>
              <w:pStyle w:val="24"/>
              <w:ind w:firstLine="480"/>
              <w:rPr>
                <w:color w:val="auto"/>
                <w:sz w:val="24"/>
                <w:highlight w:val="none"/>
              </w:rPr>
            </w:pPr>
            <w:r>
              <w:rPr>
                <w:color w:val="auto"/>
                <w:sz w:val="24"/>
                <w:highlight w:val="none"/>
              </w:rPr>
              <w:t>式中：W——污泥量，kg/d；</w:t>
            </w:r>
          </w:p>
          <w:p w14:paraId="2B439CBF">
            <w:pPr>
              <w:pStyle w:val="24"/>
              <w:ind w:firstLine="480"/>
              <w:rPr>
                <w:color w:val="auto"/>
                <w:sz w:val="24"/>
                <w:highlight w:val="none"/>
              </w:rPr>
            </w:pPr>
            <w:r>
              <w:rPr>
                <w:color w:val="auto"/>
                <w:sz w:val="24"/>
                <w:highlight w:val="none"/>
              </w:rPr>
              <w:t>C1——废水悬浮物浓度，mg/L ，</w:t>
            </w:r>
            <w:r>
              <w:rPr>
                <w:rFonts w:hint="eastAsia"/>
                <w:color w:val="auto"/>
                <w:sz w:val="24"/>
                <w:highlight w:val="none"/>
              </w:rPr>
              <w:t>类比同类型项目</w:t>
            </w:r>
            <w:r>
              <w:rPr>
                <w:color w:val="auto"/>
                <w:sz w:val="24"/>
                <w:highlight w:val="none"/>
              </w:rPr>
              <w:t>取226；</w:t>
            </w:r>
          </w:p>
          <w:p w14:paraId="1995C846">
            <w:pPr>
              <w:pStyle w:val="24"/>
              <w:ind w:firstLine="480"/>
              <w:rPr>
                <w:color w:val="auto"/>
                <w:sz w:val="24"/>
                <w:highlight w:val="none"/>
              </w:rPr>
            </w:pPr>
            <w:r>
              <w:rPr>
                <w:color w:val="auto"/>
                <w:sz w:val="24"/>
                <w:highlight w:val="none"/>
              </w:rPr>
              <w:t>C2——处理后废水悬浮物浓度，mg/L，取</w:t>
            </w:r>
            <w:r>
              <w:rPr>
                <w:rFonts w:hint="eastAsia"/>
                <w:color w:val="auto"/>
                <w:sz w:val="24"/>
                <w:highlight w:val="none"/>
                <w:lang w:val="en-US" w:eastAsia="zh-CN"/>
              </w:rPr>
              <w:t>22.6</w:t>
            </w:r>
            <w:r>
              <w:rPr>
                <w:color w:val="auto"/>
                <w:sz w:val="24"/>
                <w:highlight w:val="none"/>
              </w:rPr>
              <w:t>；</w:t>
            </w:r>
          </w:p>
          <w:p w14:paraId="4BBB94D0">
            <w:pPr>
              <w:pStyle w:val="24"/>
              <w:ind w:firstLine="480"/>
              <w:rPr>
                <w:color w:val="auto"/>
                <w:sz w:val="24"/>
                <w:highlight w:val="none"/>
              </w:rPr>
            </w:pPr>
            <w:r>
              <w:rPr>
                <w:color w:val="auto"/>
                <w:sz w:val="24"/>
                <w:highlight w:val="none"/>
              </w:rPr>
              <w:t>Q——处理废水量，m</w:t>
            </w:r>
            <w:r>
              <w:rPr>
                <w:color w:val="auto"/>
                <w:sz w:val="24"/>
                <w:highlight w:val="none"/>
                <w:vertAlign w:val="superscript"/>
              </w:rPr>
              <w:t>3</w:t>
            </w:r>
            <w:r>
              <w:rPr>
                <w:color w:val="auto"/>
                <w:sz w:val="24"/>
                <w:highlight w:val="none"/>
              </w:rPr>
              <w:t>/d，取</w:t>
            </w:r>
            <w:r>
              <w:rPr>
                <w:rFonts w:hint="eastAsia"/>
                <w:color w:val="auto"/>
                <w:sz w:val="24"/>
                <w:highlight w:val="none"/>
                <w:lang w:val="en-US" w:eastAsia="zh-CN"/>
              </w:rPr>
              <w:t>195.16</w:t>
            </w:r>
            <w:r>
              <w:rPr>
                <w:color w:val="auto"/>
                <w:sz w:val="24"/>
                <w:highlight w:val="none"/>
              </w:rPr>
              <w:t>。</w:t>
            </w:r>
          </w:p>
          <w:p w14:paraId="5AB94111">
            <w:pPr>
              <w:pStyle w:val="24"/>
              <w:ind w:firstLine="480"/>
              <w:rPr>
                <w:color w:val="auto"/>
                <w:sz w:val="24"/>
                <w:highlight w:val="none"/>
              </w:rPr>
            </w:pPr>
            <w:r>
              <w:rPr>
                <w:color w:val="auto"/>
                <w:sz w:val="24"/>
                <w:highlight w:val="none"/>
              </w:rPr>
              <w:t>则，项目</w:t>
            </w:r>
            <w:r>
              <w:rPr>
                <w:rFonts w:hint="eastAsia"/>
                <w:color w:val="auto"/>
                <w:sz w:val="24"/>
                <w:highlight w:val="none"/>
              </w:rPr>
              <w:t>絮凝</w:t>
            </w:r>
            <w:r>
              <w:rPr>
                <w:color w:val="auto"/>
                <w:sz w:val="24"/>
                <w:highlight w:val="none"/>
              </w:rPr>
              <w:t>沉淀池清掏过程中产生的沉渣</w:t>
            </w:r>
            <w:r>
              <w:rPr>
                <w:rFonts w:hint="eastAsia"/>
                <w:color w:val="auto"/>
                <w:sz w:val="24"/>
                <w:highlight w:val="none"/>
              </w:rPr>
              <w:t>干污泥量</w:t>
            </w:r>
            <w:r>
              <w:rPr>
                <w:color w:val="auto"/>
                <w:sz w:val="24"/>
                <w:highlight w:val="none"/>
              </w:rPr>
              <w:t>约为</w:t>
            </w:r>
            <w:r>
              <w:rPr>
                <w:rFonts w:hint="eastAsia"/>
                <w:color w:val="auto"/>
                <w:sz w:val="24"/>
                <w:highlight w:val="none"/>
                <w:lang w:val="en-US" w:eastAsia="zh-CN"/>
              </w:rPr>
              <w:t>39.70</w:t>
            </w:r>
            <w:r>
              <w:rPr>
                <w:color w:val="auto"/>
                <w:sz w:val="24"/>
                <w:highlight w:val="none"/>
              </w:rPr>
              <w:t>t/a</w:t>
            </w:r>
            <w:r>
              <w:rPr>
                <w:rFonts w:hint="eastAsia"/>
                <w:color w:val="auto"/>
                <w:sz w:val="24"/>
                <w:highlight w:val="none"/>
              </w:rPr>
              <w:t>，以含水率75%计，则湿污泥量为</w:t>
            </w:r>
            <w:r>
              <w:rPr>
                <w:rFonts w:hint="eastAsia"/>
                <w:color w:val="auto"/>
                <w:sz w:val="24"/>
                <w:highlight w:val="none"/>
                <w:lang w:val="en-US" w:eastAsia="zh-CN"/>
              </w:rPr>
              <w:t>158.78</w:t>
            </w:r>
            <w:r>
              <w:rPr>
                <w:rFonts w:hint="eastAsia"/>
                <w:color w:val="auto"/>
                <w:sz w:val="24"/>
                <w:highlight w:val="none"/>
              </w:rPr>
              <w:t>t/a（0.</w:t>
            </w:r>
            <w:r>
              <w:rPr>
                <w:rFonts w:hint="eastAsia"/>
                <w:color w:val="auto"/>
                <w:sz w:val="24"/>
                <w:highlight w:val="none"/>
                <w:lang w:val="en-US" w:eastAsia="zh-CN"/>
              </w:rPr>
              <w:t>48</w:t>
            </w:r>
            <w:r>
              <w:rPr>
                <w:rFonts w:hint="eastAsia"/>
                <w:color w:val="auto"/>
                <w:sz w:val="24"/>
                <w:highlight w:val="none"/>
              </w:rPr>
              <w:t>t/d）。</w:t>
            </w:r>
          </w:p>
          <w:p w14:paraId="24464AAB">
            <w:pPr>
              <w:pStyle w:val="24"/>
              <w:ind w:firstLine="480"/>
              <w:rPr>
                <w:rFonts w:hint="default" w:ascii="Times New Roman" w:hAnsi="Times New Roman" w:cs="Times New Roman"/>
                <w:color w:val="auto"/>
                <w:sz w:val="24"/>
                <w:highlight w:val="none"/>
              </w:rPr>
            </w:pPr>
            <w:r>
              <w:rPr>
                <w:rFonts w:hint="eastAsia"/>
                <w:color w:val="auto"/>
                <w:sz w:val="24"/>
                <w:highlight w:val="none"/>
              </w:rPr>
              <w:t>生化污泥主要成分为微生物菌体（剩余污泥）。由于废塑料清洗废水有机物浓度相对较低（BOD/COD 较低），生化污泥产量不高。根据前文计算，BOD的去除量为9.</w:t>
            </w:r>
            <w:r>
              <w:rPr>
                <w:rFonts w:hint="eastAsia"/>
                <w:color w:val="auto"/>
                <w:sz w:val="24"/>
                <w:highlight w:val="none"/>
                <w:lang w:val="en-US" w:eastAsia="zh-CN"/>
              </w:rPr>
              <w:t>6</w:t>
            </w:r>
            <w:r>
              <w:rPr>
                <w:rFonts w:hint="eastAsia"/>
                <w:color w:val="auto"/>
                <w:sz w:val="24"/>
                <w:highlight w:val="none"/>
              </w:rPr>
              <w:t>6t/a，参考《室外排水设计规范》及相关给排水设计手册，A/O 工艺的污泥理论产率系数 ( Y )：一般</w:t>
            </w:r>
            <w:r>
              <w:rPr>
                <w:rFonts w:hint="default" w:ascii="Times New Roman" w:hAnsi="Times New Roman" w:cs="Times New Roman"/>
                <w:color w:val="auto"/>
                <w:sz w:val="24"/>
                <w:highlight w:val="none"/>
              </w:rPr>
              <w:t>取值 0.5 - 0.7 kg VSS/kg BOD₅，本项目取0.7kgVSS/kg BOD₅，则生化污泥干污泥产生量为6.</w:t>
            </w:r>
            <w:r>
              <w:rPr>
                <w:rFonts w:hint="default" w:ascii="Times New Roman" w:hAnsi="Times New Roman" w:cs="Times New Roman"/>
                <w:color w:val="auto"/>
                <w:sz w:val="24"/>
                <w:highlight w:val="none"/>
                <w:lang w:val="en-US" w:eastAsia="zh-CN"/>
              </w:rPr>
              <w:t>76</w:t>
            </w:r>
            <w:r>
              <w:rPr>
                <w:rFonts w:hint="default" w:ascii="Times New Roman" w:hAnsi="Times New Roman" w:cs="Times New Roman"/>
                <w:color w:val="auto"/>
                <w:sz w:val="24"/>
                <w:highlight w:val="none"/>
              </w:rPr>
              <w:t>t/a，含水率以75%计，则生化污泥产生量为</w:t>
            </w:r>
            <w:r>
              <w:rPr>
                <w:rFonts w:hint="default" w:ascii="Times New Roman" w:hAnsi="Times New Roman" w:cs="Times New Roman"/>
                <w:color w:val="auto"/>
                <w:sz w:val="24"/>
                <w:highlight w:val="none"/>
                <w:lang w:val="en-US" w:eastAsia="zh-CN"/>
              </w:rPr>
              <w:t>27.06</w:t>
            </w:r>
            <w:r>
              <w:rPr>
                <w:rFonts w:hint="default" w:ascii="Times New Roman" w:hAnsi="Times New Roman" w:cs="Times New Roman"/>
                <w:color w:val="auto"/>
                <w:sz w:val="24"/>
                <w:highlight w:val="none"/>
              </w:rPr>
              <w:t>t/a。</w:t>
            </w:r>
          </w:p>
          <w:p w14:paraId="54A3069D">
            <w:pPr>
              <w:pStyle w:val="2"/>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综上，项目污水处理站污泥量为</w:t>
            </w:r>
            <w:r>
              <w:rPr>
                <w:rFonts w:hint="default" w:ascii="Times New Roman" w:hAnsi="Times New Roman" w:cs="Times New Roman"/>
                <w:color w:val="auto"/>
                <w:sz w:val="24"/>
                <w:highlight w:val="none"/>
                <w:lang w:val="en-US" w:eastAsia="zh-CN"/>
              </w:rPr>
              <w:t>185.84</w:t>
            </w:r>
            <w:r>
              <w:rPr>
                <w:rFonts w:hint="default" w:ascii="Times New Roman" w:hAnsi="Times New Roman" w:cs="Times New Roman"/>
                <w:color w:val="auto"/>
                <w:sz w:val="24"/>
                <w:highlight w:val="none"/>
              </w:rPr>
              <w:t>t/a，经收集后进入板框压滤机压滤成泥饼与其一同外售给砖厂综合利用。根据《固体废物分类与代码目录》（公告2024年 第4号），根据《固体废物分类与代码目录》（公告2024年 第4号），属于SW07污泥，属于非特定行业，废物代码为900-099-S07。</w:t>
            </w:r>
          </w:p>
          <w:p w14:paraId="52B893CE">
            <w:pPr>
              <w:pStyle w:val="2"/>
              <w:ind w:firstLine="480" w:firstLineChars="200"/>
              <w:rPr>
                <w:rFonts w:hint="eastAsia" w:ascii="Times New Roman" w:cs="Times New Roman"/>
                <w:b/>
                <w:bCs/>
                <w:color w:val="auto"/>
                <w:highlight w:val="none"/>
                <w:lang w:val="en-US" w:eastAsia="zh-CN"/>
              </w:rPr>
            </w:pPr>
            <w:r>
              <w:rPr>
                <w:rFonts w:hint="eastAsia"/>
                <w:color w:val="auto"/>
                <w:sz w:val="24"/>
                <w:highlight w:val="none"/>
                <w:lang w:val="en-US" w:eastAsia="zh-CN"/>
              </w:rPr>
              <w:t>⑦</w:t>
            </w:r>
            <w:r>
              <w:rPr>
                <w:rFonts w:hint="eastAsia" w:ascii="Times New Roman" w:cs="Times New Roman"/>
                <w:b/>
                <w:bCs/>
                <w:color w:val="auto"/>
                <w:highlight w:val="none"/>
                <w:lang w:val="en-US" w:eastAsia="zh-CN"/>
              </w:rPr>
              <w:t>废滤料</w:t>
            </w:r>
          </w:p>
          <w:p w14:paraId="7ABBF551">
            <w:pPr>
              <w:widowControl w:val="0"/>
              <w:autoSpaceDE w:val="0"/>
              <w:autoSpaceDN w:val="0"/>
              <w:adjustRightInd w:val="0"/>
              <w:spacing w:line="360" w:lineRule="auto"/>
              <w:ind w:firstLine="480" w:firstLineChars="200"/>
              <w:jc w:val="both"/>
              <w:rPr>
                <w:rFonts w:hint="default" w:cs="Times New Roman"/>
                <w:color w:val="auto"/>
                <w:highlight w:val="none"/>
                <w:lang w:val="en-US" w:eastAsia="zh-CN"/>
              </w:rPr>
            </w:pPr>
            <w:r>
              <w:rPr>
                <w:rFonts w:hint="eastAsia" w:cs="Times New Roman"/>
                <w:color w:val="auto"/>
                <w:highlight w:val="none"/>
                <w:lang w:val="en-US" w:eastAsia="zh-CN"/>
              </w:rPr>
              <w:t>项目</w:t>
            </w:r>
            <w:r>
              <w:rPr>
                <w:rFonts w:hint="eastAsia"/>
                <w:color w:val="auto"/>
                <w:highlight w:val="none"/>
                <w:lang w:val="en-US" w:eastAsia="zh-CN"/>
              </w:rPr>
              <w:t>旁流过滤装置滤料总装填量约 800 kg，每 3 年更换一次，年产生废滤料树脂约 0.27t，主要成分包括石英砂杂质、废RO膜等，</w:t>
            </w:r>
            <w:r>
              <w:rPr>
                <w:rFonts w:hint="default" w:ascii="Times New Roman" w:hAnsi="Times New Roman" w:eastAsia="宋体" w:cs="Times New Roman"/>
                <w:color w:val="auto"/>
                <w:szCs w:val="24"/>
                <w:highlight w:val="none"/>
                <w:lang w:val="en-US" w:eastAsia="zh-CN"/>
              </w:rPr>
              <w:t>根据</w:t>
            </w:r>
            <w:r>
              <w:rPr>
                <w:rFonts w:hint="default" w:ascii="Times New Roman" w:hAnsi="Times New Roman" w:eastAsia="宋体" w:cs="Times New Roman"/>
                <w:color w:val="auto"/>
                <w:szCs w:val="24"/>
                <w:highlight w:val="none"/>
              </w:rPr>
              <w:t>《固体废物分类与代码》（</w:t>
            </w:r>
            <w:r>
              <w:rPr>
                <w:rFonts w:hint="default" w:ascii="Times New Roman" w:hAnsi="Times New Roman" w:eastAsia="宋体" w:cs="Times New Roman"/>
                <w:color w:val="auto"/>
                <w:szCs w:val="24"/>
                <w:highlight w:val="none"/>
                <w:lang w:val="en-US" w:eastAsia="zh-CN"/>
              </w:rPr>
              <w:t>公告 2024年 第4号</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判定，</w:t>
            </w:r>
            <w:r>
              <w:rPr>
                <w:rFonts w:hint="eastAsia"/>
                <w:color w:val="auto"/>
                <w:highlight w:val="none"/>
                <w:lang w:val="en-US" w:eastAsia="zh-CN"/>
              </w:rPr>
              <w:t>属于一般工业固体废物，废物种类为“SW59其他工业固体废物-非特定行业-废过滤材料”，代码为900-009-S59 ，收集后交由专业单位处置。</w:t>
            </w:r>
          </w:p>
          <w:p w14:paraId="1D049572">
            <w:pPr>
              <w:keepNext/>
              <w:keepLines/>
              <w:numPr>
                <w:ilvl w:val="4"/>
                <w:numId w:val="0"/>
              </w:numPr>
              <w:tabs>
                <w:tab w:val="left" w:pos="0"/>
              </w:tabs>
              <w:ind w:firstLine="480" w:firstLineChars="200"/>
              <w:outlineLvl w:val="4"/>
              <w:rPr>
                <w:b/>
                <w:bCs/>
                <w:color w:val="auto"/>
                <w:highlight w:val="none"/>
              </w:rPr>
            </w:pPr>
            <w:r>
              <w:rPr>
                <w:b/>
                <w:bCs/>
                <w:color w:val="auto"/>
                <w:highlight w:val="none"/>
              </w:rPr>
              <w:t>（</w:t>
            </w:r>
            <w:r>
              <w:rPr>
                <w:rFonts w:hint="eastAsia"/>
                <w:b/>
                <w:bCs/>
                <w:color w:val="auto"/>
                <w:highlight w:val="none"/>
              </w:rPr>
              <w:t>2</w:t>
            </w:r>
            <w:r>
              <w:rPr>
                <w:b/>
                <w:bCs/>
                <w:color w:val="auto"/>
                <w:highlight w:val="none"/>
              </w:rPr>
              <w:t>）危险废物</w:t>
            </w:r>
          </w:p>
          <w:p w14:paraId="6F9F87C8">
            <w:pPr>
              <w:pStyle w:val="26"/>
              <w:ind w:firstLine="480"/>
              <w:rPr>
                <w:color w:val="auto"/>
                <w:highlight w:val="none"/>
              </w:rPr>
            </w:pPr>
            <w:r>
              <w:rPr>
                <w:color w:val="auto"/>
                <w:highlight w:val="none"/>
              </w:rPr>
              <w:t>本项目产生的危险废物为生产机械检修产生的废油桶</w:t>
            </w:r>
            <w:r>
              <w:rPr>
                <w:rFonts w:hint="eastAsia"/>
                <w:color w:val="auto"/>
                <w:highlight w:val="none"/>
              </w:rPr>
              <w:t>、</w:t>
            </w:r>
            <w:r>
              <w:rPr>
                <w:color w:val="auto"/>
                <w:highlight w:val="none"/>
              </w:rPr>
              <w:t>废</w:t>
            </w:r>
            <w:r>
              <w:rPr>
                <w:rFonts w:hint="eastAsia"/>
                <w:color w:val="auto"/>
                <w:highlight w:val="none"/>
              </w:rPr>
              <w:t>机</w:t>
            </w:r>
            <w:r>
              <w:rPr>
                <w:color w:val="auto"/>
                <w:highlight w:val="none"/>
              </w:rPr>
              <w:t>油</w:t>
            </w:r>
            <w:r>
              <w:rPr>
                <w:rFonts w:hint="eastAsia"/>
                <w:color w:val="auto"/>
                <w:highlight w:val="none"/>
              </w:rPr>
              <w:t>、</w:t>
            </w:r>
            <w:r>
              <w:rPr>
                <w:color w:val="auto"/>
                <w:highlight w:val="none"/>
              </w:rPr>
              <w:t>含油</w:t>
            </w:r>
            <w:r>
              <w:rPr>
                <w:rFonts w:hint="eastAsia"/>
                <w:color w:val="auto"/>
                <w:highlight w:val="none"/>
              </w:rPr>
              <w:t>废</w:t>
            </w:r>
            <w:r>
              <w:rPr>
                <w:color w:val="auto"/>
                <w:highlight w:val="none"/>
              </w:rPr>
              <w:t>抹布</w:t>
            </w:r>
            <w:r>
              <w:rPr>
                <w:rFonts w:hint="eastAsia"/>
                <w:color w:val="auto"/>
                <w:highlight w:val="none"/>
              </w:rPr>
              <w:t>、</w:t>
            </w:r>
            <w:r>
              <w:rPr>
                <w:color w:val="auto"/>
                <w:highlight w:val="none"/>
              </w:rPr>
              <w:t>废包装桶</w:t>
            </w:r>
            <w:r>
              <w:rPr>
                <w:rFonts w:hint="eastAsia"/>
                <w:color w:val="auto"/>
                <w:highlight w:val="none"/>
              </w:rPr>
              <w:t>、废烧碱包装袋、废柴油桶</w:t>
            </w:r>
            <w:r>
              <w:rPr>
                <w:rFonts w:hint="eastAsia"/>
                <w:color w:val="auto"/>
                <w:highlight w:val="none"/>
                <w:lang w:eastAsia="zh-CN"/>
              </w:rPr>
              <w:t>、</w:t>
            </w:r>
            <w:r>
              <w:rPr>
                <w:rFonts w:hint="eastAsia"/>
                <w:color w:val="auto"/>
                <w:highlight w:val="none"/>
                <w:lang w:val="en-US" w:eastAsia="zh-CN"/>
              </w:rPr>
              <w:t>废活性炭、废催化剂、喷淋沉渣、废过滤棉、废焦油、电捕焦油器冲洗废液</w:t>
            </w:r>
            <w:r>
              <w:rPr>
                <w:rFonts w:hint="eastAsia"/>
                <w:color w:val="auto"/>
                <w:highlight w:val="none"/>
              </w:rPr>
              <w:t>。</w:t>
            </w:r>
            <w:r>
              <w:rPr>
                <w:color w:val="auto"/>
                <w:highlight w:val="none"/>
              </w:rPr>
              <w:t>危险废物类别根据《国家危险废物名录》（2025年版）进行辨识，分类收集后委托危险废物资质单位处理。</w:t>
            </w:r>
          </w:p>
          <w:p w14:paraId="358CE3E1">
            <w:pPr>
              <w:pStyle w:val="22"/>
              <w:numPr>
                <w:ilvl w:val="5"/>
                <w:numId w:val="0"/>
              </w:numPr>
              <w:ind w:firstLine="480" w:firstLineChars="200"/>
              <w:rPr>
                <w:b/>
                <w:bCs/>
                <w:color w:val="auto"/>
                <w:szCs w:val="24"/>
                <w:highlight w:val="none"/>
              </w:rPr>
            </w:pPr>
            <w:r>
              <w:rPr>
                <w:rFonts w:hint="eastAsia"/>
                <w:b/>
                <w:bCs/>
                <w:color w:val="auto"/>
                <w:szCs w:val="24"/>
                <w:highlight w:val="none"/>
              </w:rPr>
              <w:t>①</w:t>
            </w:r>
            <w:r>
              <w:rPr>
                <w:b/>
                <w:bCs/>
                <w:color w:val="auto"/>
                <w:szCs w:val="24"/>
                <w:highlight w:val="none"/>
              </w:rPr>
              <w:t>废油桶</w:t>
            </w:r>
          </w:p>
          <w:p w14:paraId="1578991C">
            <w:pPr>
              <w:ind w:firstLine="480" w:firstLineChars="200"/>
              <w:rPr>
                <w:color w:val="auto"/>
                <w:highlight w:val="none"/>
              </w:rPr>
            </w:pPr>
            <w:r>
              <w:rPr>
                <w:rFonts w:hint="eastAsia"/>
                <w:color w:val="auto"/>
                <w:highlight w:val="none"/>
              </w:rPr>
              <w:t>废油桶主要包括废机油</w:t>
            </w:r>
            <w:r>
              <w:rPr>
                <w:color w:val="auto"/>
                <w:highlight w:val="none"/>
              </w:rPr>
              <w:t>保养设备设施会用到机油，用量很少，润滑油规格有：200L/桶（本项目使用5桶），润滑油空桶按5kg/桶计算。则本项目产生废机油空桶约0.025t/a。根据《国家危险废物名录》（2025年版），废机油空桶属于《国家危险废物名录》（2025年版）中编号为HW08危险废物，废物代码900-249-08“其他生产、销售、使用过程中产生的废矿物油及沾染矿物油的废弃包装物”危险废物，经统一收集后交由有危险废物处理资质的单位处理。</w:t>
            </w:r>
          </w:p>
          <w:p w14:paraId="22BE0D63">
            <w:pPr>
              <w:pStyle w:val="22"/>
              <w:numPr>
                <w:ilvl w:val="5"/>
                <w:numId w:val="0"/>
              </w:numPr>
              <w:ind w:firstLine="480" w:firstLineChars="200"/>
              <w:rPr>
                <w:b/>
                <w:bCs/>
                <w:color w:val="auto"/>
                <w:szCs w:val="24"/>
                <w:highlight w:val="none"/>
              </w:rPr>
            </w:pPr>
            <w:r>
              <w:rPr>
                <w:rFonts w:hint="eastAsia"/>
                <w:b/>
                <w:bCs/>
                <w:color w:val="auto"/>
                <w:highlight w:val="none"/>
              </w:rPr>
              <w:t>②</w:t>
            </w:r>
            <w:r>
              <w:rPr>
                <w:b/>
                <w:bCs/>
                <w:color w:val="auto"/>
                <w:szCs w:val="24"/>
                <w:highlight w:val="none"/>
              </w:rPr>
              <w:t>废机油</w:t>
            </w:r>
          </w:p>
          <w:p w14:paraId="4BB46F5F">
            <w:pPr>
              <w:pStyle w:val="2"/>
              <w:ind w:firstLine="480" w:firstLineChars="200"/>
              <w:rPr>
                <w:rFonts w:ascii="Times New Roman" w:cs="Times New Roman"/>
                <w:color w:val="auto"/>
                <w:highlight w:val="none"/>
              </w:rPr>
            </w:pPr>
            <w:r>
              <w:rPr>
                <w:rFonts w:ascii="Times New Roman" w:cs="Times New Roman"/>
                <w:color w:val="auto"/>
                <w:highlight w:val="none"/>
              </w:rPr>
              <w:t>本项目在进行设备保养的过程中会产生废机油，废机油年产量约为</w:t>
            </w:r>
            <w:r>
              <w:rPr>
                <w:rFonts w:ascii="Times New Roman" w:cs="Times New Roman"/>
                <w:color w:val="auto"/>
                <w:kern w:val="0"/>
                <w:highlight w:val="none"/>
              </w:rPr>
              <w:t>0.90t/a</w:t>
            </w:r>
            <w:r>
              <w:rPr>
                <w:rFonts w:hint="eastAsia" w:ascii="Times New Roman" w:cs="Times New Roman"/>
                <w:color w:val="auto"/>
                <w:kern w:val="0"/>
                <w:highlight w:val="none"/>
              </w:rPr>
              <w:t>。</w:t>
            </w:r>
            <w:r>
              <w:rPr>
                <w:rFonts w:ascii="Times New Roman" w:cs="Times New Roman"/>
                <w:color w:val="auto"/>
                <w:highlight w:val="none"/>
              </w:rPr>
              <w:t>根据《国家危险废物名录》（2025年版），废机油</w:t>
            </w:r>
            <w:r>
              <w:rPr>
                <w:rFonts w:hint="eastAsia" w:ascii="Times New Roman" w:cs="Times New Roman"/>
                <w:color w:val="auto"/>
                <w:highlight w:val="none"/>
              </w:rPr>
              <w:t>与废柴油桶</w:t>
            </w:r>
            <w:r>
              <w:rPr>
                <w:rFonts w:ascii="Times New Roman" w:cs="Times New Roman"/>
                <w:color w:val="auto"/>
                <w:highlight w:val="none"/>
              </w:rPr>
              <w:t>属于“HW08废矿物油与含矿物油废物”类别中代码为900-249-08“其他生产、销售、使用过程中产生的废矿物油及沾染矿物油的废弃包装物”危险废物，经统一收集后交由有危险废物处理资质的单位处理。</w:t>
            </w:r>
          </w:p>
          <w:p w14:paraId="252A5215">
            <w:pPr>
              <w:pStyle w:val="2"/>
              <w:ind w:firstLine="480" w:firstLineChars="200"/>
              <w:rPr>
                <w:rFonts w:ascii="Times New Roman" w:cs="Times New Roman"/>
                <w:b/>
                <w:bCs/>
                <w:color w:val="auto"/>
                <w:highlight w:val="none"/>
              </w:rPr>
            </w:pPr>
            <w:r>
              <w:rPr>
                <w:rFonts w:hint="eastAsia" w:ascii="Times New Roman" w:cs="Times New Roman"/>
                <w:b/>
                <w:bCs/>
                <w:color w:val="auto"/>
                <w:highlight w:val="none"/>
              </w:rPr>
              <w:t>③</w:t>
            </w:r>
            <w:r>
              <w:rPr>
                <w:rFonts w:ascii="Times New Roman" w:cs="Times New Roman"/>
                <w:b/>
                <w:bCs/>
                <w:color w:val="auto"/>
                <w:highlight w:val="none"/>
              </w:rPr>
              <w:t>废</w:t>
            </w:r>
            <w:r>
              <w:rPr>
                <w:rFonts w:hint="eastAsia" w:ascii="Times New Roman" w:cs="Times New Roman"/>
                <w:b/>
                <w:bCs/>
                <w:color w:val="auto"/>
                <w:highlight w:val="none"/>
              </w:rPr>
              <w:t>pH调整剂</w:t>
            </w:r>
            <w:r>
              <w:rPr>
                <w:rFonts w:ascii="Times New Roman" w:cs="Times New Roman"/>
                <w:b/>
                <w:bCs/>
                <w:color w:val="auto"/>
                <w:highlight w:val="none"/>
              </w:rPr>
              <w:t>包装桶</w:t>
            </w:r>
          </w:p>
          <w:p w14:paraId="2202EDA0">
            <w:pPr>
              <w:pStyle w:val="2"/>
              <w:ind w:firstLine="480" w:firstLineChars="200"/>
              <w:rPr>
                <w:rFonts w:ascii="Times New Roman" w:cs="Times New Roman"/>
                <w:color w:val="auto"/>
                <w:highlight w:val="none"/>
              </w:rPr>
            </w:pPr>
            <w:r>
              <w:rPr>
                <w:rFonts w:ascii="Times New Roman" w:cs="Times New Roman"/>
                <w:color w:val="auto"/>
                <w:highlight w:val="none"/>
              </w:rPr>
              <w:t>项目自建污水处理站使用pH调整剂调节废水pH（70%硫酸），故会产生废pH调整剂包装桶，项目年使用</w:t>
            </w:r>
            <w:r>
              <w:rPr>
                <w:rFonts w:hint="eastAsia" w:ascii="Times New Roman" w:cs="Times New Roman"/>
                <w:color w:val="auto"/>
                <w:highlight w:val="none"/>
              </w:rPr>
              <w:t>28</w:t>
            </w:r>
            <w:r>
              <w:rPr>
                <w:rFonts w:ascii="Times New Roman" w:cs="Times New Roman"/>
                <w:color w:val="auto"/>
                <w:highlight w:val="none"/>
              </w:rPr>
              <w:t>吨pH调整剂，包装规格为25kg/桶，年使用</w:t>
            </w:r>
            <w:r>
              <w:rPr>
                <w:rFonts w:hint="eastAsia" w:ascii="Times New Roman" w:cs="Times New Roman"/>
                <w:color w:val="auto"/>
                <w:highlight w:val="none"/>
              </w:rPr>
              <w:t>112</w:t>
            </w:r>
            <w:r>
              <w:rPr>
                <w:rFonts w:ascii="Times New Roman" w:cs="Times New Roman"/>
                <w:color w:val="auto"/>
                <w:highlight w:val="none"/>
              </w:rPr>
              <w:t>桶，单个废桶重1kg，故会产生废pH调整剂包装桶0.</w:t>
            </w:r>
            <w:r>
              <w:rPr>
                <w:rFonts w:hint="eastAsia" w:ascii="Times New Roman" w:cs="Times New Roman"/>
                <w:color w:val="auto"/>
                <w:highlight w:val="none"/>
              </w:rPr>
              <w:t>1</w:t>
            </w:r>
            <w:r>
              <w:rPr>
                <w:rFonts w:hint="eastAsia" w:ascii="Times New Roman" w:cs="Times New Roman"/>
                <w:color w:val="auto"/>
                <w:highlight w:val="none"/>
                <w:lang w:val="en-US" w:eastAsia="zh-CN"/>
              </w:rPr>
              <w:t>12</w:t>
            </w:r>
            <w:r>
              <w:rPr>
                <w:rFonts w:ascii="Times New Roman" w:cs="Times New Roman"/>
                <w:color w:val="auto"/>
                <w:highlight w:val="none"/>
              </w:rPr>
              <w:t>t/a。根据《国家危险废物名录》（2025年版），废pH调整剂包装桶属于《国家危险废物名录》（2025年版）中编号为HW49危险废物，废物代码900-041-49，经统一收集后交由有危险废物处理资质的单位处理。</w:t>
            </w:r>
          </w:p>
          <w:p w14:paraId="12F40AD3">
            <w:pPr>
              <w:ind w:firstLine="480" w:firstLineChars="200"/>
              <w:rPr>
                <w:b/>
                <w:bCs/>
                <w:color w:val="auto"/>
                <w:highlight w:val="none"/>
              </w:rPr>
            </w:pPr>
            <w:r>
              <w:rPr>
                <w:rFonts w:hint="eastAsia"/>
                <w:b/>
                <w:bCs/>
                <w:color w:val="auto"/>
                <w:highlight w:val="none"/>
              </w:rPr>
              <w:t>④</w:t>
            </w:r>
            <w:r>
              <w:rPr>
                <w:b/>
                <w:bCs/>
                <w:color w:val="auto"/>
                <w:highlight w:val="none"/>
              </w:rPr>
              <w:t>含油废抹布</w:t>
            </w:r>
          </w:p>
          <w:p w14:paraId="7537F0C6">
            <w:pPr>
              <w:pStyle w:val="2"/>
              <w:ind w:firstLine="480" w:firstLineChars="200"/>
              <w:rPr>
                <w:rFonts w:ascii="Times New Roman" w:cs="Times New Roman"/>
                <w:color w:val="auto"/>
                <w:highlight w:val="none"/>
              </w:rPr>
            </w:pPr>
            <w:r>
              <w:rPr>
                <w:rFonts w:ascii="Times New Roman" w:cs="Times New Roman"/>
                <w:color w:val="auto"/>
                <w:highlight w:val="none"/>
              </w:rPr>
              <w:t>项目生产过程中会产生一定量的含矿物油及含油墨废抹布及手套，根据建设单位提供的资料，其产生量约0.05t/a，根据《国家危险废物名录》（2025年版），其废物类别属于：HW49其他废物，废物代码：900-041-49，拟收集于危废暂存间定期交由有危险废物处置资质的单位进行处置。</w:t>
            </w:r>
          </w:p>
          <w:p w14:paraId="7BE5C269">
            <w:pPr>
              <w:pStyle w:val="2"/>
              <w:ind w:firstLine="480" w:firstLineChars="200"/>
              <w:rPr>
                <w:rFonts w:ascii="Times New Roman" w:cs="Times New Roman"/>
                <w:b/>
                <w:bCs/>
                <w:color w:val="auto"/>
                <w:highlight w:val="none"/>
              </w:rPr>
            </w:pPr>
            <w:r>
              <w:rPr>
                <w:rFonts w:hint="eastAsia" w:ascii="Times New Roman" w:cs="Times New Roman"/>
                <w:b/>
                <w:bCs/>
                <w:color w:val="auto"/>
                <w:highlight w:val="none"/>
              </w:rPr>
              <w:t>⑤废烧碱包装袋</w:t>
            </w:r>
          </w:p>
          <w:p w14:paraId="5E2EA47F">
            <w:pPr>
              <w:pStyle w:val="2"/>
              <w:ind w:firstLine="480" w:firstLineChars="200"/>
              <w:rPr>
                <w:rFonts w:ascii="Times New Roman" w:cs="Times New Roman"/>
                <w:color w:val="auto"/>
                <w:highlight w:val="none"/>
              </w:rPr>
            </w:pPr>
            <w:r>
              <w:rPr>
                <w:rFonts w:hint="eastAsia" w:ascii="Times New Roman" w:cs="Times New Roman"/>
                <w:color w:val="auto"/>
                <w:highlight w:val="none"/>
              </w:rPr>
              <w:t>项目年使用烧碱15吨，包装规格为50kg/袋，每个袋子按0.5kg计，则废烧碱包装袋产生0.15t/a。</w:t>
            </w:r>
            <w:r>
              <w:rPr>
                <w:rFonts w:ascii="Times New Roman" w:cs="Times New Roman"/>
                <w:color w:val="auto"/>
                <w:highlight w:val="none"/>
              </w:rPr>
              <w:t>根据《国家危险废物名录》（2025年版），</w:t>
            </w:r>
            <w:r>
              <w:rPr>
                <w:rFonts w:hint="eastAsia" w:ascii="Times New Roman" w:cs="Times New Roman"/>
                <w:color w:val="auto"/>
                <w:highlight w:val="none"/>
              </w:rPr>
              <w:t>HW35废碱（代码900-399-35），</w:t>
            </w:r>
            <w:r>
              <w:rPr>
                <w:rFonts w:ascii="Times New Roman" w:cs="Times New Roman"/>
                <w:color w:val="auto"/>
                <w:highlight w:val="none"/>
              </w:rPr>
              <w:t>经统一收集后交由有危险废物处理资质的单位处理。</w:t>
            </w:r>
          </w:p>
          <w:p w14:paraId="3B0E948E">
            <w:pPr>
              <w:pStyle w:val="2"/>
              <w:ind w:firstLine="480" w:firstLineChars="200"/>
              <w:rPr>
                <w:rFonts w:ascii="Times New Roman" w:cs="Times New Roman"/>
                <w:b/>
                <w:bCs/>
                <w:color w:val="auto"/>
                <w:highlight w:val="none"/>
              </w:rPr>
            </w:pPr>
            <w:r>
              <w:rPr>
                <w:rFonts w:hint="eastAsia" w:ascii="Times New Roman" w:cs="Times New Roman"/>
                <w:b/>
                <w:bCs/>
                <w:color w:val="auto"/>
                <w:highlight w:val="none"/>
              </w:rPr>
              <w:t>⑥废柴油桶</w:t>
            </w:r>
          </w:p>
          <w:p w14:paraId="35888070">
            <w:pPr>
              <w:pStyle w:val="2"/>
              <w:ind w:firstLine="480" w:firstLineChars="200"/>
              <w:rPr>
                <w:rFonts w:ascii="Times New Roman" w:cs="Times New Roman"/>
                <w:color w:val="auto"/>
                <w:highlight w:val="none"/>
              </w:rPr>
            </w:pPr>
            <w:r>
              <w:rPr>
                <w:rFonts w:hint="eastAsia" w:ascii="Times New Roman" w:cs="Times New Roman"/>
                <w:color w:val="auto"/>
                <w:highlight w:val="none"/>
              </w:rPr>
              <w:t>柴油年使用量为0.85t/a，油桶规格为200L/桶计，柴油密度按0.85 t/m³计，则废柴油桶年产生约5个（0.025kg/个），废柴油桶产生量为0.125t/a，</w:t>
            </w:r>
            <w:r>
              <w:rPr>
                <w:rFonts w:ascii="Times New Roman" w:cs="Times New Roman"/>
                <w:color w:val="auto"/>
                <w:highlight w:val="none"/>
              </w:rPr>
              <w:t>根据《国家危险废物名录》（2025年版），</w:t>
            </w:r>
            <w:r>
              <w:rPr>
                <w:rFonts w:hint="eastAsia" w:ascii="Times New Roman" w:cs="Times New Roman"/>
                <w:color w:val="auto"/>
                <w:highlight w:val="none"/>
              </w:rPr>
              <w:t>废柴油桶</w:t>
            </w:r>
            <w:r>
              <w:rPr>
                <w:rFonts w:ascii="Times New Roman" w:cs="Times New Roman"/>
                <w:color w:val="auto"/>
                <w:highlight w:val="none"/>
              </w:rPr>
              <w:t>属于“HW08废矿物油与含矿物油废物”类别中代码为900-249-08“其他生产、销售、使用过程中产生的废矿物油及沾染矿物油的废弃包装物”危险废物，经统一收集后交由有危险废物处理资质的单位处理。</w:t>
            </w:r>
          </w:p>
          <w:p w14:paraId="011231C1">
            <w:pPr>
              <w:pStyle w:val="2"/>
              <w:ind w:firstLine="480" w:firstLineChars="200"/>
              <w:rPr>
                <w:rFonts w:hint="eastAsia" w:ascii="Times New Roman" w:cs="Times New Roman"/>
                <w:b/>
                <w:bCs/>
                <w:color w:val="auto"/>
                <w:highlight w:val="none"/>
                <w:lang w:val="en-US" w:eastAsia="zh-CN"/>
              </w:rPr>
            </w:pPr>
            <w:r>
              <w:rPr>
                <w:rFonts w:hint="eastAsia" w:ascii="Times New Roman" w:cs="Times New Roman"/>
                <w:b/>
                <w:bCs/>
                <w:color w:val="auto"/>
                <w:highlight w:val="none"/>
                <w:lang w:val="en-US" w:eastAsia="zh-CN"/>
              </w:rPr>
              <w:t>⑦废活性炭</w:t>
            </w:r>
          </w:p>
          <w:p w14:paraId="2C6216F2">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本项目采用电捕焦油+气旋混动喷淋+</w:t>
            </w:r>
            <w:r>
              <w:rPr>
                <w:rFonts w:hint="eastAsia" w:cs="Times New Roman"/>
                <w:color w:val="auto"/>
                <w:kern w:val="2"/>
                <w:sz w:val="24"/>
                <w:szCs w:val="24"/>
                <w:highlight w:val="none"/>
                <w:lang w:val="en-US" w:eastAsia="zh-CN" w:bidi="ar-SA"/>
              </w:rPr>
              <w:t>干式过滤+活性炭吸附脱附+催化燃烧+活性炭吸附</w:t>
            </w:r>
            <w:r>
              <w:rPr>
                <w:rFonts w:hint="default" w:ascii="Times New Roman" w:hAnsi="Times New Roman" w:eastAsia="宋体" w:cs="Times New Roman"/>
                <w:color w:val="auto"/>
                <w:kern w:val="2"/>
                <w:sz w:val="24"/>
                <w:szCs w:val="24"/>
                <w:highlight w:val="none"/>
                <w:lang w:val="en-US" w:eastAsia="zh-CN" w:bidi="ar-SA"/>
              </w:rPr>
              <w:t xml:space="preserve">处理 VOCs 废气，设计风量 </w:t>
            </w:r>
            <w:r>
              <w:rPr>
                <w:rFonts w:hint="eastAsia" w:cs="Times New Roman"/>
                <w:color w:val="auto"/>
                <w:kern w:val="2"/>
                <w:sz w:val="24"/>
                <w:szCs w:val="24"/>
                <w:highlight w:val="none"/>
                <w:lang w:val="en-US" w:eastAsia="zh-CN" w:bidi="ar-SA"/>
              </w:rPr>
              <w:t>60000</w:t>
            </w:r>
            <w:r>
              <w:rPr>
                <w:rFonts w:hint="default" w:ascii="Times New Roman" w:hAnsi="Times New Roman" w:eastAsia="宋体" w:cs="Times New Roman"/>
                <w:color w:val="auto"/>
                <w:kern w:val="2"/>
                <w:sz w:val="24"/>
                <w:szCs w:val="24"/>
                <w:highlight w:val="none"/>
                <w:lang w:val="en-US" w:eastAsia="zh-CN" w:bidi="ar-SA"/>
              </w:rPr>
              <w:t xml:space="preserve">m³/h，年运行 </w:t>
            </w:r>
            <w:r>
              <w:rPr>
                <w:rFonts w:hint="eastAsia" w:cs="Times New Roman"/>
                <w:color w:val="auto"/>
                <w:kern w:val="2"/>
                <w:sz w:val="24"/>
                <w:szCs w:val="24"/>
                <w:highlight w:val="none"/>
                <w:lang w:val="en-US" w:eastAsia="zh-CN" w:bidi="ar-SA"/>
              </w:rPr>
              <w:t>7920</w:t>
            </w:r>
            <w:r>
              <w:rPr>
                <w:rFonts w:hint="default" w:ascii="Times New Roman" w:hAnsi="Times New Roman" w:eastAsia="宋体" w:cs="Times New Roman"/>
                <w:color w:val="auto"/>
                <w:kern w:val="2"/>
                <w:sz w:val="24"/>
                <w:szCs w:val="24"/>
                <w:highlight w:val="none"/>
                <w:lang w:val="en-US" w:eastAsia="zh-CN" w:bidi="ar-SA"/>
              </w:rPr>
              <w:t>h，进口 VOCs 浓度低于 200mg/m³</w:t>
            </w:r>
            <w:r>
              <w:rPr>
                <w:rFonts w:hint="eastAsia" w:ascii="Times New Roman" w:hAnsi="Times New Roman" w:cs="Times New Roman"/>
                <w:color w:val="auto"/>
                <w:kern w:val="2"/>
                <w:sz w:val="24"/>
                <w:szCs w:val="24"/>
                <w:highlight w:val="none"/>
                <w:lang w:val="en-US" w:eastAsia="zh-CN" w:bidi="ar-SA"/>
              </w:rPr>
              <w:t>，蜂窝</w:t>
            </w:r>
            <w:r>
              <w:rPr>
                <w:rFonts w:hint="default" w:ascii="Times New Roman" w:hAnsi="Times New Roman" w:eastAsia="宋体" w:cs="Times New Roman"/>
                <w:color w:val="auto"/>
                <w:kern w:val="2"/>
                <w:sz w:val="24"/>
                <w:szCs w:val="24"/>
                <w:highlight w:val="none"/>
                <w:lang w:val="en-US" w:eastAsia="zh-CN" w:bidi="ar-SA"/>
              </w:rPr>
              <w:t>活性炭</w:t>
            </w:r>
            <w:r>
              <w:rPr>
                <w:rFonts w:hint="eastAsia" w:ascii="Times New Roman" w:hAnsi="Times New Roman" w:cs="Times New Roman"/>
                <w:color w:val="auto"/>
                <w:kern w:val="2"/>
                <w:sz w:val="24"/>
                <w:szCs w:val="24"/>
                <w:highlight w:val="none"/>
                <w:lang w:val="en-US" w:eastAsia="zh-CN" w:bidi="ar-SA"/>
              </w:rPr>
              <w:t>装填密度</w:t>
            </w:r>
            <w:r>
              <w:rPr>
                <w:rFonts w:hint="default" w:ascii="Times New Roman" w:hAnsi="Times New Roman" w:eastAsia="宋体" w:cs="Times New Roman"/>
                <w:color w:val="auto"/>
                <w:kern w:val="2"/>
                <w:sz w:val="24"/>
                <w:szCs w:val="24"/>
                <w:highlight w:val="none"/>
                <w:lang w:val="en-US" w:eastAsia="zh-CN" w:bidi="ar-SA"/>
              </w:rPr>
              <w:t>为</w:t>
            </w:r>
            <w:r>
              <w:rPr>
                <w:rFonts w:hint="eastAsia"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50kg/m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cs="Times New Roman"/>
                <w:color w:val="auto"/>
                <w:kern w:val="2"/>
                <w:sz w:val="24"/>
                <w:szCs w:val="24"/>
                <w:highlight w:val="none"/>
                <w:lang w:val="en-US" w:eastAsia="zh-CN" w:bidi="ar-SA"/>
              </w:rPr>
              <w:t>。蜂窝炭规格100×100×100mm</w:t>
            </w:r>
            <w:r>
              <w:rPr>
                <w:rFonts w:hint="default" w:ascii="Times New Roman" w:hAnsi="Times New Roman" w:eastAsia="宋体" w:cs="Times New Roman"/>
                <w:color w:val="auto"/>
                <w:kern w:val="2"/>
                <w:sz w:val="24"/>
                <w:szCs w:val="24"/>
                <w:highlight w:val="none"/>
                <w:lang w:val="en-US" w:eastAsia="zh-CN" w:bidi="ar-SA"/>
              </w:rPr>
              <w:t>根据《吸附法工业有机废气治理工程技术规范》HJ 2026-2013，蜂窝活性炭吸附塔过滤风速≤1.2 m/s。</w:t>
            </w:r>
          </w:p>
          <w:p w14:paraId="5A23CB5B">
            <w:pPr>
              <w:keepNext/>
              <w:keepLines/>
              <w:widowControl w:val="0"/>
              <w:numPr>
                <w:ilvl w:val="5"/>
                <w:numId w:val="0"/>
              </w:numPr>
              <w:spacing w:line="360" w:lineRule="auto"/>
              <w:ind w:firstLine="480" w:firstLineChars="200"/>
              <w:jc w:val="both"/>
              <w:outlineLvl w:val="5"/>
              <w:rPr>
                <w:rFonts w:hint="eastAsia" w:ascii="Times New Roman" w:hAnsi="Times New Roman"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废活性炭产生量核算如下：</w:t>
            </w:r>
            <w:r>
              <w:rPr>
                <w:rFonts w:hint="eastAsia" w:ascii="Times New Roman" w:hAnsi="Times New Roman" w:eastAsia="宋体" w:cs="Times New Roman"/>
                <w:color w:val="auto"/>
                <w:kern w:val="2"/>
                <w:sz w:val="24"/>
                <w:szCs w:val="24"/>
                <w:highlight w:val="none"/>
                <w:lang w:val="en-US" w:eastAsia="zh-CN" w:bidi="ar-SA"/>
              </w:rPr>
              <w:t>废气设施（电捕焦油+气旋混动喷淋+</w:t>
            </w:r>
            <w:r>
              <w:rPr>
                <w:rFonts w:hint="eastAsia" w:cs="Times New Roman"/>
                <w:color w:val="auto"/>
                <w:kern w:val="2"/>
                <w:sz w:val="24"/>
                <w:szCs w:val="24"/>
                <w:highlight w:val="none"/>
                <w:lang w:val="en-US" w:eastAsia="zh-CN" w:bidi="ar-SA"/>
              </w:rPr>
              <w:t>干式过滤+活性炭吸附脱附+催化燃烧+活性炭吸附</w:t>
            </w:r>
            <w:r>
              <w:rPr>
                <w:rFonts w:hint="eastAsia" w:ascii="Times New Roman" w:hAnsi="Times New Roman" w:eastAsia="宋体" w:cs="Times New Roman"/>
                <w:color w:val="auto"/>
                <w:kern w:val="2"/>
                <w:sz w:val="24"/>
                <w:szCs w:val="24"/>
                <w:highlight w:val="none"/>
                <w:lang w:val="en-US" w:eastAsia="zh-CN" w:bidi="ar-SA"/>
              </w:rPr>
              <w:t>）配套</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个活性炭吸附床</w:t>
            </w:r>
            <w:r>
              <w:rPr>
                <w:rFonts w:hint="eastAsia" w:cs="Times New Roman"/>
                <w:color w:val="auto"/>
                <w:kern w:val="2"/>
                <w:sz w:val="24"/>
                <w:szCs w:val="24"/>
                <w:highlight w:val="none"/>
                <w:lang w:val="en-US" w:eastAsia="zh-CN" w:bidi="ar-SA"/>
              </w:rPr>
              <w:t>（4吸1脱+1单级吸附）</w:t>
            </w:r>
            <w:r>
              <w:rPr>
                <w:rFonts w:hint="eastAsia" w:ascii="Times New Roman" w:hAnsi="Times New Roman" w:eastAsia="宋体" w:cs="Times New Roman"/>
                <w:color w:val="auto"/>
                <w:kern w:val="2"/>
                <w:sz w:val="24"/>
                <w:szCs w:val="24"/>
                <w:highlight w:val="none"/>
                <w:lang w:val="en-US" w:eastAsia="zh-CN" w:bidi="ar-SA"/>
              </w:rPr>
              <w:t>，外形尺寸</w:t>
            </w:r>
            <w:r>
              <w:rPr>
                <w:rFonts w:hint="eastAsia" w:cs="Times New Roman"/>
                <w:color w:val="auto"/>
                <w:kern w:val="2"/>
                <w:sz w:val="24"/>
                <w:szCs w:val="24"/>
                <w:highlight w:val="none"/>
                <w:lang w:val="en-US" w:eastAsia="zh-CN" w:bidi="ar-SA"/>
              </w:rPr>
              <w:t>均</w:t>
            </w:r>
            <w:r>
              <w:rPr>
                <w:rFonts w:hint="eastAsia" w:ascii="Times New Roman" w:hAnsi="Times New Roman" w:eastAsia="宋体" w:cs="Times New Roman"/>
                <w:color w:val="auto"/>
                <w:kern w:val="2"/>
                <w:sz w:val="24"/>
                <w:szCs w:val="24"/>
                <w:highlight w:val="none"/>
                <w:lang w:val="en-US" w:eastAsia="zh-CN" w:bidi="ar-SA"/>
              </w:rPr>
              <w:t>为2</w:t>
            </w:r>
            <w:r>
              <w:rPr>
                <w:rFonts w:hint="eastAsia" w:cs="Times New Roman"/>
                <w:color w:val="auto"/>
                <w:kern w:val="2"/>
                <w:sz w:val="24"/>
                <w:szCs w:val="24"/>
                <w:highlight w:val="none"/>
                <w:lang w:val="en-US" w:eastAsia="zh-CN" w:bidi="ar-SA"/>
              </w:rPr>
              <w:t>00</w:t>
            </w:r>
            <w:r>
              <w:rPr>
                <w:rFonts w:hint="eastAsia" w:ascii="Times New Roman" w:hAnsi="Times New Roman" w:eastAsia="宋体" w:cs="Times New Roman"/>
                <w:color w:val="auto"/>
                <w:kern w:val="2"/>
                <w:sz w:val="24"/>
                <w:szCs w:val="24"/>
                <w:highlight w:val="none"/>
                <w:lang w:val="en-US" w:eastAsia="zh-CN" w:bidi="ar-SA"/>
              </w:rPr>
              <w:t>0mm*2</w:t>
            </w:r>
            <w:r>
              <w:rPr>
                <w:rFonts w:hint="eastAsia" w:cs="Times New Roman"/>
                <w:color w:val="auto"/>
                <w:kern w:val="2"/>
                <w:sz w:val="24"/>
                <w:szCs w:val="24"/>
                <w:highlight w:val="none"/>
                <w:lang w:val="en-US" w:eastAsia="zh-CN" w:bidi="ar-SA"/>
              </w:rPr>
              <w:t>00</w:t>
            </w:r>
            <w:r>
              <w:rPr>
                <w:rFonts w:hint="eastAsia" w:ascii="Times New Roman" w:hAnsi="Times New Roman" w:eastAsia="宋体" w:cs="Times New Roman"/>
                <w:color w:val="auto"/>
                <w:kern w:val="2"/>
                <w:sz w:val="24"/>
                <w:szCs w:val="24"/>
                <w:highlight w:val="none"/>
                <w:lang w:val="en-US" w:eastAsia="zh-CN" w:bidi="ar-SA"/>
              </w:rPr>
              <w:t>0mm*</w:t>
            </w:r>
            <w:r>
              <w:rPr>
                <w:rFonts w:hint="eastAsia" w:cs="Times New Roman"/>
                <w:color w:val="auto"/>
                <w:kern w:val="2"/>
                <w:sz w:val="24"/>
                <w:szCs w:val="24"/>
                <w:highlight w:val="none"/>
                <w:lang w:val="en-US" w:eastAsia="zh-CN" w:bidi="ar-SA"/>
              </w:rPr>
              <w:t>30</w:t>
            </w:r>
            <w:r>
              <w:rPr>
                <w:rFonts w:hint="eastAsia" w:ascii="Times New Roman" w:hAnsi="Times New Roman" w:eastAsia="宋体" w:cs="Times New Roman"/>
                <w:color w:val="auto"/>
                <w:kern w:val="2"/>
                <w:sz w:val="24"/>
                <w:szCs w:val="24"/>
                <w:highlight w:val="none"/>
                <w:lang w:val="en-US" w:eastAsia="zh-CN" w:bidi="ar-SA"/>
              </w:rPr>
              <w:t>00mm，</w:t>
            </w:r>
            <w:r>
              <w:rPr>
                <w:rFonts w:hint="default" w:ascii="Times New Roman" w:hAnsi="Times New Roman" w:eastAsia="宋体" w:cs="Times New Roman"/>
                <w:color w:val="auto"/>
                <w:kern w:val="2"/>
                <w:sz w:val="24"/>
                <w:szCs w:val="24"/>
                <w:highlight w:val="none"/>
                <w:lang w:val="en-US" w:eastAsia="zh-CN" w:bidi="ar-SA"/>
              </w:rPr>
              <w:t>活性炭填充</w:t>
            </w:r>
            <w:r>
              <w:rPr>
                <w:rFonts w:hint="eastAsia" w:cs="Times New Roman"/>
                <w:color w:val="auto"/>
                <w:kern w:val="2"/>
                <w:sz w:val="24"/>
                <w:szCs w:val="24"/>
                <w:highlight w:val="none"/>
                <w:lang w:val="en-US" w:eastAsia="zh-CN" w:bidi="ar-SA"/>
              </w:rPr>
              <w:t>量为10</w:t>
            </w:r>
            <w:r>
              <w:rPr>
                <w:rFonts w:hint="default" w:ascii="Times New Roman" w:hAnsi="Times New Roman" w:eastAsia="宋体" w:cs="Times New Roman"/>
                <w:color w:val="auto"/>
                <w:kern w:val="2"/>
                <w:sz w:val="24"/>
                <w:szCs w:val="24"/>
                <w:highlight w:val="none"/>
                <w:lang w:val="en-US" w:eastAsia="zh-CN" w:bidi="ar-SA"/>
              </w:rPr>
              <w:t>m</w:t>
            </w:r>
            <w:r>
              <w:rPr>
                <w:rFonts w:hint="eastAsia"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，填充密度0.</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5g/cm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，则活性炭</w:t>
            </w:r>
            <w:r>
              <w:rPr>
                <w:rFonts w:hint="eastAsia" w:cs="Times New Roman"/>
                <w:color w:val="auto"/>
                <w:kern w:val="2"/>
                <w:sz w:val="24"/>
                <w:szCs w:val="24"/>
                <w:highlight w:val="none"/>
                <w:lang w:val="en-US" w:eastAsia="zh-CN" w:bidi="ar-SA"/>
              </w:rPr>
              <w:t>单箱</w:t>
            </w:r>
            <w:r>
              <w:rPr>
                <w:rFonts w:hint="default" w:ascii="Times New Roman" w:hAnsi="Times New Roman" w:eastAsia="宋体" w:cs="Times New Roman"/>
                <w:color w:val="auto"/>
                <w:kern w:val="2"/>
                <w:sz w:val="24"/>
                <w:szCs w:val="24"/>
                <w:highlight w:val="none"/>
                <w:lang w:val="en-US" w:eastAsia="zh-CN" w:bidi="ar-SA"/>
              </w:rPr>
              <w:t>装填量为</w:t>
            </w:r>
            <w:r>
              <w:rPr>
                <w:rFonts w:hint="eastAsia" w:cs="Times New Roman"/>
                <w:color w:val="auto"/>
                <w:kern w:val="2"/>
                <w:sz w:val="24"/>
                <w:szCs w:val="24"/>
                <w:highlight w:val="none"/>
                <w:lang w:val="en-US" w:eastAsia="zh-CN" w:bidi="ar-SA"/>
              </w:rPr>
              <w:t>10</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50=</w:t>
            </w:r>
            <w:r>
              <w:rPr>
                <w:rFonts w:hint="eastAsia" w:cs="Times New Roman"/>
                <w:color w:val="auto"/>
                <w:kern w:val="2"/>
                <w:sz w:val="24"/>
                <w:szCs w:val="24"/>
                <w:highlight w:val="none"/>
                <w:lang w:val="en-US" w:eastAsia="zh-CN" w:bidi="ar-SA"/>
              </w:rPr>
              <w:t>6.5</w:t>
            </w:r>
            <w:r>
              <w:rPr>
                <w:rFonts w:hint="eastAsia" w:ascii="Times New Roman" w:hAnsi="Times New Roman" w:eastAsia="宋体" w:cs="Times New Roman"/>
                <w:color w:val="auto"/>
                <w:kern w:val="2"/>
                <w:sz w:val="24"/>
                <w:szCs w:val="24"/>
                <w:highlight w:val="none"/>
                <w:lang w:val="en-US" w:eastAsia="zh-CN" w:bidi="ar-SA"/>
              </w:rPr>
              <w:t>t。</w:t>
            </w:r>
            <w:r>
              <w:rPr>
                <w:rFonts w:hint="eastAsia" w:cs="Times New Roman"/>
                <w:color w:val="auto"/>
                <w:kern w:val="2"/>
                <w:sz w:val="24"/>
                <w:szCs w:val="24"/>
                <w:highlight w:val="none"/>
                <w:lang w:val="en-US" w:eastAsia="zh-CN" w:bidi="ar-SA"/>
              </w:rPr>
              <w:t>前端吸附脱附单元更换次数按半年一次计，则</w:t>
            </w:r>
            <w:r>
              <w:rPr>
                <w:rFonts w:hint="eastAsia" w:ascii="Times New Roman" w:hAnsi="Times New Roman" w:eastAsia="宋体" w:cs="Times New Roman"/>
                <w:color w:val="auto"/>
                <w:kern w:val="2"/>
                <w:sz w:val="24"/>
                <w:szCs w:val="24"/>
                <w:highlight w:val="none"/>
                <w:lang w:val="en-US" w:eastAsia="zh-CN" w:bidi="ar-SA"/>
              </w:rPr>
              <w:t>年</w:t>
            </w:r>
            <w:r>
              <w:rPr>
                <w:rFonts w:hint="eastAsia" w:cs="Times New Roman"/>
                <w:color w:val="auto"/>
                <w:kern w:val="2"/>
                <w:sz w:val="24"/>
                <w:szCs w:val="24"/>
                <w:highlight w:val="none"/>
                <w:lang w:val="en-US" w:eastAsia="zh-CN" w:bidi="ar-SA"/>
              </w:rPr>
              <w:t>废</w:t>
            </w:r>
            <w:r>
              <w:rPr>
                <w:rFonts w:hint="default" w:ascii="Times New Roman" w:hAnsi="Times New Roman" w:eastAsia="宋体" w:cs="Times New Roman"/>
                <w:color w:val="auto"/>
                <w:kern w:val="2"/>
                <w:sz w:val="24"/>
                <w:szCs w:val="24"/>
                <w:highlight w:val="none"/>
                <w:lang w:val="en-US" w:eastAsia="zh-CN" w:bidi="ar-SA"/>
              </w:rPr>
              <w:t>活性炭</w:t>
            </w:r>
            <w:r>
              <w:rPr>
                <w:rFonts w:hint="eastAsia" w:ascii="Times New Roman" w:hAnsi="Times New Roman" w:eastAsia="宋体" w:cs="Times New Roman"/>
                <w:color w:val="auto"/>
                <w:kern w:val="2"/>
                <w:sz w:val="24"/>
                <w:szCs w:val="24"/>
                <w:highlight w:val="none"/>
                <w:lang w:val="en-US" w:eastAsia="zh-CN" w:bidi="ar-SA"/>
              </w:rPr>
              <w:t>年</w:t>
            </w:r>
            <w:r>
              <w:rPr>
                <w:rFonts w:hint="default" w:ascii="Times New Roman" w:hAnsi="Times New Roman" w:eastAsia="宋体" w:cs="Times New Roman"/>
                <w:color w:val="auto"/>
                <w:kern w:val="2"/>
                <w:sz w:val="24"/>
                <w:szCs w:val="24"/>
                <w:highlight w:val="none"/>
                <w:lang w:val="en-US" w:eastAsia="zh-CN" w:bidi="ar-SA"/>
              </w:rPr>
              <w:t xml:space="preserve">产生量 = 装填量 × 更换次数 = </w:t>
            </w:r>
            <w:r>
              <w:rPr>
                <w:rFonts w:hint="eastAsia" w:cs="Times New Roman"/>
                <w:color w:val="auto"/>
                <w:kern w:val="2"/>
                <w:sz w:val="24"/>
                <w:szCs w:val="24"/>
                <w:highlight w:val="none"/>
                <w:lang w:val="en-US" w:eastAsia="zh-CN" w:bidi="ar-SA"/>
              </w:rPr>
              <w:t>6.5×2</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13</w:t>
            </w:r>
            <w:r>
              <w:rPr>
                <w:rFonts w:hint="eastAsia" w:ascii="Times New Roman" w:hAnsi="Times New Roman" w:eastAsia="宋体" w:cs="Times New Roman"/>
                <w:color w:val="auto"/>
                <w:kern w:val="2"/>
                <w:sz w:val="24"/>
                <w:szCs w:val="24"/>
                <w:highlight w:val="none"/>
                <w:lang w:val="en-US" w:eastAsia="zh-CN" w:bidi="ar-SA"/>
              </w:rPr>
              <w:t>t</w:t>
            </w:r>
            <w:r>
              <w:rPr>
                <w:rFonts w:hint="default"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cs="Times New Roman"/>
                <w:color w:val="auto"/>
                <w:kern w:val="2"/>
                <w:sz w:val="24"/>
                <w:szCs w:val="24"/>
                <w:highlight w:val="none"/>
                <w:lang w:val="en-US" w:eastAsia="zh-CN" w:bidi="ar-SA"/>
              </w:rPr>
              <w:t>考虑活性炭</w:t>
            </w:r>
            <w:r>
              <w:rPr>
                <w:rFonts w:hint="default" w:ascii="Times New Roman" w:hAnsi="Times New Roman" w:eastAsia="宋体" w:cs="Times New Roman"/>
                <w:color w:val="auto"/>
                <w:kern w:val="2"/>
                <w:sz w:val="24"/>
                <w:szCs w:val="24"/>
                <w:highlight w:val="none"/>
                <w:lang w:val="en-US" w:eastAsia="zh-CN" w:bidi="ar-SA"/>
              </w:rPr>
              <w:t>脱附</w:t>
            </w:r>
            <w:r>
              <w:rPr>
                <w:rFonts w:hint="eastAsia" w:ascii="Times New Roman" w:hAnsi="Times New Roman" w:cs="Times New Roman"/>
                <w:color w:val="auto"/>
                <w:kern w:val="2"/>
                <w:sz w:val="24"/>
                <w:szCs w:val="24"/>
                <w:highlight w:val="none"/>
                <w:lang w:val="en-US" w:eastAsia="zh-CN" w:bidi="ar-SA"/>
              </w:rPr>
              <w:t>时</w:t>
            </w:r>
            <w:r>
              <w:rPr>
                <w:rFonts w:hint="default" w:ascii="Times New Roman" w:hAnsi="Times New Roman" w:eastAsia="宋体" w:cs="Times New Roman"/>
                <w:color w:val="auto"/>
                <w:kern w:val="2"/>
                <w:sz w:val="24"/>
                <w:szCs w:val="24"/>
                <w:highlight w:val="none"/>
                <w:lang w:val="en-US" w:eastAsia="zh-CN" w:bidi="ar-SA"/>
              </w:rPr>
              <w:t>会把活性炭上 90%~95% 以上的 VOCs 脱附出来烧掉；更换时活性炭仅含微量残留 VOCs，重量占比极小</w:t>
            </w:r>
            <w:r>
              <w:rPr>
                <w:rFonts w:hint="eastAsia" w:ascii="Times New Roman" w:hAnsi="Times New Roman" w:cs="Times New Roman"/>
                <w:color w:val="auto"/>
                <w:kern w:val="2"/>
                <w:sz w:val="24"/>
                <w:szCs w:val="24"/>
                <w:highlight w:val="none"/>
                <w:lang w:val="en-US" w:eastAsia="zh-CN" w:bidi="ar-SA"/>
              </w:rPr>
              <w:t>，本环评</w:t>
            </w:r>
            <w:r>
              <w:rPr>
                <w:rFonts w:hint="default" w:ascii="Times New Roman" w:hAnsi="Times New Roman" w:eastAsia="宋体" w:cs="Times New Roman"/>
                <w:color w:val="auto"/>
                <w:kern w:val="2"/>
                <w:sz w:val="24"/>
                <w:szCs w:val="24"/>
                <w:highlight w:val="none"/>
                <w:lang w:val="en-US" w:eastAsia="zh-CN" w:bidi="ar-SA"/>
              </w:rPr>
              <w:t>忽略不计</w:t>
            </w:r>
            <w:r>
              <w:rPr>
                <w:rFonts w:hint="eastAsia" w:ascii="Times New Roman" w:hAnsi="Times New Roman" w:cs="Times New Roman"/>
                <w:color w:val="auto"/>
                <w:kern w:val="2"/>
                <w:sz w:val="24"/>
                <w:szCs w:val="24"/>
                <w:highlight w:val="none"/>
                <w:lang w:val="en-US" w:eastAsia="zh-CN" w:bidi="ar-SA"/>
              </w:rPr>
              <w:t>。</w:t>
            </w:r>
          </w:p>
          <w:p w14:paraId="0FD98FD4">
            <w:pPr>
              <w:keepNext/>
              <w:keepLines/>
              <w:widowControl w:val="0"/>
              <w:numPr>
                <w:ilvl w:val="5"/>
                <w:numId w:val="0"/>
              </w:numPr>
              <w:spacing w:line="360" w:lineRule="auto"/>
              <w:ind w:firstLine="480" w:firstLineChars="200"/>
              <w:jc w:val="both"/>
              <w:outlineLvl w:val="5"/>
              <w:rPr>
                <w:rFonts w:hint="default" w:ascii="Times New Roman" w:hAnsi="Times New Roman"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后端吸附单元理论吸附有机废气量为2.262t/a，</w:t>
            </w:r>
            <w:r>
              <w:rPr>
                <w:rFonts w:hint="default" w:ascii="Times New Roman" w:hAnsi="Times New Roman" w:eastAsia="宋体" w:cs="Times New Roman"/>
                <w:color w:val="auto"/>
                <w:kern w:val="2"/>
                <w:sz w:val="24"/>
                <w:szCs w:val="24"/>
                <w:highlight w:val="none"/>
                <w:lang w:val="en-US" w:eastAsia="zh-CN" w:bidi="ar-SA"/>
              </w:rPr>
              <w:t>根据《广东省工业源挥发性有机物减排量核算方法》（</w:t>
            </w:r>
            <w:r>
              <w:rPr>
                <w:rFonts w:hint="eastAsia" w:cs="Times New Roman"/>
                <w:color w:val="auto"/>
                <w:kern w:val="2"/>
                <w:sz w:val="24"/>
                <w:szCs w:val="24"/>
                <w:highlight w:val="none"/>
                <w:lang w:val="en-US" w:eastAsia="zh-CN" w:bidi="ar-SA"/>
              </w:rPr>
              <w:t>2023修订版</w:t>
            </w:r>
            <w:r>
              <w:rPr>
                <w:rFonts w:hint="default" w:ascii="Times New Roman" w:hAnsi="Times New Roman" w:eastAsia="宋体" w:cs="Times New Roman"/>
                <w:color w:val="auto"/>
                <w:kern w:val="2"/>
                <w:sz w:val="24"/>
                <w:szCs w:val="24"/>
                <w:highlight w:val="none"/>
                <w:lang w:val="en-US" w:eastAsia="zh-CN" w:bidi="ar-SA"/>
              </w:rPr>
              <w:t>）的要求，建议直接将“活性炭年更换量×活性炭吸附比例”（活性炭年更换量优先以危废转移量为依据，吸附比例建议取值15%）作为废气处理设施VOCs削减量。本项目</w:t>
            </w:r>
            <w:r>
              <w:rPr>
                <w:rFonts w:hint="eastAsia" w:ascii="Times New Roman" w:hAnsi="Times New Roman" w:eastAsia="宋体" w:cs="Times New Roman"/>
                <w:color w:val="auto"/>
                <w:kern w:val="2"/>
                <w:sz w:val="24"/>
                <w:szCs w:val="24"/>
                <w:highlight w:val="none"/>
                <w:lang w:val="en-US" w:eastAsia="zh-CN" w:bidi="ar-SA"/>
              </w:rPr>
              <w:t>后端</w:t>
            </w:r>
            <w:r>
              <w:rPr>
                <w:rFonts w:hint="default" w:ascii="Times New Roman" w:hAnsi="Times New Roman" w:eastAsia="宋体" w:cs="Times New Roman"/>
                <w:color w:val="auto"/>
                <w:kern w:val="2"/>
                <w:sz w:val="24"/>
                <w:szCs w:val="24"/>
                <w:highlight w:val="none"/>
                <w:lang w:val="en-US" w:eastAsia="zh-CN" w:bidi="ar-SA"/>
              </w:rPr>
              <w:t>活性炭对有机废气的吸附比率取值</w:t>
            </w:r>
            <w:r>
              <w:rPr>
                <w:rFonts w:hint="eastAsia"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t>%，项目吸附的有机废气量为</w:t>
            </w:r>
            <w:r>
              <w:rPr>
                <w:rFonts w:hint="eastAsia" w:cs="Times New Roman"/>
                <w:color w:val="auto"/>
                <w:kern w:val="2"/>
                <w:sz w:val="24"/>
                <w:szCs w:val="24"/>
                <w:highlight w:val="none"/>
                <w:lang w:val="en-US" w:eastAsia="zh-CN" w:bidi="ar-SA"/>
              </w:rPr>
              <w:t>2.262</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则理论需要活性炭量为</w:t>
            </w:r>
            <w:r>
              <w:rPr>
                <w:rFonts w:hint="eastAsia" w:cs="Times New Roman"/>
                <w:color w:val="auto"/>
                <w:kern w:val="2"/>
                <w:sz w:val="24"/>
                <w:szCs w:val="24"/>
                <w:highlight w:val="none"/>
                <w:lang w:val="en-US" w:eastAsia="zh-CN" w:bidi="ar-SA"/>
              </w:rPr>
              <w:t>15.076</w:t>
            </w:r>
            <w:r>
              <w:rPr>
                <w:rFonts w:hint="eastAsia" w:ascii="Times New Roman" w:hAnsi="Times New Roman" w:eastAsia="宋体" w:cs="Times New Roman"/>
                <w:color w:val="auto"/>
                <w:kern w:val="2"/>
                <w:sz w:val="24"/>
                <w:szCs w:val="24"/>
                <w:highlight w:val="none"/>
                <w:lang w:val="en-US" w:eastAsia="zh-CN" w:bidi="ar-SA"/>
              </w:rPr>
              <w:t>t/a</w:t>
            </w: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更换频次为3个月一次，则年更换废活性炭量为6.5t×4=26t/a。</w:t>
            </w:r>
          </w:p>
          <w:p w14:paraId="6D7B9D97">
            <w:pPr>
              <w:pStyle w:val="115"/>
              <w:keepNext w:val="0"/>
              <w:keepLines w:val="0"/>
              <w:pageBreakBefore w:val="0"/>
              <w:suppressLineNumbers w:val="0"/>
              <w:wordWrap w:val="0"/>
              <w:topLinePunct/>
              <w:bidi w:val="0"/>
              <w:snapToGrid/>
              <w:spacing w:before="0" w:beforeAutospacing="0" w:after="0" w:afterAutospacing="0"/>
              <w:ind w:left="0" w:right="0" w:firstLine="482"/>
              <w:rPr>
                <w:rFonts w:hint="eastAsia" w:ascii="Times New Roman" w:hAnsi="Times New Roman" w:eastAsia="宋体" w:cs="Times New Roman"/>
                <w:color w:val="auto"/>
                <w:sz w:val="24"/>
                <w:szCs w:val="32"/>
                <w:highlight w:val="none"/>
                <w:lang w:eastAsia="zh-CN"/>
              </w:rPr>
            </w:pPr>
            <w:r>
              <w:rPr>
                <w:rFonts w:hint="eastAsia" w:ascii="Times New Roman" w:hAnsi="Times New Roman" w:eastAsia="宋体" w:cs="Times New Roman"/>
                <w:color w:val="auto"/>
                <w:sz w:val="24"/>
                <w:szCs w:val="32"/>
                <w:highlight w:val="none"/>
                <w:lang w:val="en-US" w:eastAsia="zh-CN"/>
              </w:rPr>
              <w:t>综上，项目废活性炭产生量为</w:t>
            </w:r>
            <w:r>
              <w:rPr>
                <w:rFonts w:hint="eastAsia" w:cs="Times New Roman"/>
                <w:color w:val="auto"/>
                <w:sz w:val="24"/>
                <w:szCs w:val="32"/>
                <w:highlight w:val="none"/>
                <w:lang w:val="en-US" w:eastAsia="zh-CN"/>
              </w:rPr>
              <w:t>13+26=39</w:t>
            </w:r>
            <w:r>
              <w:rPr>
                <w:rFonts w:hint="eastAsia" w:ascii="Times New Roman" w:hAnsi="Times New Roman" w:eastAsia="宋体" w:cs="Times New Roman"/>
                <w:color w:val="auto"/>
                <w:sz w:val="24"/>
                <w:szCs w:val="32"/>
                <w:highlight w:val="none"/>
                <w:lang w:val="en-US" w:eastAsia="zh-CN"/>
              </w:rPr>
              <w:t>t/a。</w:t>
            </w:r>
            <w:r>
              <w:rPr>
                <w:rFonts w:hint="default" w:ascii="Times New Roman" w:hAnsi="Times New Roman" w:eastAsia="宋体" w:cs="Times New Roman"/>
                <w:color w:val="auto"/>
                <w:sz w:val="24"/>
                <w:szCs w:val="32"/>
                <w:highlight w:val="none"/>
              </w:rPr>
              <w:t>根据</w:t>
            </w:r>
            <w:r>
              <w:rPr>
                <w:rFonts w:hint="eastAsia" w:cs="Times New Roman"/>
                <w:color w:val="auto"/>
                <w:sz w:val="24"/>
                <w:szCs w:val="32"/>
                <w:highlight w:val="none"/>
                <w:lang w:eastAsia="zh-CN"/>
              </w:rPr>
              <w:t>《国家危险废物名录》（2025年版）</w:t>
            </w:r>
            <w:r>
              <w:rPr>
                <w:rFonts w:hint="default" w:ascii="Times New Roman" w:hAnsi="Times New Roman" w:eastAsia="宋体" w:cs="Times New Roman"/>
                <w:color w:val="auto"/>
                <w:sz w:val="24"/>
                <w:szCs w:val="32"/>
                <w:highlight w:val="none"/>
              </w:rPr>
              <w:t>，废</w:t>
            </w:r>
            <w:r>
              <w:rPr>
                <w:rFonts w:hint="default" w:ascii="Times New Roman" w:hAnsi="Times New Roman" w:eastAsia="宋体" w:cs="Times New Roman"/>
                <w:color w:val="auto"/>
                <w:sz w:val="24"/>
                <w:szCs w:val="32"/>
                <w:highlight w:val="none"/>
                <w:lang w:val="en-US" w:eastAsia="zh-CN"/>
              </w:rPr>
              <w:t>活性炭按“</w:t>
            </w:r>
            <w:r>
              <w:rPr>
                <w:rFonts w:hint="default" w:ascii="Times New Roman" w:hAnsi="Times New Roman" w:eastAsia="宋体" w:cs="Times New Roman"/>
                <w:color w:val="auto"/>
                <w:sz w:val="24"/>
                <w:szCs w:val="32"/>
                <w:highlight w:val="none"/>
              </w:rPr>
              <w:t>HW</w:t>
            </w:r>
            <w:r>
              <w:rPr>
                <w:rFonts w:hint="default" w:ascii="Times New Roman" w:hAnsi="Times New Roman" w:eastAsia="宋体" w:cs="Times New Roman"/>
                <w:color w:val="auto"/>
                <w:sz w:val="24"/>
                <w:szCs w:val="32"/>
                <w:highlight w:val="none"/>
                <w:lang w:val="en-US" w:eastAsia="zh-CN"/>
              </w:rPr>
              <w:t>49其他废物”分类</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val="en-US" w:eastAsia="zh-CN"/>
              </w:rPr>
              <w:t>其</w:t>
            </w:r>
            <w:r>
              <w:rPr>
                <w:rFonts w:hint="default" w:ascii="Times New Roman" w:hAnsi="Times New Roman" w:eastAsia="宋体" w:cs="Times New Roman"/>
                <w:color w:val="auto"/>
                <w:sz w:val="24"/>
                <w:szCs w:val="32"/>
                <w:highlight w:val="none"/>
              </w:rPr>
              <w:t>代码</w:t>
            </w:r>
            <w:r>
              <w:rPr>
                <w:rFonts w:hint="default" w:ascii="Times New Roman" w:hAnsi="Times New Roman" w:eastAsia="宋体" w:cs="Times New Roman"/>
                <w:color w:val="auto"/>
                <w:sz w:val="24"/>
                <w:szCs w:val="32"/>
                <w:highlight w:val="none"/>
                <w:lang w:val="en-US" w:eastAsia="zh-CN"/>
              </w:rPr>
              <w:t>为900-</w:t>
            </w:r>
            <w:r>
              <w:rPr>
                <w:rFonts w:hint="eastAsia" w:ascii="Times New Roman" w:hAnsi="Times New Roman" w:eastAsia="宋体" w:cs="Times New Roman"/>
                <w:color w:val="auto"/>
                <w:sz w:val="24"/>
                <w:szCs w:val="32"/>
                <w:highlight w:val="none"/>
                <w:lang w:val="en-US" w:eastAsia="zh-CN"/>
              </w:rPr>
              <w:t>039</w:t>
            </w:r>
            <w:r>
              <w:rPr>
                <w:rFonts w:hint="default" w:ascii="Times New Roman" w:hAnsi="Times New Roman" w:eastAsia="宋体" w:cs="Times New Roman"/>
                <w:color w:val="auto"/>
                <w:sz w:val="24"/>
                <w:szCs w:val="32"/>
                <w:highlight w:val="none"/>
                <w:lang w:val="en-US" w:eastAsia="zh-CN"/>
              </w:rPr>
              <w:t>-49，属于</w:t>
            </w:r>
            <w:r>
              <w:rPr>
                <w:rFonts w:hint="default" w:ascii="Times New Roman" w:hAnsi="Times New Roman" w:eastAsia="宋体" w:cs="Times New Roman"/>
                <w:color w:val="auto"/>
                <w:sz w:val="24"/>
                <w:szCs w:val="32"/>
                <w:highlight w:val="none"/>
                <w:lang w:eastAsia="zh-CN"/>
              </w:rPr>
              <w:t>“烟气、</w:t>
            </w:r>
            <w:r>
              <w:rPr>
                <w:rFonts w:hint="default" w:ascii="Times New Roman" w:hAnsi="Times New Roman" w:eastAsia="宋体" w:cs="Times New Roman"/>
                <w:color w:val="auto"/>
                <w:sz w:val="24"/>
                <w:szCs w:val="32"/>
                <w:highlight w:val="none"/>
                <w:lang w:val="en-US" w:eastAsia="zh-CN"/>
              </w:rPr>
              <w:t>VOCs</w:t>
            </w:r>
            <w:r>
              <w:rPr>
                <w:rFonts w:hint="default" w:ascii="Times New Roman" w:hAnsi="Times New Roman" w:eastAsia="宋体" w:cs="Times New Roman"/>
                <w:color w:val="auto"/>
                <w:sz w:val="24"/>
                <w:szCs w:val="32"/>
                <w:highlight w:val="none"/>
                <w:lang w:eastAsia="zh-CN"/>
              </w:rPr>
              <w:t>治理过程（不包括餐饮行业油烟治理过程）产生的废活性炭，化学原料和化学制品脱色（不包括有机合成食品添加剂脱色）、除杂、净化过程产生的废活性炭（不包括</w:t>
            </w:r>
            <w:r>
              <w:rPr>
                <w:rFonts w:hint="default" w:ascii="Times New Roman" w:hAnsi="Times New Roman" w:eastAsia="宋体" w:cs="Times New Roman"/>
                <w:color w:val="auto"/>
                <w:sz w:val="24"/>
                <w:szCs w:val="32"/>
                <w:highlight w:val="none"/>
                <w:lang w:val="en-US" w:eastAsia="zh-CN"/>
              </w:rPr>
              <w:t>900-405-06</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772-005-18</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261-053-29</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265-002-29</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384-003-29</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lang w:val="en-US" w:eastAsia="zh-CN"/>
              </w:rPr>
              <w:t>387-001-29</w:t>
            </w:r>
            <w:r>
              <w:rPr>
                <w:rFonts w:hint="default" w:ascii="Times New Roman" w:hAnsi="Times New Roman" w:eastAsia="宋体" w:cs="Times New Roman"/>
                <w:color w:val="auto"/>
                <w:sz w:val="24"/>
                <w:szCs w:val="32"/>
                <w:highlight w:val="none"/>
                <w:lang w:eastAsia="zh-CN"/>
              </w:rPr>
              <w:t>类废物）</w:t>
            </w:r>
            <w:r>
              <w:rPr>
                <w:rFonts w:hint="default" w:ascii="Times New Roman" w:hAnsi="Times New Roman" w:eastAsia="宋体" w:cs="Times New Roman"/>
                <w:color w:val="auto"/>
                <w:sz w:val="24"/>
                <w:szCs w:val="32"/>
                <w:highlight w:val="none"/>
              </w:rPr>
              <w:t>”，经统一收集后交由有危险废物处理资质的单位处理</w:t>
            </w:r>
            <w:r>
              <w:rPr>
                <w:rFonts w:hint="eastAsia" w:ascii="Times New Roman" w:hAnsi="Times New Roman" w:eastAsia="宋体" w:cs="Times New Roman"/>
                <w:color w:val="auto"/>
                <w:sz w:val="24"/>
                <w:szCs w:val="32"/>
                <w:highlight w:val="none"/>
                <w:lang w:eastAsia="zh-CN"/>
              </w:rPr>
              <w:t>。</w:t>
            </w:r>
          </w:p>
          <w:p w14:paraId="21889545">
            <w:pPr>
              <w:pStyle w:val="2"/>
              <w:ind w:firstLine="480" w:firstLineChars="200"/>
              <w:rPr>
                <w:rFonts w:hint="eastAsia" w:ascii="Times New Roman" w:cs="Times New Roman"/>
                <w:color w:val="auto"/>
                <w:highlight w:val="none"/>
                <w:lang w:val="en-US" w:eastAsia="zh-CN"/>
              </w:rPr>
            </w:pPr>
            <w:r>
              <w:rPr>
                <w:rFonts w:hint="default" w:ascii="Times New Roman" w:hAnsi="Times New Roman" w:eastAsia="宋体" w:cs="Times New Roman"/>
                <w:color w:val="auto"/>
                <w:highlight w:val="none"/>
              </w:rPr>
              <w:t>根据</w:t>
            </w:r>
            <w:r>
              <w:rPr>
                <w:rFonts w:hint="eastAsia" w:cs="Times New Roman"/>
                <w:color w:val="auto"/>
                <w:highlight w:val="none"/>
                <w:lang w:eastAsia="zh-CN"/>
              </w:rPr>
              <w:t>《国家危险废物名录》（2025年版）</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废</w:t>
            </w:r>
            <w:r>
              <w:rPr>
                <w:rFonts w:hint="default" w:ascii="Times New Roman" w:hAnsi="Times New Roman" w:eastAsia="宋体" w:cs="Times New Roman"/>
                <w:color w:val="auto"/>
                <w:szCs w:val="24"/>
                <w:highlight w:val="none"/>
                <w:lang w:val="en-US" w:eastAsia="zh-CN"/>
              </w:rPr>
              <w:t>活性炭</w:t>
            </w:r>
            <w:r>
              <w:rPr>
                <w:rFonts w:hint="default" w:ascii="Times New Roman" w:hAnsi="Times New Roman" w:eastAsia="宋体" w:cs="Times New Roman"/>
                <w:color w:val="auto"/>
                <w:highlight w:val="none"/>
                <w:lang w:val="en-US" w:eastAsia="zh-CN"/>
              </w:rPr>
              <w:t>按“</w:t>
            </w:r>
            <w:r>
              <w:rPr>
                <w:rFonts w:hint="default" w:ascii="Times New Roman" w:hAnsi="Times New Roman" w:eastAsia="宋体" w:cs="Times New Roman"/>
                <w:color w:val="auto"/>
                <w:highlight w:val="none"/>
              </w:rPr>
              <w:t>HW</w:t>
            </w:r>
            <w:r>
              <w:rPr>
                <w:rFonts w:hint="default" w:ascii="Times New Roman" w:hAnsi="Times New Roman" w:eastAsia="宋体" w:cs="Times New Roman"/>
                <w:color w:val="auto"/>
                <w:highlight w:val="none"/>
                <w:lang w:val="en-US" w:eastAsia="zh-CN"/>
              </w:rPr>
              <w:t>49其他废物”分类</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其</w:t>
            </w:r>
            <w:r>
              <w:rPr>
                <w:rFonts w:hint="default" w:ascii="Times New Roman" w:hAnsi="Times New Roman" w:eastAsia="宋体" w:cs="Times New Roman"/>
                <w:color w:val="auto"/>
                <w:highlight w:val="none"/>
              </w:rPr>
              <w:t>代码</w:t>
            </w:r>
            <w:r>
              <w:rPr>
                <w:rFonts w:hint="default" w:ascii="Times New Roman" w:hAnsi="Times New Roman" w:eastAsia="宋体" w:cs="Times New Roman"/>
                <w:color w:val="auto"/>
                <w:highlight w:val="none"/>
                <w:lang w:val="en-US" w:eastAsia="zh-CN"/>
              </w:rPr>
              <w:t>为900-</w:t>
            </w:r>
            <w:r>
              <w:rPr>
                <w:rFonts w:hint="eastAsia" w:ascii="Times New Roman" w:hAnsi="Times New Roman" w:eastAsia="宋体" w:cs="Times New Roman"/>
                <w:color w:val="auto"/>
                <w:highlight w:val="none"/>
                <w:lang w:val="en-US" w:eastAsia="zh-CN"/>
              </w:rPr>
              <w:t>039</w:t>
            </w:r>
            <w:r>
              <w:rPr>
                <w:rFonts w:hint="default" w:ascii="Times New Roman" w:hAnsi="Times New Roman" w:eastAsia="宋体" w:cs="Times New Roman"/>
                <w:color w:val="auto"/>
                <w:highlight w:val="none"/>
                <w:lang w:val="en-US" w:eastAsia="zh-CN"/>
              </w:rPr>
              <w:t>-49，属于</w:t>
            </w:r>
            <w:r>
              <w:rPr>
                <w:rFonts w:hint="default" w:ascii="Times New Roman" w:hAnsi="Times New Roman" w:eastAsia="宋体" w:cs="Times New Roman"/>
                <w:color w:val="auto"/>
                <w:highlight w:val="none"/>
                <w:lang w:eastAsia="zh-CN"/>
              </w:rPr>
              <w:t>“烟气、</w:t>
            </w:r>
            <w:r>
              <w:rPr>
                <w:rFonts w:hint="default" w:ascii="Times New Roman" w:hAnsi="Times New Roman" w:eastAsia="宋体" w:cs="Times New Roman"/>
                <w:color w:val="auto"/>
                <w:highlight w:val="none"/>
                <w:lang w:val="en-US" w:eastAsia="zh-CN"/>
              </w:rPr>
              <w:t>VOCs</w:t>
            </w:r>
            <w:r>
              <w:rPr>
                <w:rFonts w:hint="default" w:ascii="Times New Roman" w:hAnsi="Times New Roman" w:eastAsia="宋体" w:cs="Times New Roman"/>
                <w:color w:val="auto"/>
                <w:highlight w:val="none"/>
                <w:lang w:eastAsia="zh-CN"/>
              </w:rPr>
              <w:t>治理过程（不包括餐饮行业油烟治理过程）产生的废活性炭，化学原料和化学制品脱色（不包括有机合成食品添加剂脱色）、除杂、净化过程产生的废活性炭（不包括</w:t>
            </w:r>
            <w:r>
              <w:rPr>
                <w:rFonts w:hint="default" w:ascii="Times New Roman" w:hAnsi="Times New Roman" w:eastAsia="宋体" w:cs="Times New Roman"/>
                <w:color w:val="auto"/>
                <w:highlight w:val="none"/>
                <w:lang w:val="en-US" w:eastAsia="zh-CN"/>
              </w:rPr>
              <w:t>900-405-06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772-005-18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261-053-29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265-002-29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384-003-29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387-001-29</w:t>
            </w:r>
            <w:r>
              <w:rPr>
                <w:rFonts w:hint="default" w:ascii="Times New Roman" w:hAnsi="Times New Roman" w:eastAsia="宋体" w:cs="Times New Roman"/>
                <w:color w:val="auto"/>
                <w:highlight w:val="none"/>
                <w:lang w:eastAsia="zh-CN"/>
              </w:rPr>
              <w:t>类废物）</w:t>
            </w:r>
            <w:r>
              <w:rPr>
                <w:rFonts w:hint="default" w:ascii="Times New Roman" w:hAnsi="Times New Roman" w:eastAsia="宋体" w:cs="Times New Roman"/>
                <w:color w:val="auto"/>
                <w:highlight w:val="none"/>
              </w:rPr>
              <w:t>”，经统一收集后交由有危险废物处理资质的单位处理。</w:t>
            </w:r>
          </w:p>
          <w:p w14:paraId="7065DA1B">
            <w:pPr>
              <w:pStyle w:val="2"/>
              <w:ind w:firstLine="480" w:firstLineChars="200"/>
              <w:rPr>
                <w:rFonts w:hint="eastAsia" w:ascii="Times New Roman" w:cs="Times New Roman"/>
                <w:b/>
                <w:bCs/>
                <w:color w:val="auto"/>
                <w:highlight w:val="none"/>
                <w:lang w:val="en-US" w:eastAsia="zh-CN"/>
              </w:rPr>
            </w:pPr>
            <w:r>
              <w:rPr>
                <w:rFonts w:hint="eastAsia" w:ascii="Times New Roman" w:cs="Times New Roman"/>
                <w:b/>
                <w:bCs/>
                <w:color w:val="auto"/>
                <w:highlight w:val="none"/>
                <w:lang w:val="en-US" w:eastAsia="zh-CN"/>
              </w:rPr>
              <w:t>⑧废催化剂</w:t>
            </w:r>
          </w:p>
          <w:p w14:paraId="175BD584">
            <w:pPr>
              <w:pStyle w:val="2"/>
              <w:ind w:firstLine="480" w:firstLineChars="200"/>
              <w:rPr>
                <w:rFonts w:hint="eastAsia" w:ascii="Times New Roman" w:hAnsi="Times New Roman" w:eastAsia="宋体" w:cs="Times New Roman"/>
                <w:color w:val="auto"/>
                <w:highlight w:val="none"/>
                <w:lang w:val="en-US" w:eastAsia="zh-CN"/>
              </w:rPr>
            </w:pPr>
            <w:r>
              <w:rPr>
                <w:rFonts w:hint="eastAsia" w:ascii="Times New Roman" w:cs="Times New Roman"/>
                <w:color w:val="auto"/>
                <w:highlight w:val="none"/>
                <w:lang w:val="en-US" w:eastAsia="zh-CN"/>
              </w:rPr>
              <w:t>本项目采用堇青石陶瓷载体蜂窝状贵金属催化剂（活性组分为 Pt/Pd），设计空速 15000 h⁻¹，催化剂堆积密度 0.6 kg/L，则催化剂体积 = 60000÷15000=4 m³，装填量 = 4×1000×0.6=2400 kg。催化剂正常使用寿命为 1.5–3 年，本项目按 2 年 / 次更换，年更换次数 0.5 次，</w:t>
            </w:r>
            <w:r>
              <w:rPr>
                <w:rFonts w:hint="eastAsia" w:ascii="Times New Roman" w:hAnsi="Times New Roman" w:eastAsia="宋体" w:cs="Times New Roman"/>
                <w:color w:val="auto"/>
                <w:highlight w:val="none"/>
                <w:lang w:val="en-US" w:eastAsia="zh-CN"/>
              </w:rPr>
              <w:t>废催化剂年产生量 = 2400×0.5=1200 kg/a。废催化剂因含贵金属及沾染毒性有机物，具有毒性（T），建议参照《国家危险废物名录（2025 年版）》中HW50废催化剂（废物代码</w:t>
            </w:r>
            <w:r>
              <w:rPr>
                <w:rFonts w:hint="default" w:ascii="Times New Roman" w:hAnsi="Times New Roman" w:eastAsia="宋体" w:cs="Times New Roman"/>
                <w:color w:val="auto"/>
                <w:highlight w:val="none"/>
                <w:lang w:eastAsia="zh-CN"/>
              </w:rPr>
              <w:t>900-049-50</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管理，需委托有资质单位处置。</w:t>
            </w:r>
          </w:p>
          <w:p w14:paraId="092D4FB5">
            <w:pPr>
              <w:pStyle w:val="2"/>
              <w:ind w:firstLine="480"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⑨喷淋</w:t>
            </w:r>
            <w:r>
              <w:rPr>
                <w:rFonts w:hint="eastAsia" w:ascii="Times New Roman" w:cs="Times New Roman"/>
                <w:b/>
                <w:bCs/>
                <w:color w:val="auto"/>
                <w:highlight w:val="none"/>
                <w:lang w:val="en-US" w:eastAsia="zh-CN"/>
              </w:rPr>
              <w:t>沉</w:t>
            </w:r>
            <w:r>
              <w:rPr>
                <w:rFonts w:hint="eastAsia" w:ascii="Times New Roman" w:hAnsi="Times New Roman" w:eastAsia="宋体" w:cs="Times New Roman"/>
                <w:b/>
                <w:bCs/>
                <w:color w:val="auto"/>
                <w:highlight w:val="none"/>
                <w:lang w:val="en-US" w:eastAsia="zh-CN"/>
              </w:rPr>
              <w:t>渣</w:t>
            </w:r>
          </w:p>
          <w:p w14:paraId="64CC779C">
            <w:pPr>
              <w:pStyle w:val="2"/>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喷淋废水经沉淀池沉淀处理后循环使用，沉淀池需定期打捞渣，根据大气污染源强核算，造粒废气中粉尘经喷淋去除的量</w:t>
            </w:r>
            <w:r>
              <w:rPr>
                <w:rFonts w:hint="eastAsia" w:ascii="Times New Roman" w:hAnsi="Times New Roman" w:eastAsia="宋体" w:cs="Times New Roman"/>
                <w:color w:val="auto"/>
                <w:highlight w:val="none"/>
                <w:lang w:val="en-US" w:eastAsia="zh-CN"/>
              </w:rPr>
              <w:t>按50%计</w:t>
            </w:r>
            <w:r>
              <w:rPr>
                <w:rFonts w:hint="default" w:ascii="Times New Roman" w:hAnsi="Times New Roman" w:eastAsia="宋体" w:cs="Times New Roman"/>
                <w:color w:val="auto"/>
                <w:highlight w:val="none"/>
                <w:lang w:val="en-US" w:eastAsia="zh-CN"/>
              </w:rPr>
              <w:t>为</w:t>
            </w:r>
            <w:r>
              <w:rPr>
                <w:rFonts w:hint="eastAsia" w:ascii="Times New Roman" w:cs="Times New Roman"/>
                <w:color w:val="auto"/>
                <w:highlight w:val="none"/>
                <w:lang w:val="en-US" w:eastAsia="zh-CN"/>
              </w:rPr>
              <w:t>0.65</w:t>
            </w:r>
            <w:r>
              <w:rPr>
                <w:rFonts w:hint="default" w:ascii="Times New Roman" w:hAnsi="Times New Roman" w:eastAsia="宋体" w:cs="Times New Roman"/>
                <w:color w:val="auto"/>
                <w:highlight w:val="none"/>
                <w:lang w:val="en-US" w:eastAsia="zh-CN"/>
              </w:rPr>
              <w:t>t/a，沉渣量约为</w:t>
            </w:r>
            <w:r>
              <w:rPr>
                <w:rFonts w:hint="eastAsia" w:ascii="Times New Roman" w:cs="Times New Roman"/>
                <w:color w:val="auto"/>
                <w:highlight w:val="none"/>
                <w:lang w:val="en-US" w:eastAsia="zh-CN"/>
              </w:rPr>
              <w:t>0.65</w:t>
            </w:r>
            <w:r>
              <w:rPr>
                <w:rFonts w:hint="default" w:ascii="Times New Roman" w:hAnsi="Times New Roman" w:eastAsia="宋体" w:cs="Times New Roman"/>
                <w:color w:val="auto"/>
                <w:highlight w:val="none"/>
                <w:lang w:val="en-US" w:eastAsia="zh-CN"/>
              </w:rPr>
              <w:t>t/a。</w:t>
            </w:r>
          </w:p>
          <w:p w14:paraId="7F452BAF">
            <w:pPr>
              <w:pStyle w:val="2"/>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由于喷淋水长期循环使用，会有机械设备中的矿物油等成分在其中积累，故沉淀池沉渣属于</w:t>
            </w:r>
            <w:r>
              <w:rPr>
                <w:rFonts w:hint="default" w:ascii="Times New Roman" w:hAnsi="Times New Roman" w:eastAsia="宋体" w:cs="Times New Roman"/>
                <w:color w:val="auto"/>
                <w:highlight w:val="none"/>
                <w:lang w:eastAsia="zh-CN"/>
              </w:rPr>
              <w:t>《国家危险废物名录》（20</w:t>
            </w:r>
            <w:r>
              <w:rPr>
                <w:rFonts w:hint="default"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年版</w:t>
            </w:r>
            <w:r>
              <w:rPr>
                <w:rFonts w:hint="default" w:ascii="Times New Roman" w:hAnsi="Times New Roman" w:eastAsia="宋体" w:cs="Times New Roman"/>
                <w:color w:val="auto"/>
                <w:highlight w:val="none"/>
                <w:lang w:eastAsia="zh-CN"/>
              </w:rPr>
              <w:t>）中“HW49 其他废物”的“含有或沾染毒性、感染性危险废物的废弃包装物、容器、过滤吸附介质”，废物代码为“900-041-49”，</w:t>
            </w:r>
            <w:r>
              <w:rPr>
                <w:rFonts w:hint="default" w:ascii="Times New Roman" w:hAnsi="Times New Roman" w:eastAsia="宋体" w:cs="Times New Roman"/>
                <w:color w:val="auto"/>
                <w:highlight w:val="none"/>
                <w:lang w:val="en-US" w:eastAsia="zh-CN"/>
              </w:rPr>
              <w:t>暂存于危险废物暂存间内，并定期交有危险废物处理资质的单位处置。</w:t>
            </w:r>
          </w:p>
          <w:p w14:paraId="3173CE55">
            <w:pPr>
              <w:pStyle w:val="2"/>
              <w:ind w:firstLine="480" w:firstLineChars="200"/>
              <w:rPr>
                <w:rFonts w:hint="eastAsia" w:ascii="Times New Roman" w:cs="Times New Roman"/>
                <w:b/>
                <w:bCs/>
                <w:color w:val="auto"/>
                <w:highlight w:val="none"/>
                <w:lang w:val="en-US" w:eastAsia="zh-CN"/>
              </w:rPr>
            </w:pPr>
            <w:r>
              <w:rPr>
                <w:rFonts w:hint="eastAsia" w:ascii="Times New Roman" w:cs="Times New Roman"/>
                <w:b/>
                <w:bCs/>
                <w:color w:val="auto"/>
                <w:highlight w:val="none"/>
                <w:lang w:val="en-US" w:eastAsia="zh-CN"/>
              </w:rPr>
              <w:t xml:space="preserve">⑩废过滤棉 </w:t>
            </w:r>
          </w:p>
          <w:p w14:paraId="59EB1674">
            <w:pPr>
              <w:pStyle w:val="2"/>
              <w:ind w:firstLine="480" w:firstLineChars="200"/>
              <w:rPr>
                <w:rFonts w:hint="eastAsia" w:ascii="宋体" w:hAnsi="宋体" w:eastAsia="宋体" w:cs="宋体"/>
                <w:color w:val="auto"/>
                <w:sz w:val="24"/>
                <w:szCs w:val="24"/>
                <w:highlight w:val="none"/>
                <w:lang w:eastAsia="zh-CN"/>
              </w:rPr>
            </w:pPr>
            <w:r>
              <w:rPr>
                <w:rFonts w:hint="eastAsia" w:ascii="Times New Roman" w:cs="Times New Roman"/>
                <w:color w:val="auto"/>
                <w:highlight w:val="none"/>
                <w:lang w:val="en-US" w:eastAsia="zh-CN"/>
              </w:rPr>
              <w:t>本项目年用过滤棉0.05t/a，过滤棉截留粉尘量为粉尘去除量的50%计为0.65t/a，则废过滤棉</w:t>
            </w:r>
            <w:r>
              <w:rPr>
                <w:rFonts w:hint="default" w:ascii="Times New Roman" w:hAnsi="Times New Roman" w:cs="Times New Roman"/>
                <w:color w:val="auto"/>
                <w:highlight w:val="none"/>
                <w:lang w:val="en-US" w:eastAsia="zh-CN"/>
              </w:rPr>
              <w:t>产生量为0.7t/a，</w:t>
            </w:r>
            <w:r>
              <w:rPr>
                <w:rFonts w:hint="default" w:ascii="Times New Roman" w:hAnsi="Times New Roman" w:eastAsia="宋体" w:cs="Times New Roman"/>
                <w:color w:val="auto"/>
                <w:sz w:val="24"/>
                <w:szCs w:val="24"/>
                <w:highlight w:val="none"/>
              </w:rPr>
              <w:t>根据《国家危险废物名录（2025 年版）》，属于 HW49 其他废物，代码 900-039-49</w:t>
            </w:r>
            <w:r>
              <w:rPr>
                <w:rFonts w:hint="default" w:ascii="Times New Roman" w:hAnsi="Times New Roman" w:eastAsia="宋体" w:cs="Times New Roman"/>
                <w:color w:val="auto"/>
                <w:sz w:val="24"/>
                <w:szCs w:val="24"/>
                <w:highlight w:val="none"/>
                <w:lang w:eastAsia="zh-CN"/>
              </w:rPr>
              <w:t>。</w:t>
            </w:r>
          </w:p>
          <w:p w14:paraId="0E8019D6">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outlineLvl w:val="0"/>
              <w:rPr>
                <w:rFonts w:hint="default" w:ascii="Times New Roman" w:hAnsi="Times New Roman" w:eastAsia="宋体" w:cs="Times New Roman"/>
                <w:b/>
                <w:bCs/>
                <w:color w:val="auto"/>
                <w:kern w:val="2"/>
                <w:sz w:val="24"/>
                <w:szCs w:val="24"/>
                <w:highlight w:val="none"/>
                <w:lang w:val="en-US" w:eastAsia="zh-CN" w:bidi="ar-SA"/>
              </w:rPr>
            </w:pPr>
            <w:r>
              <w:rPr>
                <w:rFonts w:hint="eastAsia" w:hAnsi="宋体" w:cs="宋体"/>
                <w:b/>
                <w:bCs/>
                <w:color w:val="auto"/>
                <w:sz w:val="24"/>
                <w:szCs w:val="24"/>
                <w:highlight w:val="none"/>
                <w:lang w:val="en-US" w:eastAsia="zh-CN"/>
              </w:rPr>
              <w:fldChar w:fldCharType="begin"/>
            </w:r>
            <w:r>
              <w:rPr>
                <w:rFonts w:hint="eastAsia" w:hAnsi="宋体" w:cs="宋体"/>
                <w:b/>
                <w:bCs/>
                <w:color w:val="auto"/>
                <w:sz w:val="24"/>
                <w:szCs w:val="24"/>
                <w:highlight w:val="none"/>
                <w:lang w:val="en-US" w:eastAsia="zh-CN"/>
              </w:rPr>
              <w:instrText xml:space="preserve"> EQ \o\ac(</w:instrText>
            </w:r>
            <w:r>
              <w:rPr>
                <w:rFonts w:hint="eastAsia" w:ascii="宋体" w:hAnsi="宋体" w:eastAsia="宋体" w:cs="宋体"/>
                <w:b/>
                <w:bCs/>
                <w:color w:val="auto"/>
                <w:kern w:val="2"/>
                <w:sz w:val="24"/>
                <w:szCs w:val="24"/>
                <w:highlight w:val="none"/>
                <w:lang w:val="en-US" w:eastAsia="zh-CN" w:bidi="ar-SA"/>
              </w:rPr>
              <w:instrText xml:space="preserve">○</w:instrText>
            </w:r>
            <w:r>
              <w:rPr>
                <w:rFonts w:hint="eastAsia" w:hAnsi="宋体" w:cs="宋体"/>
                <w:b/>
                <w:bCs/>
                <w:color w:val="auto"/>
                <w:sz w:val="24"/>
                <w:szCs w:val="24"/>
                <w:highlight w:val="none"/>
                <w:lang w:val="en-US" w:eastAsia="zh-CN"/>
              </w:rPr>
              <w:instrText xml:space="preserve">,</w:instrText>
            </w:r>
            <w:r>
              <w:rPr>
                <w:rFonts w:hint="eastAsia" w:ascii="宋体" w:hAnsi="宋体" w:eastAsia="宋体" w:cs="宋体"/>
                <w:b/>
                <w:bCs/>
                <w:color w:val="auto"/>
                <w:kern w:val="2"/>
                <w:position w:val="3"/>
                <w:sz w:val="16"/>
                <w:szCs w:val="24"/>
                <w:highlight w:val="none"/>
                <w:lang w:val="en-US" w:eastAsia="zh-CN" w:bidi="ar-SA"/>
              </w:rPr>
              <w:instrText xml:space="preserve">11</w:instrText>
            </w:r>
            <w:r>
              <w:rPr>
                <w:rFonts w:hint="eastAsia" w:hAnsi="宋体" w:cs="宋体"/>
                <w:b/>
                <w:bCs/>
                <w:color w:val="auto"/>
                <w:sz w:val="24"/>
                <w:szCs w:val="24"/>
                <w:highlight w:val="none"/>
                <w:lang w:val="en-US" w:eastAsia="zh-CN"/>
              </w:rPr>
              <w:instrText xml:space="preserve">)</w:instrText>
            </w:r>
            <w:r>
              <w:rPr>
                <w:rFonts w:hint="eastAsia" w:hAnsi="宋体" w:cs="宋体"/>
                <w:b/>
                <w:bCs/>
                <w:color w:val="auto"/>
                <w:sz w:val="24"/>
                <w:szCs w:val="24"/>
                <w:highlight w:val="none"/>
                <w:lang w:val="en-US" w:eastAsia="zh-CN"/>
              </w:rPr>
              <w:fldChar w:fldCharType="end"/>
            </w:r>
            <w:r>
              <w:rPr>
                <w:rFonts w:hint="eastAsia" w:hAnsi="宋体" w:cs="宋体"/>
                <w:b/>
                <w:bCs/>
                <w:color w:val="auto"/>
                <w:sz w:val="24"/>
                <w:szCs w:val="24"/>
                <w:highlight w:val="none"/>
                <w:lang w:val="en-US" w:eastAsia="zh-CN"/>
              </w:rPr>
              <w:t>电捕废焦油</w:t>
            </w:r>
            <w:bookmarkStart w:id="144" w:name="_Toc106347538"/>
            <w:bookmarkStart w:id="145" w:name="_Toc113004253"/>
            <w:bookmarkStart w:id="146" w:name="_Toc108074422"/>
            <w:bookmarkStart w:id="147" w:name="_Toc108269209"/>
          </w:p>
          <w:p w14:paraId="540B1D8F">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outlineLvl w:val="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w:t>
            </w:r>
            <w:r>
              <w:rPr>
                <w:rFonts w:hint="default" w:ascii="Times New Roman" w:hAnsi="Times New Roman" w:eastAsia="宋体" w:cs="Times New Roman"/>
                <w:color w:val="auto"/>
                <w:kern w:val="2"/>
                <w:sz w:val="24"/>
                <w:szCs w:val="24"/>
                <w:highlight w:val="none"/>
                <w:lang w:val="en-US" w:eastAsia="zh-CN" w:bidi="ar-SA"/>
              </w:rPr>
              <w:t>项目采用“</w:t>
            </w:r>
            <w:r>
              <w:rPr>
                <w:rFonts w:hint="eastAsia"/>
                <w:color w:val="auto"/>
                <w:kern w:val="2"/>
                <w:highlight w:val="none"/>
                <w:lang w:eastAsia="zh-CN"/>
              </w:rPr>
              <w:t>电捕焦油+气旋混动喷淋+干式过滤+活性炭吸附脱附+催化燃烧+活性炭吸附</w:t>
            </w:r>
            <w:r>
              <w:rPr>
                <w:rFonts w:hint="default" w:ascii="Times New Roman" w:hAnsi="Times New Roman" w:eastAsia="宋体" w:cs="Times New Roman"/>
                <w:color w:val="auto"/>
                <w:kern w:val="2"/>
                <w:sz w:val="24"/>
                <w:szCs w:val="24"/>
                <w:highlight w:val="none"/>
                <w:lang w:val="en-US" w:eastAsia="zh-CN" w:bidi="ar-SA"/>
              </w:rPr>
              <w:t>”装置处理</w:t>
            </w:r>
            <w:r>
              <w:rPr>
                <w:rFonts w:hint="eastAsia" w:ascii="Times New Roman" w:hAnsi="Times New Roman" w:eastAsia="宋体" w:cs="Times New Roman"/>
                <w:color w:val="auto"/>
                <w:kern w:val="2"/>
                <w:sz w:val="24"/>
                <w:szCs w:val="24"/>
                <w:highlight w:val="none"/>
                <w:lang w:val="en-US" w:eastAsia="zh-CN" w:bidi="ar-SA"/>
              </w:rPr>
              <w:t>有机废气</w:t>
            </w:r>
            <w:r>
              <w:rPr>
                <w:rFonts w:hint="default" w:ascii="Times New Roman" w:hAnsi="Times New Roman" w:eastAsia="宋体" w:cs="Times New Roman"/>
                <w:color w:val="auto"/>
                <w:kern w:val="2"/>
                <w:sz w:val="24"/>
                <w:szCs w:val="24"/>
                <w:highlight w:val="none"/>
                <w:lang w:val="en-US" w:eastAsia="zh-CN" w:bidi="ar-SA"/>
              </w:rPr>
              <w:t>，处理过程中会产生少量废焦油，根据建设单位提供资料，产生量约为</w:t>
            </w:r>
            <w:r>
              <w:rPr>
                <w:rFonts w:hint="eastAsia" w:ascii="Times New Roman" w:hAnsi="Times New Roman" w:eastAsia="宋体" w:cs="Times New Roman"/>
                <w:color w:val="auto"/>
                <w:kern w:val="2"/>
                <w:sz w:val="24"/>
                <w:szCs w:val="24"/>
                <w:highlight w:val="none"/>
                <w:lang w:val="en-US" w:eastAsia="zh-CN" w:bidi="ar-SA"/>
              </w:rPr>
              <w:t>0.2</w:t>
            </w:r>
            <w:r>
              <w:rPr>
                <w:rFonts w:hint="default" w:ascii="Times New Roman" w:hAnsi="Times New Roman" w:eastAsia="宋体" w:cs="Times New Roman"/>
                <w:color w:val="auto"/>
                <w:kern w:val="2"/>
                <w:sz w:val="24"/>
                <w:szCs w:val="24"/>
                <w:highlight w:val="none"/>
                <w:lang w:val="en-US" w:eastAsia="zh-CN" w:bidi="ar-SA"/>
              </w:rPr>
              <w:t>t/a。根据《国家危险废物名录》（202</w:t>
            </w:r>
            <w:r>
              <w:rPr>
                <w:rFonts w:hint="eastAsia"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版）</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废焦油属于危险固废</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0"/>
                <w:sz w:val="24"/>
                <w:szCs w:val="24"/>
                <w:highlight w:val="none"/>
                <w:lang w:val="en-US" w:eastAsia="zh-CN" w:bidi="ar-SA"/>
              </w:rPr>
              <w:t>废物类别为</w:t>
            </w:r>
            <w:r>
              <w:rPr>
                <w:rFonts w:hint="default" w:ascii="Times New Roman" w:hAnsi="Times New Roman" w:eastAsia="宋体" w:cs="Times New Roman"/>
                <w:color w:val="auto"/>
                <w:kern w:val="2"/>
                <w:sz w:val="24"/>
                <w:szCs w:val="24"/>
                <w:highlight w:val="none"/>
                <w:lang w:val="en-US" w:eastAsia="zh-CN" w:bidi="ar-SA"/>
              </w:rPr>
              <w:t>HW08</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废物代码为900-249-08，暂存于</w:t>
            </w:r>
            <w:r>
              <w:rPr>
                <w:rFonts w:hint="eastAsia" w:ascii="Times New Roman" w:hAnsi="Times New Roman" w:eastAsia="宋体" w:cs="Times New Roman"/>
                <w:color w:val="auto"/>
                <w:kern w:val="2"/>
                <w:sz w:val="24"/>
                <w:szCs w:val="24"/>
                <w:highlight w:val="none"/>
                <w:lang w:val="en-US" w:eastAsia="zh-CN" w:bidi="ar-SA"/>
              </w:rPr>
              <w:t>危险废物贮存库</w:t>
            </w:r>
            <w:r>
              <w:rPr>
                <w:rFonts w:hint="default" w:ascii="Times New Roman" w:hAnsi="Times New Roman" w:eastAsia="宋体" w:cs="Times New Roman"/>
                <w:color w:val="auto"/>
                <w:kern w:val="2"/>
                <w:sz w:val="24"/>
                <w:szCs w:val="24"/>
                <w:highlight w:val="none"/>
                <w:lang w:val="en-US" w:eastAsia="zh-CN" w:bidi="ar-SA"/>
              </w:rPr>
              <w:t>后交由危废资质单位处理。</w:t>
            </w:r>
          </w:p>
          <w:p w14:paraId="7D442B81">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outlineLvl w:val="0"/>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sz w:val="24"/>
                <w:szCs w:val="24"/>
                <w:highlight w:val="none"/>
                <w:lang w:val="en-US" w:eastAsia="zh-CN"/>
              </w:rPr>
              <w:fldChar w:fldCharType="begin"/>
            </w:r>
            <w:r>
              <w:rPr>
                <w:rFonts w:hint="eastAsia" w:ascii="Times New Roman" w:hAnsi="Times New Roman" w:eastAsia="宋体" w:cs="Times New Roman"/>
                <w:b/>
                <w:bCs/>
                <w:color w:val="auto"/>
                <w:sz w:val="24"/>
                <w:szCs w:val="24"/>
                <w:highlight w:val="none"/>
                <w:lang w:val="en-US" w:eastAsia="zh-CN"/>
              </w:rPr>
              <w:instrText xml:space="preserve"> EQ \o\ac(</w:instrText>
            </w:r>
            <w:r>
              <w:rPr>
                <w:rFonts w:hint="eastAsia" w:ascii="Times New Roman" w:hAnsi="Times New Roman" w:eastAsia="宋体" w:cs="Times New Roman"/>
                <w:b/>
                <w:bCs/>
                <w:color w:val="auto"/>
                <w:kern w:val="2"/>
                <w:sz w:val="24"/>
                <w:szCs w:val="24"/>
                <w:highlight w:val="none"/>
                <w:lang w:val="en-US" w:eastAsia="zh-CN" w:bidi="ar-SA"/>
              </w:rPr>
              <w:instrText xml:space="preserve">○</w:instrText>
            </w:r>
            <w:r>
              <w:rPr>
                <w:rFonts w:hint="eastAsia" w:ascii="Times New Roman" w:hAnsi="Times New Roman" w:eastAsia="宋体" w:cs="Times New Roman"/>
                <w:b/>
                <w:bCs/>
                <w:color w:val="auto"/>
                <w:sz w:val="24"/>
                <w:szCs w:val="24"/>
                <w:highlight w:val="none"/>
                <w:lang w:val="en-US" w:eastAsia="zh-CN"/>
              </w:rPr>
              <w:instrText xml:space="preserve">,</w:instrText>
            </w:r>
            <w:r>
              <w:rPr>
                <w:rFonts w:hint="eastAsia" w:ascii="Times New Roman" w:hAnsi="Times New Roman" w:eastAsia="宋体" w:cs="Times New Roman"/>
                <w:b/>
                <w:bCs/>
                <w:color w:val="auto"/>
                <w:kern w:val="2"/>
                <w:position w:val="3"/>
                <w:sz w:val="16"/>
                <w:szCs w:val="24"/>
                <w:highlight w:val="none"/>
                <w:lang w:val="en-US" w:eastAsia="zh-CN" w:bidi="ar-SA"/>
              </w:rPr>
              <w:instrText xml:space="preserve">12</w:instrText>
            </w:r>
            <w:r>
              <w:rPr>
                <w:rFonts w:hint="eastAsia" w:ascii="Times New Roman" w:hAnsi="Times New Roman" w:eastAsia="宋体" w:cs="Times New Roman"/>
                <w:b/>
                <w:bCs/>
                <w:color w:val="auto"/>
                <w:sz w:val="24"/>
                <w:szCs w:val="24"/>
                <w:highlight w:val="none"/>
                <w:lang w:val="en-US" w:eastAsia="zh-CN"/>
              </w:rPr>
              <w:instrText xml:space="preserve">)</w:instrText>
            </w:r>
            <w:r>
              <w:rPr>
                <w:rFonts w:hint="eastAsia" w:ascii="Times New Roman" w:hAnsi="Times New Roman" w:eastAsia="宋体" w:cs="Times New Roman"/>
                <w:b/>
                <w:bCs/>
                <w:color w:val="auto"/>
                <w:sz w:val="24"/>
                <w:szCs w:val="24"/>
                <w:highlight w:val="none"/>
                <w:lang w:val="en-US" w:eastAsia="zh-CN"/>
              </w:rPr>
              <w:fldChar w:fldCharType="end"/>
            </w:r>
            <w:r>
              <w:rPr>
                <w:rFonts w:hint="default" w:ascii="Times New Roman" w:hAnsi="Times New Roman" w:eastAsia="宋体" w:cs="Times New Roman"/>
                <w:b/>
                <w:bCs/>
                <w:color w:val="auto"/>
                <w:sz w:val="24"/>
                <w:szCs w:val="24"/>
                <w:highlight w:val="none"/>
                <w:lang w:val="en-US" w:eastAsia="zh-CN"/>
              </w:rPr>
              <w:t>电捕焦油器</w:t>
            </w:r>
            <w:r>
              <w:rPr>
                <w:rFonts w:hint="eastAsia" w:ascii="Times New Roman" w:hAnsi="Times New Roman" w:eastAsia="宋体" w:cs="Times New Roman"/>
                <w:b/>
                <w:bCs/>
                <w:color w:val="auto"/>
                <w:sz w:val="24"/>
                <w:szCs w:val="24"/>
                <w:highlight w:val="none"/>
                <w:lang w:val="en-US" w:eastAsia="zh-CN"/>
              </w:rPr>
              <w:t>冲洗液</w:t>
            </w:r>
          </w:p>
          <w:p w14:paraId="5AE1F4AA">
            <w:pPr>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根据</w:t>
            </w:r>
            <w:r>
              <w:rPr>
                <w:rFonts w:hint="eastAsia" w:ascii="Times New Roman" w:hAnsi="Times New Roman" w:cs="Times New Roman"/>
                <w:color w:val="auto"/>
                <w:sz w:val="24"/>
                <w:highlight w:val="none"/>
                <w:lang w:val="en-US" w:eastAsia="zh-CN"/>
              </w:rPr>
              <w:t>水平衡分析可知</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电捕焦油器冲洗液</w:t>
            </w:r>
            <w:r>
              <w:rPr>
                <w:rFonts w:hint="default" w:ascii="Times New Roman" w:hAnsi="Times New Roman" w:cs="Times New Roman"/>
                <w:color w:val="auto"/>
                <w:sz w:val="24"/>
                <w:szCs w:val="24"/>
                <w:highlight w:val="none"/>
                <w:lang w:val="en-US" w:eastAsia="zh-CN"/>
              </w:rPr>
              <w:t>产生量为</w:t>
            </w:r>
            <w:r>
              <w:rPr>
                <w:rFonts w:hint="eastAsia" w:ascii="Times New Roman" w:hAnsi="Times New Roman" w:cs="Times New Roman"/>
                <w:color w:val="auto"/>
                <w:sz w:val="24"/>
                <w:szCs w:val="24"/>
                <w:highlight w:val="none"/>
                <w:lang w:val="en-US" w:eastAsia="zh-CN"/>
              </w:rPr>
              <w:t>0.064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eastAsia" w:ascii="Times New Roman" w:hAnsi="Times New Roman" w:cs="Times New Roman"/>
                <w:color w:val="auto"/>
                <w:sz w:val="24"/>
                <w:szCs w:val="24"/>
                <w:highlight w:val="none"/>
                <w:lang w:val="en-US" w:eastAsia="zh-CN"/>
              </w:rPr>
              <w:t>21.12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电捕焦油器</w:t>
            </w:r>
            <w:r>
              <w:rPr>
                <w:rFonts w:hint="eastAsia" w:ascii="Times New Roman" w:hAnsi="Times New Roman" w:eastAsia="宋体" w:cs="Times New Roman"/>
                <w:color w:val="auto"/>
                <w:sz w:val="24"/>
                <w:szCs w:val="24"/>
                <w:highlight w:val="none"/>
                <w:lang w:val="en-US" w:eastAsia="zh-CN"/>
              </w:rPr>
              <w:t>冲洗液</w:t>
            </w:r>
            <w:r>
              <w:rPr>
                <w:rFonts w:hint="default" w:ascii="Times New Roman" w:hAnsi="Times New Roman" w:cs="Times New Roman"/>
                <w:color w:val="auto"/>
                <w:sz w:val="24"/>
                <w:highlight w:val="none"/>
              </w:rPr>
              <w:t>属于危险废物，根据《国家危险废物名录》（202</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年），废物类别HW49其他废物（环境治理），废物代码772-006-49：采用物理、化学、物理化学或生物方法处理毒性或感染性危险废物过程产生的废水处理污泥、残渣（液）。</w:t>
            </w:r>
            <w:r>
              <w:rPr>
                <w:rFonts w:hint="default" w:ascii="Times New Roman" w:hAnsi="Times New Roman" w:eastAsia="宋体" w:cs="Times New Roman"/>
                <w:color w:val="auto"/>
                <w:sz w:val="24"/>
                <w:szCs w:val="24"/>
                <w:highlight w:val="none"/>
                <w:lang w:val="en-US" w:eastAsia="zh-CN"/>
              </w:rPr>
              <w:t>电捕焦油器</w:t>
            </w:r>
            <w:r>
              <w:rPr>
                <w:rFonts w:hint="eastAsia" w:ascii="Times New Roman" w:hAnsi="Times New Roman" w:eastAsia="宋体" w:cs="Times New Roman"/>
                <w:color w:val="auto"/>
                <w:sz w:val="24"/>
                <w:szCs w:val="24"/>
                <w:highlight w:val="none"/>
                <w:lang w:val="en-US" w:eastAsia="zh-CN"/>
              </w:rPr>
              <w:t>冲洗液暂存于危险废物贮存库，并定期交由有资质的单位清运处置。</w:t>
            </w:r>
          </w:p>
          <w:bookmarkEnd w:id="144"/>
          <w:bookmarkEnd w:id="145"/>
          <w:bookmarkEnd w:id="146"/>
          <w:bookmarkEnd w:id="147"/>
          <w:p w14:paraId="0D5FEFD6">
            <w:pPr>
              <w:ind w:firstLine="480"/>
              <w:rPr>
                <w:b/>
                <w:bCs/>
                <w:color w:val="auto"/>
                <w:highlight w:val="none"/>
              </w:rPr>
            </w:pPr>
            <w:r>
              <w:rPr>
                <w:rFonts w:hint="eastAsia"/>
                <w:b/>
                <w:bCs/>
                <w:color w:val="auto"/>
                <w:highlight w:val="none"/>
              </w:rPr>
              <w:t>（3）生活垃圾</w:t>
            </w:r>
          </w:p>
          <w:p w14:paraId="7A04F1B9">
            <w:pPr>
              <w:ind w:firstLine="480"/>
              <w:rPr>
                <w:color w:val="auto"/>
                <w:highlight w:val="none"/>
              </w:rPr>
            </w:pPr>
            <w:r>
              <w:rPr>
                <w:color w:val="auto"/>
                <w:highlight w:val="none"/>
              </w:rPr>
              <w:t>本项目劳动定员1</w:t>
            </w:r>
            <w:r>
              <w:rPr>
                <w:rFonts w:hint="eastAsia"/>
                <w:color w:val="auto"/>
                <w:highlight w:val="none"/>
              </w:rPr>
              <w:t>0</w:t>
            </w:r>
            <w:r>
              <w:rPr>
                <w:color w:val="auto"/>
                <w:highlight w:val="none"/>
              </w:rPr>
              <w:t>0人，在厂内食宿，年工作3</w:t>
            </w:r>
            <w:r>
              <w:rPr>
                <w:rFonts w:hint="eastAsia"/>
                <w:color w:val="auto"/>
                <w:highlight w:val="none"/>
              </w:rPr>
              <w:t>3</w:t>
            </w:r>
            <w:r>
              <w:rPr>
                <w:color w:val="auto"/>
                <w:highlight w:val="none"/>
              </w:rPr>
              <w:t>0天，按每人每天生活垃圾产生量为1.0kg，生活垃圾产生量为</w:t>
            </w:r>
            <w:r>
              <w:rPr>
                <w:rFonts w:hint="eastAsia"/>
                <w:color w:val="auto"/>
                <w:highlight w:val="none"/>
              </w:rPr>
              <w:t>33</w:t>
            </w:r>
            <w:r>
              <w:rPr>
                <w:color w:val="auto"/>
                <w:highlight w:val="none"/>
              </w:rPr>
              <w:t>t/a。</w:t>
            </w:r>
          </w:p>
          <w:p w14:paraId="31C09DCB">
            <w:pPr>
              <w:pStyle w:val="2"/>
              <w:ind w:firstLine="480" w:firstLineChars="200"/>
              <w:rPr>
                <w:color w:val="auto"/>
                <w:highlight w:val="none"/>
              </w:rPr>
            </w:pPr>
            <w:r>
              <w:rPr>
                <w:rFonts w:ascii="Times New Roman" w:cs="Times New Roman"/>
                <w:color w:val="auto"/>
                <w:highlight w:val="none"/>
              </w:rPr>
              <w:t>根据《固体废物分类与代码目录》（生态环境部公告2024年第4号），其属于SW64其他垃圾（900-099-S64生活垃圾）。</w:t>
            </w:r>
          </w:p>
          <w:p w14:paraId="4BCFC06C">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2</w:t>
            </w:r>
            <w:r>
              <w:rPr>
                <w:rFonts w:hint="eastAsia"/>
                <w:b/>
                <w:bCs/>
                <w:color w:val="auto"/>
                <w:sz w:val="21"/>
                <w:szCs w:val="21"/>
                <w:highlight w:val="none"/>
                <w:lang w:val="en-US" w:eastAsia="zh-CN"/>
              </w:rPr>
              <w:t>6</w:t>
            </w:r>
            <w:r>
              <w:rPr>
                <w:rFonts w:hint="eastAsia"/>
                <w:b/>
                <w:bCs/>
                <w:color w:val="auto"/>
                <w:sz w:val="21"/>
                <w:szCs w:val="21"/>
                <w:highlight w:val="none"/>
              </w:rPr>
              <w:t xml:space="preserve"> </w:t>
            </w:r>
            <w:r>
              <w:rPr>
                <w:b/>
                <w:bCs/>
                <w:color w:val="auto"/>
                <w:sz w:val="21"/>
                <w:szCs w:val="21"/>
                <w:highlight w:val="none"/>
              </w:rPr>
              <w:t>固体废物污染源源强核算结果及相关参数一览表</w:t>
            </w:r>
          </w:p>
          <w:tbl>
            <w:tblPr>
              <w:tblStyle w:val="49"/>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21"/>
              <w:gridCol w:w="884"/>
              <w:gridCol w:w="1105"/>
              <w:gridCol w:w="1155"/>
              <w:gridCol w:w="529"/>
              <w:gridCol w:w="600"/>
              <w:gridCol w:w="1007"/>
              <w:gridCol w:w="985"/>
              <w:gridCol w:w="1731"/>
            </w:tblGrid>
            <w:tr w14:paraId="47E4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65C0897B">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工序</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生产线</w:t>
                  </w:r>
                </w:p>
              </w:tc>
              <w:tc>
                <w:tcPr>
                  <w:tcW w:w="884" w:type="dxa"/>
                  <w:vMerge w:val="restart"/>
                  <w:shd w:val="clear" w:color="auto" w:fill="auto"/>
                  <w:tcMar>
                    <w:top w:w="0" w:type="dxa"/>
                    <w:left w:w="0" w:type="dxa"/>
                    <w:bottom w:w="0" w:type="dxa"/>
                    <w:right w:w="0" w:type="dxa"/>
                  </w:tcMar>
                  <w:vAlign w:val="center"/>
                </w:tcPr>
                <w:p w14:paraId="22A4ACDE">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装置</w:t>
                  </w:r>
                </w:p>
              </w:tc>
              <w:tc>
                <w:tcPr>
                  <w:tcW w:w="1105" w:type="dxa"/>
                  <w:vMerge w:val="restart"/>
                  <w:shd w:val="clear" w:color="auto" w:fill="auto"/>
                  <w:tcMar>
                    <w:top w:w="0" w:type="dxa"/>
                    <w:left w:w="0" w:type="dxa"/>
                    <w:bottom w:w="0" w:type="dxa"/>
                    <w:right w:w="0" w:type="dxa"/>
                  </w:tcMar>
                  <w:vAlign w:val="center"/>
                </w:tcPr>
                <w:p w14:paraId="699DBE18">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固体废物名称</w:t>
                  </w:r>
                </w:p>
              </w:tc>
              <w:tc>
                <w:tcPr>
                  <w:tcW w:w="1155" w:type="dxa"/>
                  <w:vMerge w:val="restart"/>
                  <w:shd w:val="clear" w:color="auto" w:fill="auto"/>
                  <w:tcMar>
                    <w:top w:w="0" w:type="dxa"/>
                    <w:left w:w="0" w:type="dxa"/>
                    <w:bottom w:w="0" w:type="dxa"/>
                    <w:right w:w="0" w:type="dxa"/>
                  </w:tcMar>
                  <w:vAlign w:val="center"/>
                </w:tcPr>
                <w:p w14:paraId="12B38B3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代码</w:t>
                  </w:r>
                </w:p>
              </w:tc>
              <w:tc>
                <w:tcPr>
                  <w:tcW w:w="529" w:type="dxa"/>
                  <w:vMerge w:val="restart"/>
                  <w:shd w:val="clear" w:color="auto" w:fill="auto"/>
                  <w:tcMar>
                    <w:top w:w="0" w:type="dxa"/>
                    <w:left w:w="0" w:type="dxa"/>
                    <w:bottom w:w="0" w:type="dxa"/>
                    <w:right w:w="0" w:type="dxa"/>
                  </w:tcMar>
                  <w:vAlign w:val="center"/>
                </w:tcPr>
                <w:p w14:paraId="05263C1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固废属性</w:t>
                  </w:r>
                </w:p>
              </w:tc>
              <w:tc>
                <w:tcPr>
                  <w:tcW w:w="1607" w:type="dxa"/>
                  <w:gridSpan w:val="2"/>
                  <w:shd w:val="clear" w:color="auto" w:fill="auto"/>
                  <w:tcMar>
                    <w:top w:w="0" w:type="dxa"/>
                    <w:left w:w="0" w:type="dxa"/>
                    <w:bottom w:w="0" w:type="dxa"/>
                    <w:right w:w="0" w:type="dxa"/>
                  </w:tcMar>
                  <w:vAlign w:val="center"/>
                </w:tcPr>
                <w:p w14:paraId="520B58FB">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产生情况</w:t>
                  </w:r>
                </w:p>
              </w:tc>
              <w:tc>
                <w:tcPr>
                  <w:tcW w:w="2716" w:type="dxa"/>
                  <w:gridSpan w:val="2"/>
                  <w:shd w:val="clear" w:color="auto" w:fill="auto"/>
                  <w:tcMar>
                    <w:top w:w="0" w:type="dxa"/>
                    <w:left w:w="0" w:type="dxa"/>
                    <w:bottom w:w="0" w:type="dxa"/>
                    <w:right w:w="0" w:type="dxa"/>
                  </w:tcMar>
                  <w:vAlign w:val="center"/>
                </w:tcPr>
                <w:p w14:paraId="5CE475A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处置措施</w:t>
                  </w:r>
                </w:p>
              </w:tc>
            </w:tr>
            <w:tr w14:paraId="3D45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221" w:type="dxa"/>
                  <w:vMerge w:val="continue"/>
                  <w:shd w:val="clear" w:color="auto" w:fill="auto"/>
                  <w:tcMar>
                    <w:top w:w="0" w:type="dxa"/>
                    <w:left w:w="0" w:type="dxa"/>
                    <w:bottom w:w="0" w:type="dxa"/>
                    <w:right w:w="0" w:type="dxa"/>
                  </w:tcMar>
                  <w:vAlign w:val="center"/>
                </w:tcPr>
                <w:p w14:paraId="0DCA152D">
                  <w:pPr>
                    <w:spacing w:line="240" w:lineRule="auto"/>
                    <w:jc w:val="center"/>
                    <w:rPr>
                      <w:rFonts w:hint="eastAsia" w:ascii="宋体" w:hAnsi="宋体" w:eastAsia="宋体" w:cs="宋体"/>
                      <w:b/>
                      <w:bCs/>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3AE2105D">
                  <w:pPr>
                    <w:spacing w:line="240" w:lineRule="auto"/>
                    <w:jc w:val="center"/>
                    <w:rPr>
                      <w:rFonts w:hint="eastAsia" w:ascii="宋体" w:hAnsi="宋体" w:eastAsia="宋体" w:cs="宋体"/>
                      <w:b/>
                      <w:bCs/>
                      <w:i w:val="0"/>
                      <w:iCs w:val="0"/>
                      <w:color w:val="auto"/>
                      <w:sz w:val="21"/>
                      <w:szCs w:val="21"/>
                      <w:highlight w:val="none"/>
                      <w:u w:val="none"/>
                    </w:rPr>
                  </w:pPr>
                </w:p>
              </w:tc>
              <w:tc>
                <w:tcPr>
                  <w:tcW w:w="1105" w:type="dxa"/>
                  <w:vMerge w:val="continue"/>
                  <w:shd w:val="clear" w:color="auto" w:fill="auto"/>
                  <w:tcMar>
                    <w:top w:w="0" w:type="dxa"/>
                    <w:left w:w="0" w:type="dxa"/>
                    <w:bottom w:w="0" w:type="dxa"/>
                    <w:right w:w="0" w:type="dxa"/>
                  </w:tcMar>
                  <w:vAlign w:val="center"/>
                </w:tcPr>
                <w:p w14:paraId="0F81C1E0">
                  <w:pPr>
                    <w:spacing w:line="240" w:lineRule="auto"/>
                    <w:jc w:val="center"/>
                    <w:rPr>
                      <w:rFonts w:hint="eastAsia" w:ascii="宋体" w:hAnsi="宋体" w:eastAsia="宋体" w:cs="宋体"/>
                      <w:b/>
                      <w:bCs/>
                      <w:i w:val="0"/>
                      <w:iCs w:val="0"/>
                      <w:color w:val="auto"/>
                      <w:sz w:val="21"/>
                      <w:szCs w:val="21"/>
                      <w:highlight w:val="none"/>
                      <w:u w:val="none"/>
                    </w:rPr>
                  </w:pPr>
                </w:p>
              </w:tc>
              <w:tc>
                <w:tcPr>
                  <w:tcW w:w="1155" w:type="dxa"/>
                  <w:vMerge w:val="continue"/>
                  <w:shd w:val="clear" w:color="auto" w:fill="auto"/>
                  <w:tcMar>
                    <w:top w:w="0" w:type="dxa"/>
                    <w:left w:w="0" w:type="dxa"/>
                    <w:bottom w:w="0" w:type="dxa"/>
                    <w:right w:w="0" w:type="dxa"/>
                  </w:tcMar>
                  <w:vAlign w:val="center"/>
                </w:tcPr>
                <w:p w14:paraId="3866B3DE">
                  <w:pPr>
                    <w:spacing w:line="240" w:lineRule="auto"/>
                    <w:jc w:val="center"/>
                    <w:rPr>
                      <w:rFonts w:hint="eastAsia" w:ascii="宋体" w:hAnsi="宋体" w:eastAsia="宋体" w:cs="宋体"/>
                      <w:b/>
                      <w:bCs/>
                      <w:i w:val="0"/>
                      <w:iCs w:val="0"/>
                      <w:color w:val="auto"/>
                      <w:sz w:val="21"/>
                      <w:szCs w:val="21"/>
                      <w:highlight w:val="none"/>
                      <w:u w:val="none"/>
                    </w:rPr>
                  </w:pPr>
                </w:p>
              </w:tc>
              <w:tc>
                <w:tcPr>
                  <w:tcW w:w="529" w:type="dxa"/>
                  <w:vMerge w:val="continue"/>
                  <w:shd w:val="clear" w:color="auto" w:fill="auto"/>
                  <w:tcMar>
                    <w:top w:w="0" w:type="dxa"/>
                    <w:left w:w="0" w:type="dxa"/>
                    <w:bottom w:w="0" w:type="dxa"/>
                    <w:right w:w="0" w:type="dxa"/>
                  </w:tcMar>
                  <w:vAlign w:val="center"/>
                </w:tcPr>
                <w:p w14:paraId="4BBCB1CB">
                  <w:pPr>
                    <w:spacing w:line="240" w:lineRule="auto"/>
                    <w:jc w:val="center"/>
                    <w:rPr>
                      <w:rFonts w:hint="eastAsia" w:ascii="宋体" w:hAnsi="宋体" w:eastAsia="宋体" w:cs="宋体"/>
                      <w:b/>
                      <w:bCs/>
                      <w:i w:val="0"/>
                      <w:iCs w:val="0"/>
                      <w:color w:val="auto"/>
                      <w:sz w:val="21"/>
                      <w:szCs w:val="21"/>
                      <w:highlight w:val="none"/>
                      <w:u w:val="none"/>
                    </w:rPr>
                  </w:pPr>
                </w:p>
              </w:tc>
              <w:tc>
                <w:tcPr>
                  <w:tcW w:w="600" w:type="dxa"/>
                  <w:shd w:val="clear" w:color="auto" w:fill="auto"/>
                  <w:tcMar>
                    <w:top w:w="0" w:type="dxa"/>
                    <w:left w:w="0" w:type="dxa"/>
                    <w:bottom w:w="0" w:type="dxa"/>
                    <w:right w:w="0" w:type="dxa"/>
                  </w:tcMar>
                  <w:vAlign w:val="center"/>
                </w:tcPr>
                <w:p w14:paraId="193B101E">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核算方法</w:t>
                  </w:r>
                </w:p>
              </w:tc>
              <w:tc>
                <w:tcPr>
                  <w:tcW w:w="1007" w:type="dxa"/>
                  <w:shd w:val="clear" w:color="auto" w:fill="auto"/>
                  <w:tcMar>
                    <w:top w:w="0" w:type="dxa"/>
                    <w:left w:w="0" w:type="dxa"/>
                    <w:bottom w:w="0" w:type="dxa"/>
                    <w:right w:w="0" w:type="dxa"/>
                  </w:tcMar>
                  <w:vAlign w:val="center"/>
                </w:tcPr>
                <w:p w14:paraId="1771E062">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p>
              </w:tc>
              <w:tc>
                <w:tcPr>
                  <w:tcW w:w="985" w:type="dxa"/>
                  <w:shd w:val="clear" w:color="auto" w:fill="auto"/>
                  <w:tcMar>
                    <w:top w:w="0" w:type="dxa"/>
                    <w:left w:w="0" w:type="dxa"/>
                    <w:bottom w:w="0" w:type="dxa"/>
                    <w:right w:w="0" w:type="dxa"/>
                  </w:tcMar>
                  <w:vAlign w:val="center"/>
                </w:tcPr>
                <w:p w14:paraId="09E56E0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工艺</w:t>
                  </w:r>
                </w:p>
              </w:tc>
              <w:tc>
                <w:tcPr>
                  <w:tcW w:w="1731" w:type="dxa"/>
                  <w:shd w:val="clear" w:color="auto" w:fill="auto"/>
                  <w:tcMar>
                    <w:top w:w="0" w:type="dxa"/>
                    <w:left w:w="0" w:type="dxa"/>
                    <w:bottom w:w="0" w:type="dxa"/>
                    <w:right w:w="0" w:type="dxa"/>
                  </w:tcMar>
                  <w:vAlign w:val="center"/>
                </w:tcPr>
                <w:p w14:paraId="039A652E">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处置量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p>
              </w:tc>
            </w:tr>
            <w:tr w14:paraId="13A6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shd w:val="clear" w:color="auto" w:fill="auto"/>
                  <w:tcMar>
                    <w:top w:w="0" w:type="dxa"/>
                    <w:left w:w="0" w:type="dxa"/>
                    <w:bottom w:w="0" w:type="dxa"/>
                    <w:right w:w="0" w:type="dxa"/>
                  </w:tcMar>
                  <w:vAlign w:val="center"/>
                </w:tcPr>
                <w:p w14:paraId="0ED1460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办公生活</w:t>
                  </w:r>
                </w:p>
              </w:tc>
              <w:tc>
                <w:tcPr>
                  <w:tcW w:w="884" w:type="dxa"/>
                  <w:shd w:val="clear" w:color="auto" w:fill="auto"/>
                  <w:tcMar>
                    <w:top w:w="0" w:type="dxa"/>
                    <w:left w:w="0" w:type="dxa"/>
                    <w:bottom w:w="0" w:type="dxa"/>
                    <w:right w:w="0" w:type="dxa"/>
                  </w:tcMar>
                  <w:vAlign w:val="center"/>
                </w:tcPr>
                <w:p w14:paraId="7780B96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垃圾桶</w:t>
                  </w:r>
                </w:p>
              </w:tc>
              <w:tc>
                <w:tcPr>
                  <w:tcW w:w="1105" w:type="dxa"/>
                  <w:shd w:val="clear" w:color="auto" w:fill="auto"/>
                  <w:tcMar>
                    <w:top w:w="0" w:type="dxa"/>
                    <w:left w:w="0" w:type="dxa"/>
                    <w:bottom w:w="0" w:type="dxa"/>
                    <w:right w:w="0" w:type="dxa"/>
                  </w:tcMar>
                  <w:vAlign w:val="center"/>
                </w:tcPr>
                <w:p w14:paraId="5A51221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生活垃圾</w:t>
                  </w:r>
                </w:p>
              </w:tc>
              <w:tc>
                <w:tcPr>
                  <w:tcW w:w="1155" w:type="dxa"/>
                  <w:shd w:val="clear" w:color="auto" w:fill="auto"/>
                  <w:tcMar>
                    <w:top w:w="0" w:type="dxa"/>
                    <w:left w:w="0" w:type="dxa"/>
                    <w:bottom w:w="0" w:type="dxa"/>
                    <w:right w:w="0" w:type="dxa"/>
                  </w:tcMar>
                  <w:vAlign w:val="center"/>
                </w:tcPr>
                <w:p w14:paraId="47F67B9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900-099-S64</w:t>
                  </w:r>
                </w:p>
              </w:tc>
              <w:tc>
                <w:tcPr>
                  <w:tcW w:w="529" w:type="dxa"/>
                  <w:vMerge w:val="restart"/>
                  <w:shd w:val="clear" w:color="auto" w:fill="auto"/>
                  <w:tcMar>
                    <w:top w:w="0" w:type="dxa"/>
                    <w:left w:w="0" w:type="dxa"/>
                    <w:bottom w:w="0" w:type="dxa"/>
                    <w:right w:w="0" w:type="dxa"/>
                  </w:tcMar>
                  <w:vAlign w:val="center"/>
                </w:tcPr>
                <w:p w14:paraId="342E058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一般固体废物</w:t>
                  </w:r>
                </w:p>
              </w:tc>
              <w:tc>
                <w:tcPr>
                  <w:tcW w:w="600" w:type="dxa"/>
                  <w:vMerge w:val="restart"/>
                  <w:shd w:val="clear" w:color="auto" w:fill="auto"/>
                  <w:tcMar>
                    <w:top w:w="0" w:type="dxa"/>
                    <w:left w:w="0" w:type="dxa"/>
                    <w:bottom w:w="0" w:type="dxa"/>
                    <w:right w:w="0" w:type="dxa"/>
                  </w:tcMar>
                  <w:vAlign w:val="center"/>
                </w:tcPr>
                <w:p w14:paraId="1565A41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产污系数法</w:t>
                  </w:r>
                </w:p>
              </w:tc>
              <w:tc>
                <w:tcPr>
                  <w:tcW w:w="1007" w:type="dxa"/>
                  <w:shd w:val="clear" w:color="auto" w:fill="auto"/>
                  <w:tcMar>
                    <w:top w:w="0" w:type="dxa"/>
                    <w:left w:w="0" w:type="dxa"/>
                    <w:bottom w:w="0" w:type="dxa"/>
                    <w:right w:w="0" w:type="dxa"/>
                  </w:tcMar>
                  <w:vAlign w:val="center"/>
                </w:tcPr>
                <w:p w14:paraId="5E8B09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33.00 </w:t>
                  </w:r>
                </w:p>
              </w:tc>
              <w:tc>
                <w:tcPr>
                  <w:tcW w:w="985" w:type="dxa"/>
                  <w:shd w:val="clear" w:color="auto" w:fill="auto"/>
                  <w:tcMar>
                    <w:top w:w="0" w:type="dxa"/>
                    <w:left w:w="0" w:type="dxa"/>
                    <w:bottom w:w="0" w:type="dxa"/>
                    <w:right w:w="0" w:type="dxa"/>
                  </w:tcMar>
                  <w:vAlign w:val="center"/>
                </w:tcPr>
                <w:p w14:paraId="48AB1F8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交由环卫部门清运</w:t>
                  </w:r>
                </w:p>
              </w:tc>
              <w:tc>
                <w:tcPr>
                  <w:tcW w:w="1731" w:type="dxa"/>
                  <w:shd w:val="clear" w:color="auto" w:fill="auto"/>
                  <w:tcMar>
                    <w:top w:w="0" w:type="dxa"/>
                    <w:left w:w="0" w:type="dxa"/>
                    <w:bottom w:w="0" w:type="dxa"/>
                    <w:right w:w="0" w:type="dxa"/>
                  </w:tcMar>
                  <w:vAlign w:val="center"/>
                </w:tcPr>
                <w:p w14:paraId="211F20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33.00 </w:t>
                  </w:r>
                </w:p>
              </w:tc>
            </w:tr>
            <w:tr w14:paraId="79CF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773123D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生产过程</w:t>
                  </w:r>
                </w:p>
              </w:tc>
              <w:tc>
                <w:tcPr>
                  <w:tcW w:w="884" w:type="dxa"/>
                  <w:vMerge w:val="restart"/>
                  <w:shd w:val="clear" w:color="auto" w:fill="auto"/>
                  <w:tcMar>
                    <w:top w:w="0" w:type="dxa"/>
                    <w:left w:w="0" w:type="dxa"/>
                    <w:bottom w:w="0" w:type="dxa"/>
                    <w:right w:w="0" w:type="dxa"/>
                  </w:tcMar>
                  <w:vAlign w:val="center"/>
                </w:tcPr>
                <w:p w14:paraId="2E087C4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分选工序</w:t>
                  </w:r>
                </w:p>
              </w:tc>
              <w:tc>
                <w:tcPr>
                  <w:tcW w:w="1105" w:type="dxa"/>
                  <w:shd w:val="clear" w:color="auto" w:fill="auto"/>
                  <w:tcMar>
                    <w:top w:w="0" w:type="dxa"/>
                    <w:left w:w="0" w:type="dxa"/>
                    <w:bottom w:w="0" w:type="dxa"/>
                    <w:right w:w="0" w:type="dxa"/>
                  </w:tcMar>
                  <w:vAlign w:val="center"/>
                </w:tcPr>
                <w:p w14:paraId="53DBBF3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废木屑杂物</w:t>
                  </w:r>
                </w:p>
              </w:tc>
              <w:tc>
                <w:tcPr>
                  <w:tcW w:w="1155" w:type="dxa"/>
                  <w:shd w:val="clear" w:color="auto" w:fill="auto"/>
                  <w:tcMar>
                    <w:top w:w="0" w:type="dxa"/>
                    <w:left w:w="0" w:type="dxa"/>
                    <w:bottom w:w="0" w:type="dxa"/>
                    <w:right w:w="0" w:type="dxa"/>
                  </w:tcMar>
                  <w:vAlign w:val="center"/>
                </w:tcPr>
                <w:p w14:paraId="039F95C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900-009-S17</w:t>
                  </w:r>
                </w:p>
              </w:tc>
              <w:tc>
                <w:tcPr>
                  <w:tcW w:w="529" w:type="dxa"/>
                  <w:vMerge w:val="continue"/>
                  <w:shd w:val="clear" w:color="auto" w:fill="auto"/>
                  <w:tcMar>
                    <w:top w:w="0" w:type="dxa"/>
                    <w:left w:w="0" w:type="dxa"/>
                    <w:bottom w:w="0" w:type="dxa"/>
                    <w:right w:w="0" w:type="dxa"/>
                  </w:tcMar>
                  <w:vAlign w:val="center"/>
                </w:tcPr>
                <w:p w14:paraId="048A6A67">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01ABC7C0">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722CF7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985" w:type="dxa"/>
                  <w:vMerge w:val="restart"/>
                  <w:shd w:val="clear" w:color="auto" w:fill="auto"/>
                  <w:tcMar>
                    <w:top w:w="0" w:type="dxa"/>
                    <w:left w:w="0" w:type="dxa"/>
                    <w:bottom w:w="0" w:type="dxa"/>
                    <w:right w:w="0" w:type="dxa"/>
                  </w:tcMar>
                  <w:vAlign w:val="center"/>
                </w:tcPr>
                <w:p w14:paraId="2491B2A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统一收集后外售至资源回收利用单位</w:t>
                  </w:r>
                </w:p>
              </w:tc>
              <w:tc>
                <w:tcPr>
                  <w:tcW w:w="1731" w:type="dxa"/>
                  <w:shd w:val="clear" w:color="auto" w:fill="auto"/>
                  <w:tcMar>
                    <w:top w:w="0" w:type="dxa"/>
                    <w:left w:w="0" w:type="dxa"/>
                    <w:bottom w:w="0" w:type="dxa"/>
                    <w:right w:w="0" w:type="dxa"/>
                  </w:tcMar>
                  <w:vAlign w:val="center"/>
                </w:tcPr>
                <w:p w14:paraId="6CD7FF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r>
            <w:tr w14:paraId="6AA5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4FCC9589">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7A677F76">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25A1438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废橡胶</w:t>
                  </w:r>
                </w:p>
              </w:tc>
              <w:tc>
                <w:tcPr>
                  <w:tcW w:w="1155" w:type="dxa"/>
                  <w:shd w:val="clear" w:color="auto" w:fill="auto"/>
                  <w:tcMar>
                    <w:top w:w="0" w:type="dxa"/>
                    <w:left w:w="0" w:type="dxa"/>
                    <w:bottom w:w="0" w:type="dxa"/>
                    <w:right w:w="0" w:type="dxa"/>
                  </w:tcMar>
                  <w:vAlign w:val="center"/>
                </w:tcPr>
                <w:p w14:paraId="7437DE2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900-006-S17</w:t>
                  </w:r>
                </w:p>
              </w:tc>
              <w:tc>
                <w:tcPr>
                  <w:tcW w:w="529" w:type="dxa"/>
                  <w:vMerge w:val="continue"/>
                  <w:shd w:val="clear" w:color="auto" w:fill="auto"/>
                  <w:tcMar>
                    <w:top w:w="0" w:type="dxa"/>
                    <w:left w:w="0" w:type="dxa"/>
                    <w:bottom w:w="0" w:type="dxa"/>
                    <w:right w:w="0" w:type="dxa"/>
                  </w:tcMar>
                  <w:vAlign w:val="center"/>
                </w:tcPr>
                <w:p w14:paraId="78A25892">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2289A35">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6AACAD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c>
                <w:tcPr>
                  <w:tcW w:w="985" w:type="dxa"/>
                  <w:vMerge w:val="continue"/>
                  <w:shd w:val="clear" w:color="auto" w:fill="auto"/>
                  <w:tcMar>
                    <w:top w:w="0" w:type="dxa"/>
                    <w:left w:w="0" w:type="dxa"/>
                    <w:bottom w:w="0" w:type="dxa"/>
                    <w:right w:w="0" w:type="dxa"/>
                  </w:tcMar>
                  <w:vAlign w:val="center"/>
                </w:tcPr>
                <w:p w14:paraId="603F2BFF">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0A052D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r>
            <w:tr w14:paraId="48C5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vMerge w:val="continue"/>
                  <w:shd w:val="clear" w:color="auto" w:fill="auto"/>
                  <w:tcMar>
                    <w:top w:w="0" w:type="dxa"/>
                    <w:left w:w="0" w:type="dxa"/>
                    <w:bottom w:w="0" w:type="dxa"/>
                    <w:right w:w="0" w:type="dxa"/>
                  </w:tcMar>
                  <w:vAlign w:val="center"/>
                </w:tcPr>
                <w:p w14:paraId="3519FC55">
                  <w:pPr>
                    <w:spacing w:line="240" w:lineRule="auto"/>
                    <w:jc w:val="center"/>
                    <w:rPr>
                      <w:rFonts w:hint="eastAsia" w:ascii="宋体" w:hAnsi="宋体" w:eastAsia="宋体" w:cs="宋体"/>
                      <w:i w:val="0"/>
                      <w:iCs w:val="0"/>
                      <w:color w:val="auto"/>
                      <w:sz w:val="21"/>
                      <w:szCs w:val="21"/>
                      <w:highlight w:val="none"/>
                      <w:u w:val="none"/>
                    </w:rPr>
                  </w:pPr>
                </w:p>
              </w:tc>
              <w:tc>
                <w:tcPr>
                  <w:tcW w:w="884" w:type="dxa"/>
                  <w:shd w:val="clear" w:color="auto" w:fill="auto"/>
                  <w:tcMar>
                    <w:top w:w="0" w:type="dxa"/>
                    <w:left w:w="0" w:type="dxa"/>
                    <w:bottom w:w="0" w:type="dxa"/>
                    <w:right w:w="0" w:type="dxa"/>
                  </w:tcMar>
                  <w:vAlign w:val="center"/>
                </w:tcPr>
                <w:p w14:paraId="284BF25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原辅材料拆包</w:t>
                  </w:r>
                </w:p>
              </w:tc>
              <w:tc>
                <w:tcPr>
                  <w:tcW w:w="1105" w:type="dxa"/>
                  <w:shd w:val="clear" w:color="auto" w:fill="auto"/>
                  <w:tcMar>
                    <w:top w:w="0" w:type="dxa"/>
                    <w:left w:w="0" w:type="dxa"/>
                    <w:bottom w:w="0" w:type="dxa"/>
                    <w:right w:w="0" w:type="dxa"/>
                  </w:tcMar>
                  <w:vAlign w:val="center"/>
                </w:tcPr>
                <w:p w14:paraId="02EC1320">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包装废料</w:t>
                  </w:r>
                </w:p>
              </w:tc>
              <w:tc>
                <w:tcPr>
                  <w:tcW w:w="1155" w:type="dxa"/>
                  <w:shd w:val="clear" w:color="auto" w:fill="auto"/>
                  <w:tcMar>
                    <w:top w:w="0" w:type="dxa"/>
                    <w:left w:w="0" w:type="dxa"/>
                    <w:bottom w:w="0" w:type="dxa"/>
                    <w:right w:w="0" w:type="dxa"/>
                  </w:tcMar>
                  <w:vAlign w:val="center"/>
                </w:tcPr>
                <w:p w14:paraId="0F588AA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900-003-S17</w:t>
                  </w:r>
                </w:p>
              </w:tc>
              <w:tc>
                <w:tcPr>
                  <w:tcW w:w="529" w:type="dxa"/>
                  <w:vMerge w:val="continue"/>
                  <w:shd w:val="clear" w:color="auto" w:fill="auto"/>
                  <w:tcMar>
                    <w:top w:w="0" w:type="dxa"/>
                    <w:left w:w="0" w:type="dxa"/>
                    <w:bottom w:w="0" w:type="dxa"/>
                    <w:right w:w="0" w:type="dxa"/>
                  </w:tcMar>
                  <w:vAlign w:val="center"/>
                </w:tcPr>
                <w:p w14:paraId="32AC3DC7">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210E7E68">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724E19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985" w:type="dxa"/>
                  <w:vMerge w:val="continue"/>
                  <w:shd w:val="clear" w:color="auto" w:fill="auto"/>
                  <w:tcMar>
                    <w:top w:w="0" w:type="dxa"/>
                    <w:left w:w="0" w:type="dxa"/>
                    <w:bottom w:w="0" w:type="dxa"/>
                    <w:right w:w="0" w:type="dxa"/>
                  </w:tcMar>
                  <w:vAlign w:val="center"/>
                </w:tcPr>
                <w:p w14:paraId="78B960B7">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21918C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r>
            <w:tr w14:paraId="3D72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70587745">
                  <w:pPr>
                    <w:spacing w:line="240" w:lineRule="auto"/>
                    <w:jc w:val="center"/>
                    <w:rPr>
                      <w:rFonts w:hint="eastAsia" w:ascii="宋体" w:hAnsi="宋体" w:eastAsia="宋体" w:cs="宋体"/>
                      <w:i w:val="0"/>
                      <w:iCs w:val="0"/>
                      <w:color w:val="auto"/>
                      <w:sz w:val="21"/>
                      <w:szCs w:val="21"/>
                      <w:highlight w:val="none"/>
                      <w:u w:val="none"/>
                    </w:rPr>
                  </w:pPr>
                </w:p>
              </w:tc>
              <w:tc>
                <w:tcPr>
                  <w:tcW w:w="884" w:type="dxa"/>
                  <w:shd w:val="clear" w:color="auto" w:fill="auto"/>
                  <w:tcMar>
                    <w:top w:w="0" w:type="dxa"/>
                    <w:left w:w="0" w:type="dxa"/>
                    <w:bottom w:w="0" w:type="dxa"/>
                    <w:right w:w="0" w:type="dxa"/>
                  </w:tcMar>
                  <w:vAlign w:val="center"/>
                </w:tcPr>
                <w:p w14:paraId="3CD87750">
                  <w:pPr>
                    <w:spacing w:line="24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废水处理</w:t>
                  </w:r>
                </w:p>
              </w:tc>
              <w:tc>
                <w:tcPr>
                  <w:tcW w:w="1105" w:type="dxa"/>
                  <w:shd w:val="clear" w:color="auto" w:fill="auto"/>
                  <w:tcMar>
                    <w:top w:w="0" w:type="dxa"/>
                    <w:left w:w="0" w:type="dxa"/>
                    <w:bottom w:w="0" w:type="dxa"/>
                    <w:right w:w="0" w:type="dxa"/>
                  </w:tcMar>
                  <w:vAlign w:val="center"/>
                </w:tcPr>
                <w:p w14:paraId="45A3613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废滤料</w:t>
                  </w:r>
                </w:p>
              </w:tc>
              <w:tc>
                <w:tcPr>
                  <w:tcW w:w="1155" w:type="dxa"/>
                  <w:shd w:val="clear" w:color="auto" w:fill="auto"/>
                  <w:noWrap/>
                  <w:tcMar>
                    <w:top w:w="0" w:type="dxa"/>
                    <w:left w:w="0" w:type="dxa"/>
                    <w:bottom w:w="0" w:type="dxa"/>
                    <w:right w:w="0" w:type="dxa"/>
                  </w:tcMar>
                  <w:vAlign w:val="center"/>
                </w:tcPr>
                <w:p w14:paraId="78779C9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900-009-S59</w:t>
                  </w:r>
                </w:p>
              </w:tc>
              <w:tc>
                <w:tcPr>
                  <w:tcW w:w="529" w:type="dxa"/>
                  <w:vMerge w:val="continue"/>
                  <w:shd w:val="clear" w:color="auto" w:fill="auto"/>
                  <w:tcMar>
                    <w:top w:w="0" w:type="dxa"/>
                    <w:left w:w="0" w:type="dxa"/>
                    <w:bottom w:w="0" w:type="dxa"/>
                    <w:right w:w="0" w:type="dxa"/>
                  </w:tcMar>
                  <w:vAlign w:val="center"/>
                </w:tcPr>
                <w:p w14:paraId="178CC732">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579C5AC">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2F0E94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 </w:t>
                  </w:r>
                </w:p>
              </w:tc>
              <w:tc>
                <w:tcPr>
                  <w:tcW w:w="985" w:type="dxa"/>
                  <w:vMerge w:val="continue"/>
                  <w:shd w:val="clear" w:color="auto" w:fill="auto"/>
                  <w:tcMar>
                    <w:top w:w="0" w:type="dxa"/>
                    <w:left w:w="0" w:type="dxa"/>
                    <w:bottom w:w="0" w:type="dxa"/>
                    <w:right w:w="0" w:type="dxa"/>
                  </w:tcMar>
                  <w:vAlign w:val="center"/>
                </w:tcPr>
                <w:p w14:paraId="19FDAFF0">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5FD120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 </w:t>
                  </w:r>
                </w:p>
              </w:tc>
            </w:tr>
            <w:tr w14:paraId="0FC1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340A75A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884" w:type="dxa"/>
                  <w:vMerge w:val="restart"/>
                  <w:shd w:val="clear" w:color="auto" w:fill="auto"/>
                  <w:tcMar>
                    <w:top w:w="0" w:type="dxa"/>
                    <w:left w:w="0" w:type="dxa"/>
                    <w:bottom w:w="0" w:type="dxa"/>
                    <w:right w:w="0" w:type="dxa"/>
                  </w:tcMar>
                  <w:vAlign w:val="center"/>
                </w:tcPr>
                <w:p w14:paraId="311A781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颗粒物废气除尘器</w:t>
                  </w:r>
                </w:p>
              </w:tc>
              <w:tc>
                <w:tcPr>
                  <w:tcW w:w="1105" w:type="dxa"/>
                  <w:shd w:val="clear" w:color="auto" w:fill="auto"/>
                  <w:tcMar>
                    <w:top w:w="0" w:type="dxa"/>
                    <w:left w:w="0" w:type="dxa"/>
                    <w:bottom w:w="0" w:type="dxa"/>
                    <w:right w:w="0" w:type="dxa"/>
                  </w:tcMar>
                  <w:vAlign w:val="center"/>
                </w:tcPr>
                <w:p w14:paraId="0F15290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废布袋</w:t>
                  </w:r>
                </w:p>
              </w:tc>
              <w:tc>
                <w:tcPr>
                  <w:tcW w:w="1155" w:type="dxa"/>
                  <w:shd w:val="clear" w:color="auto" w:fill="auto"/>
                  <w:tcMar>
                    <w:top w:w="0" w:type="dxa"/>
                    <w:left w:w="0" w:type="dxa"/>
                    <w:bottom w:w="0" w:type="dxa"/>
                    <w:right w:w="0" w:type="dxa"/>
                  </w:tcMar>
                  <w:vAlign w:val="center"/>
                </w:tcPr>
                <w:p w14:paraId="419B1B6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900-009-S59</w:t>
                  </w:r>
                </w:p>
              </w:tc>
              <w:tc>
                <w:tcPr>
                  <w:tcW w:w="529" w:type="dxa"/>
                  <w:vMerge w:val="continue"/>
                  <w:shd w:val="clear" w:color="auto" w:fill="auto"/>
                  <w:tcMar>
                    <w:top w:w="0" w:type="dxa"/>
                    <w:left w:w="0" w:type="dxa"/>
                    <w:bottom w:w="0" w:type="dxa"/>
                    <w:right w:w="0" w:type="dxa"/>
                  </w:tcMar>
                  <w:vAlign w:val="center"/>
                </w:tcPr>
                <w:p w14:paraId="76963302">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045C638">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15B38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985" w:type="dxa"/>
                  <w:vMerge w:val="continue"/>
                  <w:shd w:val="clear" w:color="auto" w:fill="auto"/>
                  <w:tcMar>
                    <w:top w:w="0" w:type="dxa"/>
                    <w:left w:w="0" w:type="dxa"/>
                    <w:bottom w:w="0" w:type="dxa"/>
                    <w:right w:w="0" w:type="dxa"/>
                  </w:tcMar>
                  <w:vAlign w:val="center"/>
                </w:tcPr>
                <w:p w14:paraId="1D12F890">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6ED144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r>
            <w:tr w14:paraId="76DF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4D22E07B">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1B0A9973">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4B3694B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收集粉尘</w:t>
                  </w:r>
                </w:p>
              </w:tc>
              <w:tc>
                <w:tcPr>
                  <w:tcW w:w="1155" w:type="dxa"/>
                  <w:shd w:val="clear" w:color="auto" w:fill="auto"/>
                  <w:tcMar>
                    <w:top w:w="0" w:type="dxa"/>
                    <w:left w:w="0" w:type="dxa"/>
                    <w:bottom w:w="0" w:type="dxa"/>
                    <w:right w:w="0" w:type="dxa"/>
                  </w:tcMar>
                  <w:vAlign w:val="center"/>
                </w:tcPr>
                <w:p w14:paraId="0ED119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900-099-S17</w:t>
                  </w:r>
                </w:p>
              </w:tc>
              <w:tc>
                <w:tcPr>
                  <w:tcW w:w="529" w:type="dxa"/>
                  <w:vMerge w:val="continue"/>
                  <w:shd w:val="clear" w:color="auto" w:fill="auto"/>
                  <w:tcMar>
                    <w:top w:w="0" w:type="dxa"/>
                    <w:left w:w="0" w:type="dxa"/>
                    <w:bottom w:w="0" w:type="dxa"/>
                    <w:right w:w="0" w:type="dxa"/>
                  </w:tcMar>
                  <w:vAlign w:val="center"/>
                </w:tcPr>
                <w:p w14:paraId="7C9344BD">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01DA04C7">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37EE27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12.19 </w:t>
                  </w:r>
                </w:p>
              </w:tc>
              <w:tc>
                <w:tcPr>
                  <w:tcW w:w="985" w:type="dxa"/>
                  <w:vMerge w:val="continue"/>
                  <w:shd w:val="clear" w:color="auto" w:fill="auto"/>
                  <w:tcMar>
                    <w:top w:w="0" w:type="dxa"/>
                    <w:left w:w="0" w:type="dxa"/>
                    <w:bottom w:w="0" w:type="dxa"/>
                    <w:right w:w="0" w:type="dxa"/>
                  </w:tcMar>
                  <w:vAlign w:val="center"/>
                </w:tcPr>
                <w:p w14:paraId="1B7DF01B">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7DEC9A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12.19 </w:t>
                  </w:r>
                </w:p>
              </w:tc>
            </w:tr>
            <w:tr w14:paraId="11DD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48EFA12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废水处理设施</w:t>
                  </w:r>
                </w:p>
              </w:tc>
              <w:tc>
                <w:tcPr>
                  <w:tcW w:w="884" w:type="dxa"/>
                  <w:vMerge w:val="restart"/>
                  <w:shd w:val="clear" w:color="auto" w:fill="auto"/>
                  <w:tcMar>
                    <w:top w:w="0" w:type="dxa"/>
                    <w:left w:w="0" w:type="dxa"/>
                    <w:bottom w:w="0" w:type="dxa"/>
                    <w:right w:w="0" w:type="dxa"/>
                  </w:tcMar>
                  <w:vAlign w:val="center"/>
                </w:tcPr>
                <w:p w14:paraId="5E17572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废水处理站</w:t>
                  </w:r>
                </w:p>
              </w:tc>
              <w:tc>
                <w:tcPr>
                  <w:tcW w:w="1105" w:type="dxa"/>
                  <w:shd w:val="clear" w:color="auto" w:fill="auto"/>
                  <w:tcMar>
                    <w:top w:w="0" w:type="dxa"/>
                    <w:left w:w="0" w:type="dxa"/>
                    <w:bottom w:w="0" w:type="dxa"/>
                    <w:right w:w="0" w:type="dxa"/>
                  </w:tcMar>
                  <w:vAlign w:val="center"/>
                </w:tcPr>
                <w:p w14:paraId="434F136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污泥</w:t>
                  </w:r>
                </w:p>
              </w:tc>
              <w:tc>
                <w:tcPr>
                  <w:tcW w:w="1155" w:type="dxa"/>
                  <w:shd w:val="clear" w:color="auto" w:fill="auto"/>
                  <w:tcMar>
                    <w:top w:w="0" w:type="dxa"/>
                    <w:left w:w="0" w:type="dxa"/>
                    <w:bottom w:w="0" w:type="dxa"/>
                    <w:right w:w="0" w:type="dxa"/>
                  </w:tcMar>
                  <w:vAlign w:val="center"/>
                </w:tcPr>
                <w:p w14:paraId="5BA1FC9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900-099-S07</w:t>
                  </w:r>
                </w:p>
              </w:tc>
              <w:tc>
                <w:tcPr>
                  <w:tcW w:w="529" w:type="dxa"/>
                  <w:vMerge w:val="continue"/>
                  <w:shd w:val="clear" w:color="auto" w:fill="auto"/>
                  <w:tcMar>
                    <w:top w:w="0" w:type="dxa"/>
                    <w:left w:w="0" w:type="dxa"/>
                    <w:bottom w:w="0" w:type="dxa"/>
                    <w:right w:w="0" w:type="dxa"/>
                  </w:tcMar>
                  <w:vAlign w:val="center"/>
                </w:tcPr>
                <w:p w14:paraId="4B79D308">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6F5CA721">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7F5934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185.84 </w:t>
                  </w:r>
                </w:p>
              </w:tc>
              <w:tc>
                <w:tcPr>
                  <w:tcW w:w="985" w:type="dxa"/>
                  <w:shd w:val="clear" w:color="auto" w:fill="auto"/>
                  <w:tcMar>
                    <w:top w:w="0" w:type="dxa"/>
                    <w:left w:w="0" w:type="dxa"/>
                    <w:bottom w:w="0" w:type="dxa"/>
                    <w:right w:w="0" w:type="dxa"/>
                  </w:tcMar>
                  <w:vAlign w:val="center"/>
                </w:tcPr>
                <w:p w14:paraId="163BF2B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外运填埋</w:t>
                  </w:r>
                </w:p>
              </w:tc>
              <w:tc>
                <w:tcPr>
                  <w:tcW w:w="1731" w:type="dxa"/>
                  <w:shd w:val="clear" w:color="auto" w:fill="auto"/>
                  <w:tcMar>
                    <w:top w:w="0" w:type="dxa"/>
                    <w:left w:w="0" w:type="dxa"/>
                    <w:bottom w:w="0" w:type="dxa"/>
                    <w:right w:w="0" w:type="dxa"/>
                  </w:tcMar>
                  <w:vAlign w:val="center"/>
                </w:tcPr>
                <w:p w14:paraId="40F91B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185.84 </w:t>
                  </w:r>
                </w:p>
              </w:tc>
            </w:tr>
            <w:tr w14:paraId="624E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2B2BE3A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84" w:type="dxa"/>
                  <w:vMerge w:val="continue"/>
                  <w:shd w:val="clear" w:color="auto" w:fill="auto"/>
                  <w:tcMar>
                    <w:top w:w="0" w:type="dxa"/>
                    <w:left w:w="0" w:type="dxa"/>
                    <w:bottom w:w="0" w:type="dxa"/>
                    <w:right w:w="0" w:type="dxa"/>
                  </w:tcMar>
                  <w:vAlign w:val="center"/>
                </w:tcPr>
                <w:p w14:paraId="0C77D25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105" w:type="dxa"/>
                  <w:shd w:val="clear" w:color="auto" w:fill="auto"/>
                  <w:tcMar>
                    <w:top w:w="0" w:type="dxa"/>
                    <w:left w:w="0" w:type="dxa"/>
                    <w:bottom w:w="0" w:type="dxa"/>
                    <w:right w:w="0" w:type="dxa"/>
                  </w:tcMar>
                  <w:vAlign w:val="center"/>
                </w:tcPr>
                <w:p w14:paraId="2DF9938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w:t>
                  </w: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eastAsia" w:ascii="宋体" w:hAnsi="宋体" w:eastAsia="宋体" w:cs="宋体"/>
                      <w:i w:val="0"/>
                      <w:iCs w:val="0"/>
                      <w:color w:val="auto"/>
                      <w:kern w:val="0"/>
                      <w:sz w:val="21"/>
                      <w:szCs w:val="21"/>
                      <w:highlight w:val="none"/>
                      <w:u w:val="none"/>
                      <w:lang w:val="en-US" w:eastAsia="zh-CN" w:bidi="ar"/>
                    </w:rPr>
                    <w:t>调整剂包装桶</w:t>
                  </w:r>
                </w:p>
              </w:tc>
              <w:tc>
                <w:tcPr>
                  <w:tcW w:w="1155" w:type="dxa"/>
                  <w:shd w:val="clear" w:color="auto" w:fill="auto"/>
                  <w:tcMar>
                    <w:top w:w="0" w:type="dxa"/>
                    <w:left w:w="0" w:type="dxa"/>
                    <w:bottom w:w="0" w:type="dxa"/>
                    <w:right w:w="0" w:type="dxa"/>
                  </w:tcMar>
                  <w:vAlign w:val="center"/>
                </w:tcPr>
                <w:p w14:paraId="2C143F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29" w:type="dxa"/>
                  <w:shd w:val="clear" w:color="auto" w:fill="auto"/>
                  <w:tcMar>
                    <w:top w:w="0" w:type="dxa"/>
                    <w:left w:w="0" w:type="dxa"/>
                    <w:bottom w:w="0" w:type="dxa"/>
                    <w:right w:w="0" w:type="dxa"/>
                  </w:tcMar>
                  <w:vAlign w:val="center"/>
                </w:tcPr>
                <w:p w14:paraId="7FFD9D7E">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1C140833">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4733B70F">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c>
                <w:tcPr>
                  <w:tcW w:w="985" w:type="dxa"/>
                  <w:shd w:val="clear" w:color="auto" w:fill="auto"/>
                  <w:tcMar>
                    <w:top w:w="0" w:type="dxa"/>
                    <w:left w:w="0" w:type="dxa"/>
                    <w:bottom w:w="0" w:type="dxa"/>
                    <w:right w:w="0" w:type="dxa"/>
                  </w:tcMar>
                  <w:vAlign w:val="center"/>
                </w:tcPr>
                <w:p w14:paraId="00C949B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731" w:type="dxa"/>
                  <w:shd w:val="clear" w:color="auto" w:fill="auto"/>
                  <w:tcMar>
                    <w:top w:w="0" w:type="dxa"/>
                    <w:left w:w="0" w:type="dxa"/>
                    <w:bottom w:w="0" w:type="dxa"/>
                    <w:right w:w="0" w:type="dxa"/>
                  </w:tcMar>
                  <w:vAlign w:val="center"/>
                </w:tcPr>
                <w:p w14:paraId="6BF659F1">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r>
            <w:tr w14:paraId="0C36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vMerge w:val="continue"/>
                  <w:shd w:val="clear" w:color="auto" w:fill="auto"/>
                  <w:tcMar>
                    <w:top w:w="0" w:type="dxa"/>
                    <w:left w:w="0" w:type="dxa"/>
                    <w:bottom w:w="0" w:type="dxa"/>
                    <w:right w:w="0" w:type="dxa"/>
                  </w:tcMar>
                  <w:vAlign w:val="center"/>
                </w:tcPr>
                <w:p w14:paraId="2EF15BDE">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1212EDE4">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730066F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废烧碱包装袋</w:t>
                  </w:r>
                </w:p>
              </w:tc>
              <w:tc>
                <w:tcPr>
                  <w:tcW w:w="1155" w:type="dxa"/>
                  <w:shd w:val="clear" w:color="auto" w:fill="auto"/>
                  <w:tcMar>
                    <w:top w:w="0" w:type="dxa"/>
                    <w:left w:w="0" w:type="dxa"/>
                    <w:bottom w:w="0" w:type="dxa"/>
                    <w:right w:w="0" w:type="dxa"/>
                  </w:tcMar>
                  <w:vAlign w:val="center"/>
                </w:tcPr>
                <w:p w14:paraId="16A0F48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900-399-35</w:t>
                  </w:r>
                </w:p>
              </w:tc>
              <w:tc>
                <w:tcPr>
                  <w:tcW w:w="529" w:type="dxa"/>
                  <w:vMerge w:val="restart"/>
                  <w:shd w:val="clear" w:color="auto" w:fill="auto"/>
                  <w:tcMar>
                    <w:top w:w="0" w:type="dxa"/>
                    <w:left w:w="0" w:type="dxa"/>
                    <w:bottom w:w="0" w:type="dxa"/>
                    <w:right w:w="0" w:type="dxa"/>
                  </w:tcMar>
                  <w:vAlign w:val="center"/>
                </w:tcPr>
                <w:p w14:paraId="136421D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危险废物</w:t>
                  </w:r>
                </w:p>
              </w:tc>
              <w:tc>
                <w:tcPr>
                  <w:tcW w:w="600" w:type="dxa"/>
                  <w:vMerge w:val="continue"/>
                  <w:shd w:val="clear" w:color="auto" w:fill="auto"/>
                  <w:tcMar>
                    <w:top w:w="0" w:type="dxa"/>
                    <w:left w:w="0" w:type="dxa"/>
                    <w:bottom w:w="0" w:type="dxa"/>
                    <w:right w:w="0" w:type="dxa"/>
                  </w:tcMar>
                  <w:vAlign w:val="center"/>
                </w:tcPr>
                <w:p w14:paraId="7664DF08">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6931AF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c>
                <w:tcPr>
                  <w:tcW w:w="985" w:type="dxa"/>
                  <w:vMerge w:val="restart"/>
                  <w:shd w:val="clear" w:color="auto" w:fill="auto"/>
                  <w:tcMar>
                    <w:top w:w="0" w:type="dxa"/>
                    <w:left w:w="0" w:type="dxa"/>
                    <w:bottom w:w="0" w:type="dxa"/>
                    <w:right w:w="0" w:type="dxa"/>
                  </w:tcMar>
                  <w:vAlign w:val="center"/>
                </w:tcPr>
                <w:p w14:paraId="3F5EA00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交由有资质单位处理</w:t>
                  </w:r>
                </w:p>
              </w:tc>
              <w:tc>
                <w:tcPr>
                  <w:tcW w:w="1731" w:type="dxa"/>
                  <w:shd w:val="clear" w:color="auto" w:fill="auto"/>
                  <w:tcMar>
                    <w:top w:w="0" w:type="dxa"/>
                    <w:left w:w="0" w:type="dxa"/>
                    <w:bottom w:w="0" w:type="dxa"/>
                    <w:right w:w="0" w:type="dxa"/>
                  </w:tcMar>
                  <w:vAlign w:val="center"/>
                </w:tcPr>
                <w:p w14:paraId="46BE58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r>
            <w:tr w14:paraId="5690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5081DCC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设备保养</w:t>
                  </w:r>
                </w:p>
              </w:tc>
              <w:tc>
                <w:tcPr>
                  <w:tcW w:w="884" w:type="dxa"/>
                  <w:vMerge w:val="restart"/>
                  <w:shd w:val="clear" w:color="auto" w:fill="auto"/>
                  <w:tcMar>
                    <w:top w:w="0" w:type="dxa"/>
                    <w:left w:w="0" w:type="dxa"/>
                    <w:bottom w:w="0" w:type="dxa"/>
                    <w:right w:w="0" w:type="dxa"/>
                  </w:tcMar>
                  <w:vAlign w:val="center"/>
                </w:tcPr>
                <w:p w14:paraId="72ACF1B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设备保养</w:t>
                  </w:r>
                </w:p>
              </w:tc>
              <w:tc>
                <w:tcPr>
                  <w:tcW w:w="1105" w:type="dxa"/>
                  <w:shd w:val="clear" w:color="auto" w:fill="auto"/>
                  <w:tcMar>
                    <w:top w:w="0" w:type="dxa"/>
                    <w:left w:w="0" w:type="dxa"/>
                    <w:bottom w:w="0" w:type="dxa"/>
                    <w:right w:w="0" w:type="dxa"/>
                  </w:tcMar>
                  <w:vAlign w:val="center"/>
                </w:tcPr>
                <w:p w14:paraId="6EE0BCF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废机油桶</w:t>
                  </w:r>
                </w:p>
              </w:tc>
              <w:tc>
                <w:tcPr>
                  <w:tcW w:w="1155" w:type="dxa"/>
                  <w:shd w:val="clear" w:color="auto" w:fill="auto"/>
                  <w:tcMar>
                    <w:top w:w="0" w:type="dxa"/>
                    <w:left w:w="0" w:type="dxa"/>
                    <w:bottom w:w="0" w:type="dxa"/>
                    <w:right w:w="0" w:type="dxa"/>
                  </w:tcMar>
                  <w:vAlign w:val="center"/>
                </w:tcPr>
                <w:p w14:paraId="69F566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29" w:type="dxa"/>
                  <w:vMerge w:val="continue"/>
                  <w:shd w:val="clear" w:color="auto" w:fill="auto"/>
                  <w:tcMar>
                    <w:top w:w="0" w:type="dxa"/>
                    <w:left w:w="0" w:type="dxa"/>
                    <w:bottom w:w="0" w:type="dxa"/>
                    <w:right w:w="0" w:type="dxa"/>
                  </w:tcMar>
                  <w:vAlign w:val="center"/>
                </w:tcPr>
                <w:p w14:paraId="3EE3CDCA">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0F8163F0">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3651C6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c>
                <w:tcPr>
                  <w:tcW w:w="985" w:type="dxa"/>
                  <w:vMerge w:val="continue"/>
                  <w:shd w:val="clear" w:color="auto" w:fill="auto"/>
                  <w:tcMar>
                    <w:top w:w="0" w:type="dxa"/>
                    <w:left w:w="0" w:type="dxa"/>
                    <w:bottom w:w="0" w:type="dxa"/>
                    <w:right w:w="0" w:type="dxa"/>
                  </w:tcMar>
                  <w:vAlign w:val="center"/>
                </w:tcPr>
                <w:p w14:paraId="6CC89836">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5EA90D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r>
            <w:tr w14:paraId="29E5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69522CDE">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17B53E05">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712FC4E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废机油</w:t>
                  </w:r>
                </w:p>
              </w:tc>
              <w:tc>
                <w:tcPr>
                  <w:tcW w:w="1155" w:type="dxa"/>
                  <w:shd w:val="clear" w:color="auto" w:fill="auto"/>
                  <w:tcMar>
                    <w:top w:w="0" w:type="dxa"/>
                    <w:left w:w="0" w:type="dxa"/>
                    <w:bottom w:w="0" w:type="dxa"/>
                    <w:right w:w="0" w:type="dxa"/>
                  </w:tcMar>
                  <w:vAlign w:val="center"/>
                </w:tcPr>
                <w:p w14:paraId="71BC69F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29" w:type="dxa"/>
                  <w:vMerge w:val="continue"/>
                  <w:shd w:val="clear" w:color="auto" w:fill="auto"/>
                  <w:tcMar>
                    <w:top w:w="0" w:type="dxa"/>
                    <w:left w:w="0" w:type="dxa"/>
                    <w:bottom w:w="0" w:type="dxa"/>
                    <w:right w:w="0" w:type="dxa"/>
                  </w:tcMar>
                  <w:vAlign w:val="center"/>
                </w:tcPr>
                <w:p w14:paraId="10DC7863">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3D0666EC">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4C79B7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c>
                <w:tcPr>
                  <w:tcW w:w="985" w:type="dxa"/>
                  <w:vMerge w:val="continue"/>
                  <w:shd w:val="clear" w:color="auto" w:fill="auto"/>
                  <w:tcMar>
                    <w:top w:w="0" w:type="dxa"/>
                    <w:left w:w="0" w:type="dxa"/>
                    <w:bottom w:w="0" w:type="dxa"/>
                    <w:right w:w="0" w:type="dxa"/>
                  </w:tcMar>
                  <w:vAlign w:val="center"/>
                </w:tcPr>
                <w:p w14:paraId="18A2CFE5">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25BDDF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r>
            <w:tr w14:paraId="1E21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48BD1437">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6462E0B2">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5A49660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含油废抹布</w:t>
                  </w:r>
                </w:p>
              </w:tc>
              <w:tc>
                <w:tcPr>
                  <w:tcW w:w="1155" w:type="dxa"/>
                  <w:shd w:val="clear" w:color="auto" w:fill="auto"/>
                  <w:tcMar>
                    <w:top w:w="0" w:type="dxa"/>
                    <w:left w:w="0" w:type="dxa"/>
                    <w:bottom w:w="0" w:type="dxa"/>
                    <w:right w:w="0" w:type="dxa"/>
                  </w:tcMar>
                  <w:vAlign w:val="center"/>
                </w:tcPr>
                <w:p w14:paraId="374E623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29" w:type="dxa"/>
                  <w:vMerge w:val="continue"/>
                  <w:shd w:val="clear" w:color="auto" w:fill="auto"/>
                  <w:tcMar>
                    <w:top w:w="0" w:type="dxa"/>
                    <w:left w:w="0" w:type="dxa"/>
                    <w:bottom w:w="0" w:type="dxa"/>
                    <w:right w:w="0" w:type="dxa"/>
                  </w:tcMar>
                  <w:vAlign w:val="center"/>
                </w:tcPr>
                <w:p w14:paraId="45DF7C11">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B9D29EB">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33A338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985" w:type="dxa"/>
                  <w:vMerge w:val="continue"/>
                  <w:shd w:val="clear" w:color="auto" w:fill="auto"/>
                  <w:tcMar>
                    <w:top w:w="0" w:type="dxa"/>
                    <w:left w:w="0" w:type="dxa"/>
                    <w:bottom w:w="0" w:type="dxa"/>
                    <w:right w:w="0" w:type="dxa"/>
                  </w:tcMar>
                  <w:vAlign w:val="center"/>
                </w:tcPr>
                <w:p w14:paraId="059546B0">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7E1B3E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r>
            <w:tr w14:paraId="4783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353C29C6">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54229BB7">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1DDA9FC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废柴油桶</w:t>
                  </w:r>
                </w:p>
              </w:tc>
              <w:tc>
                <w:tcPr>
                  <w:tcW w:w="1155" w:type="dxa"/>
                  <w:shd w:val="clear" w:color="auto" w:fill="auto"/>
                  <w:tcMar>
                    <w:top w:w="0" w:type="dxa"/>
                    <w:left w:w="0" w:type="dxa"/>
                    <w:bottom w:w="0" w:type="dxa"/>
                    <w:right w:w="0" w:type="dxa"/>
                  </w:tcMar>
                  <w:vAlign w:val="center"/>
                </w:tcPr>
                <w:p w14:paraId="5B6B46A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29" w:type="dxa"/>
                  <w:vMerge w:val="continue"/>
                  <w:shd w:val="clear" w:color="auto" w:fill="auto"/>
                  <w:tcMar>
                    <w:top w:w="0" w:type="dxa"/>
                    <w:left w:w="0" w:type="dxa"/>
                    <w:bottom w:w="0" w:type="dxa"/>
                    <w:right w:w="0" w:type="dxa"/>
                  </w:tcMar>
                  <w:vAlign w:val="center"/>
                </w:tcPr>
                <w:p w14:paraId="5C5C5612">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522F1F3C">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2662E2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c>
                <w:tcPr>
                  <w:tcW w:w="985" w:type="dxa"/>
                  <w:vMerge w:val="continue"/>
                  <w:shd w:val="clear" w:color="auto" w:fill="auto"/>
                  <w:tcMar>
                    <w:top w:w="0" w:type="dxa"/>
                    <w:left w:w="0" w:type="dxa"/>
                    <w:bottom w:w="0" w:type="dxa"/>
                    <w:right w:w="0" w:type="dxa"/>
                  </w:tcMar>
                  <w:vAlign w:val="center"/>
                </w:tcPr>
                <w:p w14:paraId="18E87AE9">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11EF8D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r>
            <w:tr w14:paraId="2A74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restart"/>
                  <w:shd w:val="clear" w:color="auto" w:fill="auto"/>
                  <w:tcMar>
                    <w:top w:w="0" w:type="dxa"/>
                    <w:left w:w="0" w:type="dxa"/>
                    <w:bottom w:w="0" w:type="dxa"/>
                    <w:right w:w="0" w:type="dxa"/>
                  </w:tcMar>
                  <w:vAlign w:val="center"/>
                </w:tcPr>
                <w:p w14:paraId="6A5E1F2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884" w:type="dxa"/>
                  <w:vMerge w:val="restart"/>
                  <w:shd w:val="clear" w:color="auto" w:fill="auto"/>
                  <w:tcMar>
                    <w:top w:w="0" w:type="dxa"/>
                    <w:left w:w="0" w:type="dxa"/>
                    <w:bottom w:w="0" w:type="dxa"/>
                    <w:right w:w="0" w:type="dxa"/>
                  </w:tcMar>
                  <w:vAlign w:val="center"/>
                </w:tcPr>
                <w:p w14:paraId="27023C5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1105" w:type="dxa"/>
                  <w:shd w:val="clear" w:color="auto" w:fill="auto"/>
                  <w:noWrap/>
                  <w:tcMar>
                    <w:top w:w="0" w:type="dxa"/>
                    <w:left w:w="0" w:type="dxa"/>
                    <w:bottom w:w="0" w:type="dxa"/>
                    <w:right w:w="0" w:type="dxa"/>
                  </w:tcMar>
                  <w:vAlign w:val="center"/>
                </w:tcPr>
                <w:p w14:paraId="24364E4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废活性炭</w:t>
                  </w:r>
                </w:p>
              </w:tc>
              <w:tc>
                <w:tcPr>
                  <w:tcW w:w="1155" w:type="dxa"/>
                  <w:shd w:val="clear" w:color="auto" w:fill="auto"/>
                  <w:tcMar>
                    <w:top w:w="0" w:type="dxa"/>
                    <w:left w:w="0" w:type="dxa"/>
                    <w:bottom w:w="0" w:type="dxa"/>
                    <w:right w:w="0" w:type="dxa"/>
                  </w:tcMar>
                  <w:vAlign w:val="center"/>
                </w:tcPr>
                <w:p w14:paraId="6E15173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529" w:type="dxa"/>
                  <w:vMerge w:val="continue"/>
                  <w:shd w:val="clear" w:color="auto" w:fill="auto"/>
                  <w:tcMar>
                    <w:top w:w="0" w:type="dxa"/>
                    <w:left w:w="0" w:type="dxa"/>
                    <w:bottom w:w="0" w:type="dxa"/>
                    <w:right w:w="0" w:type="dxa"/>
                  </w:tcMar>
                  <w:vAlign w:val="center"/>
                </w:tcPr>
                <w:p w14:paraId="11D6F98F">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23D1EAD4">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505318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985" w:type="dxa"/>
                  <w:vMerge w:val="continue"/>
                  <w:shd w:val="clear" w:color="auto" w:fill="auto"/>
                  <w:tcMar>
                    <w:top w:w="0" w:type="dxa"/>
                    <w:left w:w="0" w:type="dxa"/>
                    <w:bottom w:w="0" w:type="dxa"/>
                    <w:right w:w="0" w:type="dxa"/>
                  </w:tcMar>
                  <w:vAlign w:val="center"/>
                </w:tcPr>
                <w:p w14:paraId="226B8474">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6898D3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3AF6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21" w:type="dxa"/>
                  <w:vMerge w:val="continue"/>
                  <w:shd w:val="clear" w:color="auto" w:fill="auto"/>
                  <w:tcMar>
                    <w:top w:w="0" w:type="dxa"/>
                    <w:left w:w="0" w:type="dxa"/>
                    <w:bottom w:w="0" w:type="dxa"/>
                    <w:right w:w="0" w:type="dxa"/>
                  </w:tcMar>
                  <w:vAlign w:val="center"/>
                </w:tcPr>
                <w:p w14:paraId="18170D1A">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1C9FE5E3">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noWrap/>
                  <w:tcMar>
                    <w:top w:w="0" w:type="dxa"/>
                    <w:left w:w="0" w:type="dxa"/>
                    <w:bottom w:w="0" w:type="dxa"/>
                    <w:right w:w="0" w:type="dxa"/>
                  </w:tcMar>
                  <w:vAlign w:val="center"/>
                </w:tcPr>
                <w:p w14:paraId="6E196E6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废催化剂</w:t>
                  </w:r>
                </w:p>
              </w:tc>
              <w:tc>
                <w:tcPr>
                  <w:tcW w:w="1155" w:type="dxa"/>
                  <w:shd w:val="clear" w:color="auto" w:fill="auto"/>
                  <w:noWrap/>
                  <w:tcMar>
                    <w:top w:w="0" w:type="dxa"/>
                    <w:left w:w="0" w:type="dxa"/>
                    <w:bottom w:w="0" w:type="dxa"/>
                    <w:right w:w="0" w:type="dxa"/>
                  </w:tcMar>
                  <w:vAlign w:val="center"/>
                </w:tcPr>
                <w:p w14:paraId="3CD390A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900-049-50</w:t>
                  </w:r>
                </w:p>
              </w:tc>
              <w:tc>
                <w:tcPr>
                  <w:tcW w:w="529" w:type="dxa"/>
                  <w:vMerge w:val="continue"/>
                  <w:shd w:val="clear" w:color="auto" w:fill="auto"/>
                  <w:tcMar>
                    <w:top w:w="0" w:type="dxa"/>
                    <w:left w:w="0" w:type="dxa"/>
                    <w:bottom w:w="0" w:type="dxa"/>
                    <w:right w:w="0" w:type="dxa"/>
                  </w:tcMar>
                  <w:vAlign w:val="center"/>
                </w:tcPr>
                <w:p w14:paraId="107683F8">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13886777">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noWrap/>
                  <w:tcMar>
                    <w:top w:w="0" w:type="dxa"/>
                    <w:left w:w="0" w:type="dxa"/>
                    <w:bottom w:w="0" w:type="dxa"/>
                    <w:right w:w="0" w:type="dxa"/>
                  </w:tcMar>
                  <w:vAlign w:val="center"/>
                </w:tcPr>
                <w:p w14:paraId="184BFA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c>
                <w:tcPr>
                  <w:tcW w:w="985" w:type="dxa"/>
                  <w:vMerge w:val="continue"/>
                  <w:shd w:val="clear" w:color="auto" w:fill="auto"/>
                  <w:tcMar>
                    <w:top w:w="0" w:type="dxa"/>
                    <w:left w:w="0" w:type="dxa"/>
                    <w:bottom w:w="0" w:type="dxa"/>
                    <w:right w:w="0" w:type="dxa"/>
                  </w:tcMar>
                  <w:vAlign w:val="center"/>
                </w:tcPr>
                <w:p w14:paraId="5D2A48FD">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4213CF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r>
            <w:tr w14:paraId="5D45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vMerge w:val="continue"/>
                  <w:shd w:val="clear" w:color="auto" w:fill="auto"/>
                  <w:tcMar>
                    <w:top w:w="0" w:type="dxa"/>
                    <w:left w:w="0" w:type="dxa"/>
                    <w:bottom w:w="0" w:type="dxa"/>
                    <w:right w:w="0" w:type="dxa"/>
                  </w:tcMar>
                  <w:vAlign w:val="center"/>
                </w:tcPr>
                <w:p w14:paraId="072658C7">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0B180E78">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noWrap/>
                  <w:tcMar>
                    <w:top w:w="0" w:type="dxa"/>
                    <w:left w:w="0" w:type="dxa"/>
                    <w:bottom w:w="0" w:type="dxa"/>
                    <w:right w:w="0" w:type="dxa"/>
                  </w:tcMar>
                  <w:vAlign w:val="center"/>
                </w:tcPr>
                <w:p w14:paraId="3486537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喷淋沉渣</w:t>
                  </w:r>
                </w:p>
              </w:tc>
              <w:tc>
                <w:tcPr>
                  <w:tcW w:w="1155" w:type="dxa"/>
                  <w:shd w:val="clear" w:color="auto" w:fill="auto"/>
                  <w:noWrap/>
                  <w:tcMar>
                    <w:top w:w="0" w:type="dxa"/>
                    <w:left w:w="0" w:type="dxa"/>
                    <w:bottom w:w="0" w:type="dxa"/>
                    <w:right w:w="0" w:type="dxa"/>
                  </w:tcMar>
                  <w:vAlign w:val="center"/>
                </w:tcPr>
                <w:p w14:paraId="54F2648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529" w:type="dxa"/>
                  <w:vMerge w:val="continue"/>
                  <w:shd w:val="clear" w:color="auto" w:fill="auto"/>
                  <w:tcMar>
                    <w:top w:w="0" w:type="dxa"/>
                    <w:left w:w="0" w:type="dxa"/>
                    <w:bottom w:w="0" w:type="dxa"/>
                    <w:right w:w="0" w:type="dxa"/>
                  </w:tcMar>
                  <w:vAlign w:val="center"/>
                </w:tcPr>
                <w:p w14:paraId="79933ADC">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CA155A1">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noWrap/>
                  <w:tcMar>
                    <w:top w:w="0" w:type="dxa"/>
                    <w:left w:w="0" w:type="dxa"/>
                    <w:bottom w:w="0" w:type="dxa"/>
                    <w:right w:w="0" w:type="dxa"/>
                  </w:tcMar>
                  <w:vAlign w:val="center"/>
                </w:tcPr>
                <w:p w14:paraId="4A9195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c>
                <w:tcPr>
                  <w:tcW w:w="985" w:type="dxa"/>
                  <w:vMerge w:val="continue"/>
                  <w:shd w:val="clear" w:color="auto" w:fill="auto"/>
                  <w:tcMar>
                    <w:top w:w="0" w:type="dxa"/>
                    <w:left w:w="0" w:type="dxa"/>
                    <w:bottom w:w="0" w:type="dxa"/>
                    <w:right w:w="0" w:type="dxa"/>
                  </w:tcMar>
                  <w:vAlign w:val="center"/>
                </w:tcPr>
                <w:p w14:paraId="767C91E7">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2DFDB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r>
            <w:tr w14:paraId="7AA6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vMerge w:val="continue"/>
                  <w:shd w:val="clear" w:color="auto" w:fill="auto"/>
                  <w:tcMar>
                    <w:top w:w="0" w:type="dxa"/>
                    <w:left w:w="0" w:type="dxa"/>
                    <w:bottom w:w="0" w:type="dxa"/>
                    <w:right w:w="0" w:type="dxa"/>
                  </w:tcMar>
                  <w:vAlign w:val="center"/>
                </w:tcPr>
                <w:p w14:paraId="5C29B997">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1A4AB132">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noWrap/>
                  <w:tcMar>
                    <w:top w:w="0" w:type="dxa"/>
                    <w:left w:w="0" w:type="dxa"/>
                    <w:bottom w:w="0" w:type="dxa"/>
                    <w:right w:w="0" w:type="dxa"/>
                  </w:tcMar>
                  <w:vAlign w:val="center"/>
                </w:tcPr>
                <w:p w14:paraId="695FE90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废过滤棉</w:t>
                  </w:r>
                </w:p>
              </w:tc>
              <w:tc>
                <w:tcPr>
                  <w:tcW w:w="1155" w:type="dxa"/>
                  <w:shd w:val="clear" w:color="auto" w:fill="auto"/>
                  <w:noWrap/>
                  <w:tcMar>
                    <w:top w:w="0" w:type="dxa"/>
                    <w:left w:w="0" w:type="dxa"/>
                    <w:bottom w:w="0" w:type="dxa"/>
                    <w:right w:w="0" w:type="dxa"/>
                  </w:tcMar>
                  <w:vAlign w:val="center"/>
                </w:tcPr>
                <w:p w14:paraId="79D64D9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529" w:type="dxa"/>
                  <w:vMerge w:val="continue"/>
                  <w:shd w:val="clear" w:color="auto" w:fill="auto"/>
                  <w:tcMar>
                    <w:top w:w="0" w:type="dxa"/>
                    <w:left w:w="0" w:type="dxa"/>
                    <w:bottom w:w="0" w:type="dxa"/>
                    <w:right w:w="0" w:type="dxa"/>
                  </w:tcMar>
                  <w:vAlign w:val="center"/>
                </w:tcPr>
                <w:p w14:paraId="5EF68683">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678DA3CD">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noWrap/>
                  <w:tcMar>
                    <w:top w:w="0" w:type="dxa"/>
                    <w:left w:w="0" w:type="dxa"/>
                    <w:bottom w:w="0" w:type="dxa"/>
                    <w:right w:w="0" w:type="dxa"/>
                  </w:tcMar>
                  <w:vAlign w:val="center"/>
                </w:tcPr>
                <w:p w14:paraId="47E0FA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c>
                <w:tcPr>
                  <w:tcW w:w="985" w:type="dxa"/>
                  <w:vMerge w:val="continue"/>
                  <w:shd w:val="clear" w:color="auto" w:fill="auto"/>
                  <w:tcMar>
                    <w:top w:w="0" w:type="dxa"/>
                    <w:left w:w="0" w:type="dxa"/>
                    <w:bottom w:w="0" w:type="dxa"/>
                    <w:right w:w="0" w:type="dxa"/>
                  </w:tcMar>
                  <w:vAlign w:val="center"/>
                </w:tcPr>
                <w:p w14:paraId="509716C9">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21C830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r>
            <w:tr w14:paraId="7B0E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21" w:type="dxa"/>
                  <w:vMerge w:val="continue"/>
                  <w:shd w:val="clear" w:color="auto" w:fill="auto"/>
                  <w:tcMar>
                    <w:top w:w="0" w:type="dxa"/>
                    <w:left w:w="0" w:type="dxa"/>
                    <w:bottom w:w="0" w:type="dxa"/>
                    <w:right w:w="0" w:type="dxa"/>
                  </w:tcMar>
                  <w:vAlign w:val="center"/>
                </w:tcPr>
                <w:p w14:paraId="5025D86E">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556BDA43">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noWrap/>
                  <w:tcMar>
                    <w:top w:w="0" w:type="dxa"/>
                    <w:left w:w="0" w:type="dxa"/>
                    <w:bottom w:w="0" w:type="dxa"/>
                    <w:right w:w="0" w:type="dxa"/>
                  </w:tcMar>
                  <w:vAlign w:val="center"/>
                </w:tcPr>
                <w:p w14:paraId="5B30A6B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电捕废焦油</w:t>
                  </w:r>
                </w:p>
              </w:tc>
              <w:tc>
                <w:tcPr>
                  <w:tcW w:w="1155" w:type="dxa"/>
                  <w:shd w:val="clear" w:color="auto" w:fill="auto"/>
                  <w:noWrap/>
                  <w:tcMar>
                    <w:top w:w="0" w:type="dxa"/>
                    <w:left w:w="0" w:type="dxa"/>
                    <w:bottom w:w="0" w:type="dxa"/>
                    <w:right w:w="0" w:type="dxa"/>
                  </w:tcMar>
                  <w:vAlign w:val="center"/>
                </w:tcPr>
                <w:p w14:paraId="2701451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29" w:type="dxa"/>
                  <w:vMerge w:val="continue"/>
                  <w:shd w:val="clear" w:color="auto" w:fill="auto"/>
                  <w:tcMar>
                    <w:top w:w="0" w:type="dxa"/>
                    <w:left w:w="0" w:type="dxa"/>
                    <w:bottom w:w="0" w:type="dxa"/>
                    <w:right w:w="0" w:type="dxa"/>
                  </w:tcMar>
                  <w:vAlign w:val="center"/>
                </w:tcPr>
                <w:p w14:paraId="59C39023">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7BFF342A">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noWrap/>
                  <w:tcMar>
                    <w:top w:w="0" w:type="dxa"/>
                    <w:left w:w="0" w:type="dxa"/>
                    <w:bottom w:w="0" w:type="dxa"/>
                    <w:right w:w="0" w:type="dxa"/>
                  </w:tcMar>
                  <w:vAlign w:val="center"/>
                </w:tcPr>
                <w:p w14:paraId="15B29C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985" w:type="dxa"/>
                  <w:vMerge w:val="continue"/>
                  <w:shd w:val="clear" w:color="auto" w:fill="auto"/>
                  <w:tcMar>
                    <w:top w:w="0" w:type="dxa"/>
                    <w:left w:w="0" w:type="dxa"/>
                    <w:bottom w:w="0" w:type="dxa"/>
                    <w:right w:w="0" w:type="dxa"/>
                  </w:tcMar>
                  <w:vAlign w:val="center"/>
                </w:tcPr>
                <w:p w14:paraId="341802D4">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7057EB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r>
            <w:tr w14:paraId="0922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21" w:type="dxa"/>
                  <w:vMerge w:val="continue"/>
                  <w:shd w:val="clear" w:color="auto" w:fill="auto"/>
                  <w:tcMar>
                    <w:top w:w="0" w:type="dxa"/>
                    <w:left w:w="0" w:type="dxa"/>
                    <w:bottom w:w="0" w:type="dxa"/>
                    <w:right w:w="0" w:type="dxa"/>
                  </w:tcMar>
                  <w:vAlign w:val="center"/>
                </w:tcPr>
                <w:p w14:paraId="465D7D53">
                  <w:pPr>
                    <w:spacing w:line="240" w:lineRule="auto"/>
                    <w:jc w:val="center"/>
                    <w:rPr>
                      <w:rFonts w:hint="eastAsia" w:ascii="宋体" w:hAnsi="宋体" w:eastAsia="宋体" w:cs="宋体"/>
                      <w:i w:val="0"/>
                      <w:iCs w:val="0"/>
                      <w:color w:val="auto"/>
                      <w:sz w:val="21"/>
                      <w:szCs w:val="21"/>
                      <w:highlight w:val="none"/>
                      <w:u w:val="none"/>
                    </w:rPr>
                  </w:pPr>
                </w:p>
              </w:tc>
              <w:tc>
                <w:tcPr>
                  <w:tcW w:w="884" w:type="dxa"/>
                  <w:vMerge w:val="continue"/>
                  <w:shd w:val="clear" w:color="auto" w:fill="auto"/>
                  <w:tcMar>
                    <w:top w:w="0" w:type="dxa"/>
                    <w:left w:w="0" w:type="dxa"/>
                    <w:bottom w:w="0" w:type="dxa"/>
                    <w:right w:w="0" w:type="dxa"/>
                  </w:tcMar>
                  <w:vAlign w:val="center"/>
                </w:tcPr>
                <w:p w14:paraId="0A42DF69">
                  <w:pPr>
                    <w:spacing w:line="240" w:lineRule="auto"/>
                    <w:jc w:val="center"/>
                    <w:rPr>
                      <w:rFonts w:hint="eastAsia" w:ascii="宋体" w:hAnsi="宋体" w:eastAsia="宋体" w:cs="宋体"/>
                      <w:i w:val="0"/>
                      <w:iCs w:val="0"/>
                      <w:color w:val="auto"/>
                      <w:sz w:val="21"/>
                      <w:szCs w:val="21"/>
                      <w:highlight w:val="none"/>
                      <w:u w:val="none"/>
                    </w:rPr>
                  </w:pPr>
                </w:p>
              </w:tc>
              <w:tc>
                <w:tcPr>
                  <w:tcW w:w="1105" w:type="dxa"/>
                  <w:shd w:val="clear" w:color="auto" w:fill="auto"/>
                  <w:tcMar>
                    <w:top w:w="0" w:type="dxa"/>
                    <w:left w:w="0" w:type="dxa"/>
                    <w:bottom w:w="0" w:type="dxa"/>
                    <w:right w:w="0" w:type="dxa"/>
                  </w:tcMar>
                  <w:vAlign w:val="center"/>
                </w:tcPr>
                <w:p w14:paraId="61A3FED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电捕焦油器冲洗液</w:t>
                  </w:r>
                </w:p>
              </w:tc>
              <w:tc>
                <w:tcPr>
                  <w:tcW w:w="1155" w:type="dxa"/>
                  <w:shd w:val="clear" w:color="auto" w:fill="auto"/>
                  <w:tcMar>
                    <w:top w:w="0" w:type="dxa"/>
                    <w:left w:w="0" w:type="dxa"/>
                    <w:bottom w:w="0" w:type="dxa"/>
                    <w:right w:w="0" w:type="dxa"/>
                  </w:tcMar>
                  <w:vAlign w:val="center"/>
                </w:tcPr>
                <w:p w14:paraId="5AA09FF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772-006-49</w:t>
                  </w:r>
                </w:p>
              </w:tc>
              <w:tc>
                <w:tcPr>
                  <w:tcW w:w="529" w:type="dxa"/>
                  <w:vMerge w:val="continue"/>
                  <w:shd w:val="clear" w:color="auto" w:fill="auto"/>
                  <w:tcMar>
                    <w:top w:w="0" w:type="dxa"/>
                    <w:left w:w="0" w:type="dxa"/>
                    <w:bottom w:w="0" w:type="dxa"/>
                    <w:right w:w="0" w:type="dxa"/>
                  </w:tcMar>
                  <w:vAlign w:val="center"/>
                </w:tcPr>
                <w:p w14:paraId="1F27C438">
                  <w:pPr>
                    <w:spacing w:line="240" w:lineRule="auto"/>
                    <w:jc w:val="center"/>
                    <w:rPr>
                      <w:rFonts w:hint="eastAsia" w:ascii="宋体" w:hAnsi="宋体" w:eastAsia="宋体" w:cs="宋体"/>
                      <w:i w:val="0"/>
                      <w:iCs w:val="0"/>
                      <w:color w:val="auto"/>
                      <w:sz w:val="21"/>
                      <w:szCs w:val="21"/>
                      <w:highlight w:val="none"/>
                      <w:u w:val="none"/>
                    </w:rPr>
                  </w:pPr>
                </w:p>
              </w:tc>
              <w:tc>
                <w:tcPr>
                  <w:tcW w:w="600" w:type="dxa"/>
                  <w:vMerge w:val="continue"/>
                  <w:shd w:val="clear" w:color="auto" w:fill="auto"/>
                  <w:tcMar>
                    <w:top w:w="0" w:type="dxa"/>
                    <w:left w:w="0" w:type="dxa"/>
                    <w:bottom w:w="0" w:type="dxa"/>
                    <w:right w:w="0" w:type="dxa"/>
                  </w:tcMar>
                  <w:vAlign w:val="center"/>
                </w:tcPr>
                <w:p w14:paraId="55DD8F83">
                  <w:pPr>
                    <w:spacing w:line="240" w:lineRule="auto"/>
                    <w:jc w:val="center"/>
                    <w:rPr>
                      <w:rFonts w:hint="eastAsia" w:ascii="宋体" w:hAnsi="宋体" w:eastAsia="宋体" w:cs="宋体"/>
                      <w:i w:val="0"/>
                      <w:iCs w:val="0"/>
                      <w:color w:val="auto"/>
                      <w:sz w:val="21"/>
                      <w:szCs w:val="21"/>
                      <w:highlight w:val="none"/>
                      <w:u w:val="none"/>
                    </w:rPr>
                  </w:pPr>
                </w:p>
              </w:tc>
              <w:tc>
                <w:tcPr>
                  <w:tcW w:w="1007" w:type="dxa"/>
                  <w:shd w:val="clear" w:color="auto" w:fill="auto"/>
                  <w:tcMar>
                    <w:top w:w="0" w:type="dxa"/>
                    <w:left w:w="0" w:type="dxa"/>
                    <w:bottom w:w="0" w:type="dxa"/>
                    <w:right w:w="0" w:type="dxa"/>
                  </w:tcMar>
                  <w:vAlign w:val="center"/>
                </w:tcPr>
                <w:p w14:paraId="1EF433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21.12</w:t>
                  </w:r>
                </w:p>
              </w:tc>
              <w:tc>
                <w:tcPr>
                  <w:tcW w:w="985" w:type="dxa"/>
                  <w:vMerge w:val="continue"/>
                  <w:shd w:val="clear" w:color="auto" w:fill="auto"/>
                  <w:tcMar>
                    <w:top w:w="0" w:type="dxa"/>
                    <w:left w:w="0" w:type="dxa"/>
                    <w:bottom w:w="0" w:type="dxa"/>
                    <w:right w:w="0" w:type="dxa"/>
                  </w:tcMar>
                  <w:vAlign w:val="center"/>
                </w:tcPr>
                <w:p w14:paraId="099894D1">
                  <w:pPr>
                    <w:spacing w:line="240" w:lineRule="auto"/>
                    <w:jc w:val="center"/>
                    <w:rPr>
                      <w:rFonts w:hint="eastAsia" w:ascii="宋体" w:hAnsi="宋体" w:eastAsia="宋体" w:cs="宋体"/>
                      <w:i w:val="0"/>
                      <w:iCs w:val="0"/>
                      <w:color w:val="auto"/>
                      <w:sz w:val="21"/>
                      <w:szCs w:val="21"/>
                      <w:highlight w:val="none"/>
                      <w:u w:val="none"/>
                    </w:rPr>
                  </w:pPr>
                </w:p>
              </w:tc>
              <w:tc>
                <w:tcPr>
                  <w:tcW w:w="1731" w:type="dxa"/>
                  <w:shd w:val="clear" w:color="auto" w:fill="auto"/>
                  <w:tcMar>
                    <w:top w:w="0" w:type="dxa"/>
                    <w:left w:w="0" w:type="dxa"/>
                    <w:bottom w:w="0" w:type="dxa"/>
                    <w:right w:w="0" w:type="dxa"/>
                  </w:tcMar>
                  <w:vAlign w:val="center"/>
                </w:tcPr>
                <w:p w14:paraId="77D6E6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21.12</w:t>
                  </w:r>
                </w:p>
              </w:tc>
            </w:tr>
          </w:tbl>
          <w:p w14:paraId="7956FEB4">
            <w:pPr>
              <w:keepNext/>
              <w:keepLines/>
              <w:tabs>
                <w:tab w:val="left" w:pos="0"/>
              </w:tabs>
              <w:ind w:left="480" w:leftChars="200"/>
              <w:outlineLvl w:val="3"/>
              <w:rPr>
                <w:b/>
                <w:bCs/>
                <w:color w:val="auto"/>
                <w:highlight w:val="none"/>
              </w:rPr>
            </w:pPr>
            <w:r>
              <w:rPr>
                <w:b/>
                <w:bCs/>
                <w:color w:val="auto"/>
                <w:highlight w:val="none"/>
              </w:rPr>
              <w:t>2、固体废物贮存和处置情况</w:t>
            </w:r>
          </w:p>
          <w:p w14:paraId="044DA989">
            <w:pPr>
              <w:pStyle w:val="26"/>
              <w:ind w:firstLine="480"/>
              <w:rPr>
                <w:color w:val="auto"/>
                <w:highlight w:val="none"/>
              </w:rPr>
            </w:pPr>
            <w:bookmarkStart w:id="148" w:name="_Ref10526"/>
            <w:r>
              <w:rPr>
                <w:color w:val="auto"/>
                <w:highlight w:val="none"/>
              </w:rPr>
              <w:t>生活垃圾交由环卫部门清运，</w:t>
            </w:r>
            <w:r>
              <w:rPr>
                <w:rFonts w:hint="eastAsia"/>
                <w:color w:val="auto"/>
                <w:highlight w:val="none"/>
              </w:rPr>
              <w:t>废木屑杂物、废橡胶、布袋收集</w:t>
            </w:r>
            <w:r>
              <w:rPr>
                <w:color w:val="auto"/>
                <w:highlight w:val="none"/>
              </w:rPr>
              <w:t>粉尘和</w:t>
            </w:r>
            <w:r>
              <w:rPr>
                <w:rFonts w:hint="eastAsia"/>
                <w:color w:val="auto"/>
                <w:highlight w:val="none"/>
              </w:rPr>
              <w:t>废布袋</w:t>
            </w:r>
            <w:r>
              <w:rPr>
                <w:color w:val="auto"/>
                <w:highlight w:val="none"/>
              </w:rPr>
              <w:t>交由资源回收利用单位，废</w:t>
            </w:r>
            <w:r>
              <w:rPr>
                <w:rFonts w:hint="eastAsia"/>
                <w:color w:val="auto"/>
                <w:highlight w:val="none"/>
              </w:rPr>
              <w:t>pH调整</w:t>
            </w:r>
            <w:r>
              <w:rPr>
                <w:color w:val="auto"/>
                <w:highlight w:val="none"/>
              </w:rPr>
              <w:t>剂包装桶、废水处理站污泥、废机油空桶、废机油、含油废抹布</w:t>
            </w:r>
            <w:r>
              <w:rPr>
                <w:rFonts w:hint="eastAsia"/>
                <w:color w:val="auto"/>
                <w:highlight w:val="none"/>
              </w:rPr>
              <w:t>、废烧碱包装袋及废柴油桶</w:t>
            </w:r>
            <w:r>
              <w:rPr>
                <w:rFonts w:hint="eastAsia"/>
                <w:color w:val="auto"/>
                <w:highlight w:val="none"/>
                <w:lang w:eastAsia="zh-CN"/>
              </w:rPr>
              <w:t>、</w:t>
            </w:r>
            <w:r>
              <w:rPr>
                <w:rFonts w:hint="eastAsia"/>
                <w:color w:val="auto"/>
                <w:highlight w:val="none"/>
                <w:lang w:val="en-US" w:eastAsia="zh-CN"/>
              </w:rPr>
              <w:t>废活性炭、废催化剂、喷淋沉渣、废过滤棉</w:t>
            </w:r>
            <w:r>
              <w:rPr>
                <w:color w:val="auto"/>
                <w:highlight w:val="none"/>
              </w:rPr>
              <w:t>委托有危险废物资质单位处理。</w:t>
            </w:r>
          </w:p>
          <w:p w14:paraId="0C3182AF">
            <w:pPr>
              <w:pStyle w:val="26"/>
              <w:ind w:firstLine="480"/>
              <w:rPr>
                <w:color w:val="auto"/>
                <w:highlight w:val="none"/>
              </w:rPr>
            </w:pPr>
            <w:r>
              <w:rPr>
                <w:color w:val="auto"/>
                <w:highlight w:val="none"/>
              </w:rPr>
              <w:t>根据《国家危险废物名录》（2025年版），危险废物从产生、收集、贮运、转运、处置等各个环节都可能因管理不善而进入环境，因此在各个环节中，抛落、渗漏、丢弃等问题都可能存在，为了使各种危险废物能合法合理处置，本次评价拟按照《危险废物贮存污染控制标准》（GB 18597-2023）等国家相关法律，提出相应的治理措施，进一步规范收集、贮运、处置等操作过程。</w:t>
            </w:r>
          </w:p>
          <w:p w14:paraId="2E61F1A8">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2</w:t>
            </w:r>
            <w:r>
              <w:rPr>
                <w:rFonts w:hint="eastAsia"/>
                <w:b/>
                <w:bCs/>
                <w:color w:val="auto"/>
                <w:sz w:val="21"/>
                <w:szCs w:val="21"/>
                <w:highlight w:val="none"/>
                <w:lang w:val="en-US" w:eastAsia="zh-CN"/>
              </w:rPr>
              <w:t>7</w:t>
            </w:r>
            <w:r>
              <w:rPr>
                <w:rFonts w:hint="eastAsia"/>
                <w:b/>
                <w:bCs/>
                <w:color w:val="auto"/>
                <w:sz w:val="21"/>
                <w:szCs w:val="21"/>
                <w:highlight w:val="none"/>
              </w:rPr>
              <w:t xml:space="preserve"> </w:t>
            </w:r>
            <w:r>
              <w:rPr>
                <w:b/>
                <w:bCs/>
                <w:color w:val="auto"/>
                <w:sz w:val="21"/>
                <w:szCs w:val="21"/>
                <w:highlight w:val="none"/>
              </w:rPr>
              <w:t>危险废物汇总表</w:t>
            </w:r>
          </w:p>
          <w:tbl>
            <w:tblPr>
              <w:tblStyle w:val="49"/>
              <w:tblW w:w="907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668"/>
              <w:gridCol w:w="1048"/>
              <w:gridCol w:w="683"/>
              <w:gridCol w:w="1017"/>
              <w:gridCol w:w="633"/>
              <w:gridCol w:w="950"/>
              <w:gridCol w:w="933"/>
              <w:gridCol w:w="634"/>
              <w:gridCol w:w="566"/>
              <w:gridCol w:w="467"/>
              <w:gridCol w:w="758"/>
            </w:tblGrid>
            <w:tr w14:paraId="2CB0C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624550">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危险废物名称</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FD6909">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危险废物类别</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66EE4A">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危险废物代码</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D12D6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产生量</w:t>
                  </w:r>
                  <w:r>
                    <w:rPr>
                      <w:rFonts w:hint="default" w:ascii="Times New Roman" w:hAnsi="Times New Roman" w:eastAsia="宋体" w:cs="Times New Roman"/>
                      <w:b/>
                      <w:bCs/>
                      <w:i w:val="0"/>
                      <w:iCs w:val="0"/>
                      <w:color w:val="auto"/>
                      <w:kern w:val="0"/>
                      <w:sz w:val="21"/>
                      <w:szCs w:val="21"/>
                      <w:highlight w:val="none"/>
                      <w:u w:val="none"/>
                      <w:lang w:val="en-US" w:eastAsia="zh-CN" w:bidi="ar"/>
                    </w:rPr>
                    <w:t>t/a</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8E9561">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产生工序及装置</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63D0D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形态</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3C3F7D">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主要成分</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CAEACC">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有害成分</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1DE5E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产废周期</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CB0EE3">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贮存周期</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014EF2">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危险特性</w:t>
                  </w: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964C95">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污染防治措施</w:t>
                  </w:r>
                </w:p>
              </w:tc>
            </w:tr>
            <w:tr w14:paraId="4B106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D713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w:t>
                  </w: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eastAsia" w:ascii="宋体" w:hAnsi="宋体" w:eastAsia="宋体" w:cs="宋体"/>
                      <w:i w:val="0"/>
                      <w:iCs w:val="0"/>
                      <w:color w:val="auto"/>
                      <w:kern w:val="0"/>
                      <w:sz w:val="21"/>
                      <w:szCs w:val="21"/>
                      <w:highlight w:val="none"/>
                      <w:u w:val="none"/>
                      <w:lang w:val="en-US" w:eastAsia="zh-CN" w:bidi="ar"/>
                    </w:rPr>
                    <w:t>调整剂包装桶</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B7B7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BF34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356F1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F5100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废水处理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D74E8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9F463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硫酸</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EC8A6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硫酸</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A052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280AE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5110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A4956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暂存在危险废物暂存间，定期由危废资质单位处理。</w:t>
                  </w:r>
                </w:p>
              </w:tc>
            </w:tr>
            <w:tr w14:paraId="3C64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B8D92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废烧碱包装袋</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95FF1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35</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8396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900-399-35</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9CAE1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4B90E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废水处理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88012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8C5FB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烧碱</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2139B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烧碱</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0F49D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0FB72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46F87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5859DF">
                  <w:pPr>
                    <w:spacing w:line="240" w:lineRule="auto"/>
                    <w:jc w:val="center"/>
                    <w:rPr>
                      <w:rFonts w:hint="eastAsia" w:ascii="宋体" w:hAnsi="宋体" w:eastAsia="宋体" w:cs="宋体"/>
                      <w:i w:val="0"/>
                      <w:iCs w:val="0"/>
                      <w:color w:val="auto"/>
                      <w:sz w:val="21"/>
                      <w:szCs w:val="21"/>
                      <w:highlight w:val="none"/>
                      <w:u w:val="none"/>
                    </w:rPr>
                  </w:pPr>
                </w:p>
              </w:tc>
            </w:tr>
            <w:tr w14:paraId="0E9A2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8C76E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废机油桶</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4086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08</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1E70D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6A75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9E221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设备保养</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B8EE0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40C94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DE764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8C8B0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半年</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49DEC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半年</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D2239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T,I</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EC42C0">
                  <w:pPr>
                    <w:spacing w:line="240" w:lineRule="auto"/>
                    <w:jc w:val="center"/>
                    <w:rPr>
                      <w:rFonts w:hint="eastAsia" w:ascii="宋体" w:hAnsi="宋体" w:eastAsia="宋体" w:cs="宋体"/>
                      <w:i w:val="0"/>
                      <w:iCs w:val="0"/>
                      <w:color w:val="auto"/>
                      <w:sz w:val="21"/>
                      <w:szCs w:val="21"/>
                      <w:highlight w:val="none"/>
                      <w:u w:val="none"/>
                    </w:rPr>
                  </w:pPr>
                </w:p>
              </w:tc>
            </w:tr>
            <w:tr w14:paraId="5D80F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82412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废机油</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02A05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08</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B574D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D5B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3E08D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洗料工序</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B4312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5A95F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367E2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B7683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每月</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DA145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半年</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9872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T,I</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6999D7">
                  <w:pPr>
                    <w:spacing w:line="240" w:lineRule="auto"/>
                    <w:jc w:val="center"/>
                    <w:rPr>
                      <w:rFonts w:hint="eastAsia" w:ascii="宋体" w:hAnsi="宋体" w:eastAsia="宋体" w:cs="宋体"/>
                      <w:i w:val="0"/>
                      <w:iCs w:val="0"/>
                      <w:color w:val="auto"/>
                      <w:sz w:val="21"/>
                      <w:szCs w:val="21"/>
                      <w:highlight w:val="none"/>
                      <w:u w:val="none"/>
                    </w:rPr>
                  </w:pPr>
                </w:p>
              </w:tc>
            </w:tr>
            <w:tr w14:paraId="73BA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65DA8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含油废抹布</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092D0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89098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AF75F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83E16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洗料工序</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67D0C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烧碱</w:t>
                  </w:r>
                </w:p>
              </w:tc>
              <w:tc>
                <w:tcPr>
                  <w:tcW w:w="9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77A30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9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15B8D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矿物油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6794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每月</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F845E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半年</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832B3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T,I</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D1C8FD">
                  <w:pPr>
                    <w:spacing w:line="240" w:lineRule="auto"/>
                    <w:jc w:val="center"/>
                    <w:rPr>
                      <w:rFonts w:hint="eastAsia" w:ascii="宋体" w:hAnsi="宋体" w:eastAsia="宋体" w:cs="宋体"/>
                      <w:i w:val="0"/>
                      <w:iCs w:val="0"/>
                      <w:color w:val="auto"/>
                      <w:sz w:val="21"/>
                      <w:szCs w:val="21"/>
                      <w:highlight w:val="none"/>
                      <w:u w:val="none"/>
                    </w:rPr>
                  </w:pPr>
                </w:p>
              </w:tc>
            </w:tr>
            <w:tr w14:paraId="5B28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CD8B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废柴油桶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23704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2FC3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C1D2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2AAB98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洗料工序</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72001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2F90A3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柴油</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BA8DC6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柴油</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27FC0D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半年</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8735D4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半年</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3AC0E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T,I</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4B3998">
                  <w:pPr>
                    <w:spacing w:line="240" w:lineRule="auto"/>
                    <w:jc w:val="center"/>
                    <w:rPr>
                      <w:rFonts w:hint="eastAsia" w:ascii="宋体" w:hAnsi="宋体" w:eastAsia="宋体" w:cs="宋体"/>
                      <w:i w:val="0"/>
                      <w:iCs w:val="0"/>
                      <w:color w:val="auto"/>
                      <w:sz w:val="21"/>
                      <w:szCs w:val="21"/>
                      <w:highlight w:val="none"/>
                      <w:u w:val="none"/>
                    </w:rPr>
                  </w:pPr>
                </w:p>
              </w:tc>
            </w:tr>
            <w:tr w14:paraId="585E9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1EA8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废活性炭</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FF6A1D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F72EE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419E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4B2FBC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EB9DB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A798D36">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BA70491">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41C9E5F">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每年</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BE396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C98CCA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79D1A4">
                  <w:pPr>
                    <w:spacing w:line="240" w:lineRule="auto"/>
                    <w:jc w:val="center"/>
                    <w:rPr>
                      <w:rFonts w:hint="eastAsia" w:ascii="宋体" w:hAnsi="宋体" w:eastAsia="宋体" w:cs="宋体"/>
                      <w:i w:val="0"/>
                      <w:iCs w:val="0"/>
                      <w:color w:val="auto"/>
                      <w:sz w:val="21"/>
                      <w:szCs w:val="21"/>
                      <w:highlight w:val="none"/>
                      <w:u w:val="none"/>
                    </w:rPr>
                  </w:pPr>
                </w:p>
              </w:tc>
            </w:tr>
            <w:tr w14:paraId="14016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46026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废催化剂</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04B9F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HW50</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98D0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900-049-50</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B18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4BB9AD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399B0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755783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197764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8D2C88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每</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年</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ADE3D6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EFFAB8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C16DB8">
                  <w:pPr>
                    <w:spacing w:line="240" w:lineRule="auto"/>
                    <w:jc w:val="center"/>
                    <w:rPr>
                      <w:rFonts w:hint="eastAsia" w:ascii="宋体" w:hAnsi="宋体" w:eastAsia="宋体" w:cs="宋体"/>
                      <w:i w:val="0"/>
                      <w:iCs w:val="0"/>
                      <w:color w:val="auto"/>
                      <w:sz w:val="21"/>
                      <w:szCs w:val="21"/>
                      <w:highlight w:val="none"/>
                      <w:u w:val="none"/>
                    </w:rPr>
                  </w:pPr>
                </w:p>
              </w:tc>
            </w:tr>
            <w:tr w14:paraId="052F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31BA0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喷淋沉渣</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1936C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HW49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A1F09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A782F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D9D30D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4E57D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54319C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203EFBF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0BC02C0">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每个月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E389A3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E093C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0DF1CD">
                  <w:pPr>
                    <w:spacing w:line="240" w:lineRule="auto"/>
                    <w:jc w:val="center"/>
                    <w:rPr>
                      <w:rFonts w:hint="eastAsia" w:ascii="宋体" w:hAnsi="宋体" w:eastAsia="宋体" w:cs="宋体"/>
                      <w:i w:val="0"/>
                      <w:iCs w:val="0"/>
                      <w:color w:val="auto"/>
                      <w:sz w:val="21"/>
                      <w:szCs w:val="21"/>
                      <w:highlight w:val="none"/>
                      <w:u w:val="none"/>
                    </w:rPr>
                  </w:pPr>
                </w:p>
              </w:tc>
            </w:tr>
            <w:tr w14:paraId="17FFA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85715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废过滤棉</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32331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HW49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F3471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4D9F5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00855F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71235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固态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E77DBDD">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有机废气</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DDD26D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有机废气</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C2E41C1">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每个月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6A885C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743E3C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274605">
                  <w:pPr>
                    <w:spacing w:line="240" w:lineRule="auto"/>
                    <w:jc w:val="center"/>
                    <w:rPr>
                      <w:rFonts w:hint="eastAsia" w:ascii="宋体" w:hAnsi="宋体" w:eastAsia="宋体" w:cs="宋体"/>
                      <w:i w:val="0"/>
                      <w:iCs w:val="0"/>
                      <w:color w:val="auto"/>
                      <w:sz w:val="21"/>
                      <w:szCs w:val="21"/>
                      <w:highlight w:val="none"/>
                      <w:u w:val="none"/>
                    </w:rPr>
                  </w:pPr>
                </w:p>
              </w:tc>
            </w:tr>
            <w:tr w14:paraId="3BCAB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C57F9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电捕废焦油</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11E65F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HW08</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8643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05E0B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CF5A15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5360AE">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液态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4CB72BA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废焦油</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F816B7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废焦油</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B5D16D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每个月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5F1E8F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F49B51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9717B6">
                  <w:pPr>
                    <w:spacing w:line="240" w:lineRule="auto"/>
                    <w:jc w:val="center"/>
                    <w:rPr>
                      <w:rFonts w:hint="eastAsia" w:ascii="宋体" w:hAnsi="宋体" w:eastAsia="宋体" w:cs="宋体"/>
                      <w:i w:val="0"/>
                      <w:iCs w:val="0"/>
                      <w:color w:val="auto"/>
                      <w:sz w:val="21"/>
                      <w:szCs w:val="21"/>
                      <w:highlight w:val="none"/>
                      <w:u w:val="none"/>
                    </w:rPr>
                  </w:pPr>
                </w:p>
              </w:tc>
            </w:tr>
            <w:tr w14:paraId="7814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B6054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电捕焦油器冲洗液</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554FC4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4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4A9E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772-006-49</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D9F2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21.12</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08416F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废气处理</w:t>
                  </w:r>
                </w:p>
              </w:tc>
              <w:tc>
                <w:tcPr>
                  <w:tcW w:w="6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0578D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液</w:t>
                  </w:r>
                  <w:r>
                    <w:rPr>
                      <w:rFonts w:hint="eastAsia" w:ascii="宋体" w:hAnsi="宋体" w:eastAsia="宋体" w:cs="宋体"/>
                      <w:i w:val="0"/>
                      <w:iCs w:val="0"/>
                      <w:color w:val="auto"/>
                      <w:kern w:val="0"/>
                      <w:sz w:val="21"/>
                      <w:szCs w:val="21"/>
                      <w:highlight w:val="none"/>
                      <w:u w:val="none"/>
                      <w:lang w:val="en-US" w:eastAsia="zh-CN" w:bidi="ar"/>
                    </w:rPr>
                    <w:t>态</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ED6E1D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363497D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有机废气</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6E95EE6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2个月</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55A4F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个月</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8FA39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DA38CF">
                  <w:pPr>
                    <w:spacing w:line="240" w:lineRule="auto"/>
                    <w:jc w:val="center"/>
                    <w:rPr>
                      <w:rFonts w:hint="eastAsia" w:ascii="宋体" w:hAnsi="宋体" w:eastAsia="宋体" w:cs="宋体"/>
                      <w:i w:val="0"/>
                      <w:iCs w:val="0"/>
                      <w:color w:val="auto"/>
                      <w:sz w:val="21"/>
                      <w:szCs w:val="21"/>
                      <w:highlight w:val="none"/>
                      <w:u w:val="none"/>
                    </w:rPr>
                  </w:pPr>
                </w:p>
              </w:tc>
            </w:tr>
          </w:tbl>
          <w:p w14:paraId="174E0A81">
            <w:pPr>
              <w:pStyle w:val="21"/>
              <w:numPr>
                <w:ilvl w:val="4"/>
                <w:numId w:val="0"/>
              </w:numPr>
              <w:ind w:left="480"/>
              <w:rPr>
                <w:color w:val="auto"/>
                <w:kern w:val="2"/>
                <w:highlight w:val="none"/>
              </w:rPr>
            </w:pPr>
            <w:r>
              <w:rPr>
                <w:color w:val="auto"/>
                <w:kern w:val="2"/>
                <w:highlight w:val="none"/>
              </w:rPr>
              <w:t>（1）产生和收集</w:t>
            </w:r>
          </w:p>
          <w:p w14:paraId="6FC02F4D">
            <w:pPr>
              <w:pStyle w:val="26"/>
              <w:ind w:firstLine="480"/>
              <w:rPr>
                <w:color w:val="auto"/>
                <w:highlight w:val="none"/>
              </w:rPr>
            </w:pPr>
            <w:r>
              <w:rPr>
                <w:color w:val="auto"/>
                <w:highlight w:val="none"/>
              </w:rPr>
              <w:t>本项目危险废物单次产生量很少，部分危险废物有易燃性和毒性，其性质相对比较稳定，如果露天堆放，沾染、吸附的有机废气可能会因为日晒雨淋而逐步释放出来，进入大气、地表水体、土壤等环境要素，造成污染影响。</w:t>
            </w:r>
          </w:p>
          <w:p w14:paraId="62F29EB2">
            <w:pPr>
              <w:pStyle w:val="26"/>
              <w:ind w:firstLine="480"/>
              <w:rPr>
                <w:color w:val="auto"/>
                <w:highlight w:val="none"/>
              </w:rPr>
            </w:pPr>
            <w:r>
              <w:rPr>
                <w:color w:val="auto"/>
                <w:highlight w:val="none"/>
              </w:rPr>
              <w:t>这些危险废物如果收集不当，随意丢弃，其中的有害成分容易因为跑冒滴漏或者混入其他生活垃圾而进入外部环境，造成污染影响。对此，各类危险废物在产生源头需要立即采用密闭性好、耐腐蚀、相容的塑料容器分类封装，避免遗漏和撒漏；然后移入厂区内部独立专用的贮存设施存放。本项目从产生源头到贮存设施的收集过程基本上都在本项目内部进行，不涉及外部运输和厂区外部环境，因此产生和收集阶段不会对外部环境造成影响。</w:t>
            </w:r>
          </w:p>
          <w:p w14:paraId="4D31C41A">
            <w:pPr>
              <w:pStyle w:val="21"/>
              <w:numPr>
                <w:ilvl w:val="4"/>
                <w:numId w:val="0"/>
              </w:numPr>
              <w:ind w:left="480"/>
              <w:rPr>
                <w:color w:val="auto"/>
                <w:kern w:val="2"/>
                <w:highlight w:val="none"/>
              </w:rPr>
            </w:pPr>
            <w:r>
              <w:rPr>
                <w:color w:val="auto"/>
                <w:kern w:val="2"/>
                <w:highlight w:val="none"/>
              </w:rPr>
              <w:t>（2）贮存库</w:t>
            </w:r>
          </w:p>
          <w:p w14:paraId="0B4D1023">
            <w:pPr>
              <w:pStyle w:val="26"/>
              <w:ind w:firstLine="480"/>
              <w:rPr>
                <w:color w:val="auto"/>
                <w:highlight w:val="none"/>
              </w:rPr>
            </w:pPr>
            <w:r>
              <w:rPr>
                <w:color w:val="auto"/>
                <w:highlight w:val="none"/>
              </w:rPr>
              <w:t>项目设置一个固定的危险废物贮存库，危险废物贮存过程满足《危险废物贮存污染控制标准》（GB18597-2023）的要求，建设单位应根据废物特性设置符合《危险废物贮存污染控制标准》(GB18597-2023)要求的危险废物暂存场所，且在暂存场所上空设有防雨淋设施，地面采取防渗措施，危险废物收集后分别临时贮存于废物储罐内；根据生产需要合理设置贮存量，尽量减少厂内的物料贮存量：严禁将危险废物混入生活垃圾；堆放危险废物的地方要有明显的标志。贮存设施应根据危险废物的形态、物理化学性质、包装形式和污染物迁移途径，采取必要的防风、防晒、防雨、防漏、防渗、防腐以及其他环境污染防治措施，不应露天堆放危险废物。</w:t>
            </w:r>
          </w:p>
          <w:p w14:paraId="5A877B5C">
            <w:pPr>
              <w:pStyle w:val="26"/>
              <w:ind w:firstLine="480"/>
              <w:rPr>
                <w:color w:val="auto"/>
                <w:highlight w:val="none"/>
              </w:rPr>
            </w:pPr>
            <w:r>
              <w:rPr>
                <w:color w:val="auto"/>
                <w:highlight w:val="none"/>
              </w:rPr>
              <w:t>贮存设施应根据危险废物的类别、数量、形态、物理化学性质和污染防治等要求设置必要的贮存分区，避免不相容的危险废物接触、混合。危险废物贮存过程产生的液态废物和固态废物应分类收集，按其环境管理要求妥善处理。贮存库内不同贮存分区之间应采取隔离措施。隔离措施可根据危险废物特性采用过道、隔板或隔墙等方式。</w:t>
            </w:r>
          </w:p>
          <w:p w14:paraId="7277D7C9">
            <w:pPr>
              <w:pStyle w:val="26"/>
              <w:ind w:firstLine="480"/>
              <w:rPr>
                <w:color w:val="auto"/>
                <w:highlight w:val="none"/>
              </w:rPr>
            </w:pPr>
            <w:r>
              <w:rPr>
                <w:color w:val="auto"/>
                <w:highlight w:val="none"/>
              </w:rPr>
              <w:t>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color w:val="auto"/>
                <w:highlight w:val="none"/>
                <w:vertAlign w:val="superscript"/>
              </w:rPr>
              <w:t>-7</w:t>
            </w:r>
            <w:r>
              <w:rPr>
                <w:color w:val="auto"/>
                <w:highlight w:val="none"/>
              </w:rPr>
              <w:t>cm/s），或至少2mm厚高密度聚乙烯膜等人工防渗材料（渗透系数不大于10</w:t>
            </w:r>
            <w:r>
              <w:rPr>
                <w:color w:val="auto"/>
                <w:highlight w:val="none"/>
                <w:vertAlign w:val="superscript"/>
              </w:rPr>
              <w:t>-10</w:t>
            </w:r>
            <w:r>
              <w:rPr>
                <w:color w:val="auto"/>
                <w:highlight w:val="none"/>
              </w:rPr>
              <w:t>cm/s），或其他防渗性能等效的材料。</w:t>
            </w:r>
          </w:p>
          <w:p w14:paraId="297FFE68">
            <w:pPr>
              <w:pStyle w:val="24"/>
              <w:ind w:firstLine="480"/>
              <w:rPr>
                <w:color w:val="auto"/>
                <w:sz w:val="24"/>
                <w:highlight w:val="none"/>
              </w:rPr>
            </w:pPr>
            <w:r>
              <w:rPr>
                <w:color w:val="auto"/>
                <w:sz w:val="24"/>
                <w:highlight w:val="none"/>
              </w:rPr>
              <w:t>项目危险废物贮存场所基本情况见下表。</w:t>
            </w:r>
          </w:p>
          <w:p w14:paraId="28C6287E">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w:t>
            </w:r>
            <w:r>
              <w:rPr>
                <w:rFonts w:hint="eastAsia"/>
                <w:b/>
                <w:bCs/>
                <w:color w:val="auto"/>
                <w:sz w:val="21"/>
                <w:szCs w:val="21"/>
                <w:highlight w:val="none"/>
              </w:rPr>
              <w:t>2</w:t>
            </w:r>
            <w:r>
              <w:rPr>
                <w:rFonts w:hint="eastAsia"/>
                <w:b/>
                <w:bCs/>
                <w:color w:val="auto"/>
                <w:sz w:val="21"/>
                <w:szCs w:val="21"/>
                <w:highlight w:val="none"/>
                <w:lang w:val="en-US" w:eastAsia="zh-CN"/>
              </w:rPr>
              <w:t>8</w:t>
            </w:r>
            <w:r>
              <w:rPr>
                <w:rFonts w:hint="eastAsia"/>
                <w:b/>
                <w:bCs/>
                <w:color w:val="auto"/>
                <w:sz w:val="21"/>
                <w:szCs w:val="21"/>
                <w:highlight w:val="none"/>
              </w:rPr>
              <w:t xml:space="preserve"> </w:t>
            </w:r>
            <w:r>
              <w:rPr>
                <w:b/>
                <w:bCs/>
                <w:color w:val="auto"/>
                <w:sz w:val="21"/>
                <w:szCs w:val="21"/>
                <w:highlight w:val="none"/>
              </w:rPr>
              <w:t>危险废物贮存场所（设施）基本情况表</w:t>
            </w:r>
          </w:p>
          <w:tbl>
            <w:tblPr>
              <w:tblStyle w:val="4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827"/>
              <w:gridCol w:w="811"/>
              <w:gridCol w:w="1316"/>
              <w:gridCol w:w="773"/>
              <w:gridCol w:w="706"/>
              <w:gridCol w:w="1116"/>
              <w:gridCol w:w="715"/>
              <w:gridCol w:w="769"/>
            </w:tblGrid>
            <w:tr w14:paraId="390D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2" w:type="pct"/>
                  <w:vMerge w:val="restart"/>
                  <w:vAlign w:val="center"/>
                </w:tcPr>
                <w:p w14:paraId="7DB2AD47">
                  <w:pPr>
                    <w:pStyle w:val="64"/>
                    <w:rPr>
                      <w:b/>
                      <w:bCs/>
                      <w:color w:val="auto"/>
                      <w:kern w:val="2"/>
                      <w:highlight w:val="none"/>
                    </w:rPr>
                  </w:pPr>
                  <w:r>
                    <w:rPr>
                      <w:b/>
                      <w:bCs/>
                      <w:color w:val="auto"/>
                      <w:kern w:val="2"/>
                      <w:highlight w:val="none"/>
                    </w:rPr>
                    <w:t>贮存场所（设施）名称</w:t>
                  </w:r>
                </w:p>
              </w:tc>
              <w:tc>
                <w:tcPr>
                  <w:tcW w:w="2169" w:type="pct"/>
                  <w:gridSpan w:val="3"/>
                  <w:vAlign w:val="center"/>
                </w:tcPr>
                <w:p w14:paraId="4BF637A3">
                  <w:pPr>
                    <w:pStyle w:val="64"/>
                    <w:rPr>
                      <w:b/>
                      <w:bCs/>
                      <w:color w:val="auto"/>
                      <w:kern w:val="2"/>
                      <w:highlight w:val="none"/>
                    </w:rPr>
                  </w:pPr>
                  <w:r>
                    <w:rPr>
                      <w:b/>
                      <w:bCs/>
                      <w:color w:val="auto"/>
                      <w:kern w:val="2"/>
                      <w:highlight w:val="none"/>
                    </w:rPr>
                    <w:t>危险废物</w:t>
                  </w:r>
                </w:p>
              </w:tc>
              <w:tc>
                <w:tcPr>
                  <w:tcW w:w="424" w:type="pct"/>
                  <w:vMerge w:val="restart"/>
                  <w:vAlign w:val="center"/>
                </w:tcPr>
                <w:p w14:paraId="2CE110B3">
                  <w:pPr>
                    <w:pStyle w:val="64"/>
                    <w:rPr>
                      <w:b/>
                      <w:bCs/>
                      <w:color w:val="auto"/>
                      <w:kern w:val="2"/>
                      <w:highlight w:val="none"/>
                    </w:rPr>
                  </w:pPr>
                  <w:r>
                    <w:rPr>
                      <w:b/>
                      <w:bCs/>
                      <w:color w:val="auto"/>
                      <w:kern w:val="2"/>
                      <w:highlight w:val="none"/>
                    </w:rPr>
                    <w:t>位置</w:t>
                  </w:r>
                </w:p>
              </w:tc>
              <w:tc>
                <w:tcPr>
                  <w:tcW w:w="387" w:type="pct"/>
                  <w:vMerge w:val="restart"/>
                  <w:vAlign w:val="center"/>
                </w:tcPr>
                <w:p w14:paraId="59707C26">
                  <w:pPr>
                    <w:pStyle w:val="64"/>
                    <w:rPr>
                      <w:b/>
                      <w:bCs/>
                      <w:color w:val="auto"/>
                      <w:kern w:val="2"/>
                      <w:highlight w:val="none"/>
                    </w:rPr>
                  </w:pPr>
                  <w:r>
                    <w:rPr>
                      <w:b/>
                      <w:bCs/>
                      <w:color w:val="auto"/>
                      <w:kern w:val="2"/>
                      <w:highlight w:val="none"/>
                    </w:rPr>
                    <w:t>占地面积</w:t>
                  </w:r>
                </w:p>
              </w:tc>
              <w:tc>
                <w:tcPr>
                  <w:tcW w:w="612" w:type="pct"/>
                  <w:vMerge w:val="restart"/>
                  <w:vAlign w:val="center"/>
                </w:tcPr>
                <w:p w14:paraId="32B5EF6A">
                  <w:pPr>
                    <w:pStyle w:val="64"/>
                    <w:rPr>
                      <w:b/>
                      <w:bCs/>
                      <w:color w:val="auto"/>
                      <w:kern w:val="2"/>
                      <w:highlight w:val="none"/>
                    </w:rPr>
                  </w:pPr>
                  <w:r>
                    <w:rPr>
                      <w:b/>
                      <w:bCs/>
                      <w:color w:val="auto"/>
                      <w:kern w:val="2"/>
                      <w:highlight w:val="none"/>
                    </w:rPr>
                    <w:t>贮存方式</w:t>
                  </w:r>
                </w:p>
              </w:tc>
              <w:tc>
                <w:tcPr>
                  <w:tcW w:w="392" w:type="pct"/>
                  <w:vMerge w:val="restart"/>
                  <w:vAlign w:val="center"/>
                </w:tcPr>
                <w:p w14:paraId="6FE5E497">
                  <w:pPr>
                    <w:pStyle w:val="64"/>
                    <w:rPr>
                      <w:b/>
                      <w:bCs/>
                      <w:color w:val="auto"/>
                      <w:kern w:val="2"/>
                      <w:highlight w:val="none"/>
                    </w:rPr>
                  </w:pPr>
                  <w:r>
                    <w:rPr>
                      <w:b/>
                      <w:bCs/>
                      <w:color w:val="auto"/>
                      <w:kern w:val="2"/>
                      <w:highlight w:val="none"/>
                    </w:rPr>
                    <w:t>贮存能力</w:t>
                  </w:r>
                </w:p>
              </w:tc>
              <w:tc>
                <w:tcPr>
                  <w:tcW w:w="421" w:type="pct"/>
                  <w:vMerge w:val="restart"/>
                  <w:vAlign w:val="center"/>
                </w:tcPr>
                <w:p w14:paraId="07687952">
                  <w:pPr>
                    <w:pStyle w:val="64"/>
                    <w:rPr>
                      <w:b/>
                      <w:bCs/>
                      <w:color w:val="auto"/>
                      <w:kern w:val="2"/>
                      <w:highlight w:val="none"/>
                    </w:rPr>
                  </w:pPr>
                  <w:r>
                    <w:rPr>
                      <w:b/>
                      <w:bCs/>
                      <w:color w:val="auto"/>
                      <w:kern w:val="2"/>
                      <w:highlight w:val="none"/>
                    </w:rPr>
                    <w:t>贮存周期</w:t>
                  </w:r>
                </w:p>
              </w:tc>
            </w:tr>
            <w:tr w14:paraId="0A78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2" w:type="pct"/>
                  <w:vMerge w:val="continue"/>
                  <w:vAlign w:val="center"/>
                </w:tcPr>
                <w:p w14:paraId="035B00CE">
                  <w:pPr>
                    <w:pStyle w:val="64"/>
                    <w:rPr>
                      <w:color w:val="auto"/>
                      <w:kern w:val="2"/>
                      <w:highlight w:val="none"/>
                    </w:rPr>
                  </w:pPr>
                </w:p>
              </w:tc>
              <w:tc>
                <w:tcPr>
                  <w:tcW w:w="1002" w:type="pct"/>
                  <w:vAlign w:val="center"/>
                </w:tcPr>
                <w:p w14:paraId="0B12D318">
                  <w:pPr>
                    <w:pStyle w:val="64"/>
                    <w:rPr>
                      <w:b/>
                      <w:bCs/>
                      <w:color w:val="auto"/>
                      <w:kern w:val="2"/>
                      <w:highlight w:val="none"/>
                    </w:rPr>
                  </w:pPr>
                  <w:r>
                    <w:rPr>
                      <w:b/>
                      <w:bCs/>
                      <w:color w:val="auto"/>
                      <w:kern w:val="2"/>
                      <w:highlight w:val="none"/>
                    </w:rPr>
                    <w:t>名称</w:t>
                  </w:r>
                </w:p>
              </w:tc>
              <w:tc>
                <w:tcPr>
                  <w:tcW w:w="445" w:type="pct"/>
                  <w:vAlign w:val="center"/>
                </w:tcPr>
                <w:p w14:paraId="3FF81853">
                  <w:pPr>
                    <w:pStyle w:val="64"/>
                    <w:rPr>
                      <w:b/>
                      <w:bCs/>
                      <w:color w:val="auto"/>
                      <w:kern w:val="2"/>
                      <w:highlight w:val="none"/>
                    </w:rPr>
                  </w:pPr>
                  <w:r>
                    <w:rPr>
                      <w:b/>
                      <w:bCs/>
                      <w:color w:val="auto"/>
                      <w:kern w:val="2"/>
                      <w:highlight w:val="none"/>
                    </w:rPr>
                    <w:t>类别</w:t>
                  </w:r>
                </w:p>
              </w:tc>
              <w:tc>
                <w:tcPr>
                  <w:tcW w:w="722" w:type="pct"/>
                  <w:vAlign w:val="center"/>
                </w:tcPr>
                <w:p w14:paraId="297BD94C">
                  <w:pPr>
                    <w:pStyle w:val="64"/>
                    <w:rPr>
                      <w:b/>
                      <w:bCs/>
                      <w:color w:val="auto"/>
                      <w:kern w:val="2"/>
                      <w:highlight w:val="none"/>
                    </w:rPr>
                  </w:pPr>
                  <w:r>
                    <w:rPr>
                      <w:b/>
                      <w:bCs/>
                      <w:color w:val="auto"/>
                      <w:kern w:val="2"/>
                      <w:highlight w:val="none"/>
                    </w:rPr>
                    <w:t>代码</w:t>
                  </w:r>
                </w:p>
              </w:tc>
              <w:tc>
                <w:tcPr>
                  <w:tcW w:w="424" w:type="pct"/>
                  <w:vMerge w:val="continue"/>
                  <w:vAlign w:val="center"/>
                </w:tcPr>
                <w:p w14:paraId="153CBB9D">
                  <w:pPr>
                    <w:pStyle w:val="64"/>
                    <w:rPr>
                      <w:color w:val="auto"/>
                      <w:kern w:val="2"/>
                      <w:highlight w:val="none"/>
                    </w:rPr>
                  </w:pPr>
                </w:p>
              </w:tc>
              <w:tc>
                <w:tcPr>
                  <w:tcW w:w="387" w:type="pct"/>
                  <w:vMerge w:val="continue"/>
                  <w:vAlign w:val="center"/>
                </w:tcPr>
                <w:p w14:paraId="2F06421A">
                  <w:pPr>
                    <w:pStyle w:val="64"/>
                    <w:rPr>
                      <w:color w:val="auto"/>
                      <w:kern w:val="2"/>
                      <w:highlight w:val="none"/>
                    </w:rPr>
                  </w:pPr>
                </w:p>
              </w:tc>
              <w:tc>
                <w:tcPr>
                  <w:tcW w:w="612" w:type="pct"/>
                  <w:vMerge w:val="continue"/>
                  <w:vAlign w:val="center"/>
                </w:tcPr>
                <w:p w14:paraId="48971C53">
                  <w:pPr>
                    <w:pStyle w:val="64"/>
                    <w:rPr>
                      <w:color w:val="auto"/>
                      <w:kern w:val="2"/>
                      <w:highlight w:val="none"/>
                    </w:rPr>
                  </w:pPr>
                </w:p>
              </w:tc>
              <w:tc>
                <w:tcPr>
                  <w:tcW w:w="392" w:type="pct"/>
                  <w:vMerge w:val="continue"/>
                  <w:vAlign w:val="center"/>
                </w:tcPr>
                <w:p w14:paraId="7DA99871">
                  <w:pPr>
                    <w:pStyle w:val="64"/>
                    <w:rPr>
                      <w:color w:val="auto"/>
                      <w:kern w:val="2"/>
                      <w:highlight w:val="none"/>
                    </w:rPr>
                  </w:pPr>
                </w:p>
              </w:tc>
              <w:tc>
                <w:tcPr>
                  <w:tcW w:w="421" w:type="pct"/>
                  <w:vMerge w:val="continue"/>
                  <w:vAlign w:val="center"/>
                </w:tcPr>
                <w:p w14:paraId="618BCEA5">
                  <w:pPr>
                    <w:pStyle w:val="64"/>
                    <w:rPr>
                      <w:color w:val="auto"/>
                      <w:kern w:val="2"/>
                      <w:highlight w:val="none"/>
                    </w:rPr>
                  </w:pPr>
                </w:p>
              </w:tc>
            </w:tr>
            <w:tr w14:paraId="4084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92" w:type="pct"/>
                  <w:vMerge w:val="restart"/>
                  <w:vAlign w:val="center"/>
                </w:tcPr>
                <w:p w14:paraId="5F1445D5">
                  <w:pPr>
                    <w:pStyle w:val="64"/>
                    <w:rPr>
                      <w:color w:val="auto"/>
                      <w:kern w:val="2"/>
                      <w:highlight w:val="none"/>
                    </w:rPr>
                  </w:pPr>
                  <w:r>
                    <w:rPr>
                      <w:color w:val="auto"/>
                      <w:kern w:val="2"/>
                      <w:highlight w:val="none"/>
                    </w:rPr>
                    <w:t>危险废物贮存库</w:t>
                  </w:r>
                </w:p>
              </w:tc>
              <w:tc>
                <w:tcPr>
                  <w:tcW w:w="1827" w:type="dxa"/>
                  <w:vAlign w:val="center"/>
                </w:tcPr>
                <w:p w14:paraId="7367A0DC">
                  <w:pPr>
                    <w:keepNext w:val="0"/>
                    <w:keepLines w:val="0"/>
                    <w:widowControl/>
                    <w:suppressLineNumbers w:val="0"/>
                    <w:spacing w:line="240" w:lineRule="auto"/>
                    <w:jc w:val="center"/>
                    <w:textAlignment w:val="center"/>
                    <w:rPr>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w:t>
                  </w: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eastAsia" w:ascii="宋体" w:hAnsi="宋体" w:eastAsia="宋体" w:cs="宋体"/>
                      <w:i w:val="0"/>
                      <w:iCs w:val="0"/>
                      <w:color w:val="auto"/>
                      <w:kern w:val="0"/>
                      <w:sz w:val="21"/>
                      <w:szCs w:val="21"/>
                      <w:highlight w:val="none"/>
                      <w:u w:val="none"/>
                      <w:lang w:val="en-US" w:eastAsia="zh-CN" w:bidi="ar"/>
                    </w:rPr>
                    <w:t>调整剂包装桶</w:t>
                  </w:r>
                </w:p>
              </w:tc>
              <w:tc>
                <w:tcPr>
                  <w:tcW w:w="811" w:type="dxa"/>
                  <w:vAlign w:val="center"/>
                </w:tcPr>
                <w:p w14:paraId="570B861E">
                  <w:pPr>
                    <w:keepNext w:val="0"/>
                    <w:keepLines w:val="0"/>
                    <w:widowControl/>
                    <w:suppressLineNumbers w:val="0"/>
                    <w:spacing w:line="240" w:lineRule="auto"/>
                    <w:jc w:val="center"/>
                    <w:textAlignment w:val="center"/>
                    <w:rPr>
                      <w:color w:val="auto"/>
                      <w:kern w:val="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316" w:type="dxa"/>
                  <w:vAlign w:val="center"/>
                </w:tcPr>
                <w:p w14:paraId="4F40E8F9">
                  <w:pPr>
                    <w:keepNext w:val="0"/>
                    <w:keepLines w:val="0"/>
                    <w:widowControl/>
                    <w:suppressLineNumbers w:val="0"/>
                    <w:spacing w:line="240" w:lineRule="auto"/>
                    <w:jc w:val="center"/>
                    <w:textAlignment w:val="center"/>
                    <w:rPr>
                      <w:bCs/>
                      <w:color w:val="auto"/>
                      <w:kern w:val="2"/>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4" w:type="pct"/>
                  <w:vMerge w:val="restart"/>
                  <w:vAlign w:val="center"/>
                </w:tcPr>
                <w:p w14:paraId="27A01EF6">
                  <w:pPr>
                    <w:pStyle w:val="64"/>
                    <w:rPr>
                      <w:color w:val="auto"/>
                      <w:kern w:val="2"/>
                      <w:highlight w:val="none"/>
                    </w:rPr>
                  </w:pPr>
                  <w:r>
                    <w:rPr>
                      <w:color w:val="auto"/>
                      <w:kern w:val="2"/>
                      <w:highlight w:val="none"/>
                    </w:rPr>
                    <w:t>3#</w:t>
                  </w:r>
                  <w:r>
                    <w:rPr>
                      <w:rFonts w:hint="eastAsia"/>
                      <w:color w:val="auto"/>
                      <w:kern w:val="2"/>
                      <w:highlight w:val="none"/>
                    </w:rPr>
                    <w:t>厂房</w:t>
                  </w:r>
                </w:p>
              </w:tc>
              <w:tc>
                <w:tcPr>
                  <w:tcW w:w="387" w:type="pct"/>
                  <w:vMerge w:val="restart"/>
                  <w:vAlign w:val="center"/>
                </w:tcPr>
                <w:p w14:paraId="37B22CE8">
                  <w:pPr>
                    <w:pStyle w:val="64"/>
                    <w:rPr>
                      <w:color w:val="auto"/>
                      <w:kern w:val="2"/>
                      <w:highlight w:val="none"/>
                    </w:rPr>
                  </w:pPr>
                  <w:r>
                    <w:rPr>
                      <w:color w:val="auto"/>
                      <w:kern w:val="2"/>
                      <w:highlight w:val="none"/>
                    </w:rPr>
                    <w:t>25m</w:t>
                  </w:r>
                  <w:r>
                    <w:rPr>
                      <w:color w:val="auto"/>
                      <w:kern w:val="2"/>
                      <w:highlight w:val="none"/>
                      <w:vertAlign w:val="superscript"/>
                    </w:rPr>
                    <w:t>2</w:t>
                  </w:r>
                </w:p>
              </w:tc>
              <w:tc>
                <w:tcPr>
                  <w:tcW w:w="612" w:type="pct"/>
                  <w:vMerge w:val="restart"/>
                  <w:vAlign w:val="center"/>
                </w:tcPr>
                <w:p w14:paraId="539DFC40">
                  <w:pPr>
                    <w:pStyle w:val="64"/>
                    <w:rPr>
                      <w:color w:val="auto"/>
                      <w:kern w:val="2"/>
                      <w:highlight w:val="none"/>
                    </w:rPr>
                  </w:pPr>
                  <w:r>
                    <w:rPr>
                      <w:color w:val="auto"/>
                      <w:kern w:val="2"/>
                      <w:highlight w:val="none"/>
                    </w:rPr>
                    <w:t>采用密闭性好、耐腐蚀的塑料容器封存</w:t>
                  </w:r>
                </w:p>
              </w:tc>
              <w:tc>
                <w:tcPr>
                  <w:tcW w:w="392" w:type="pct"/>
                  <w:vMerge w:val="restart"/>
                  <w:vAlign w:val="center"/>
                </w:tcPr>
                <w:p w14:paraId="79C964E0">
                  <w:pPr>
                    <w:pStyle w:val="64"/>
                    <w:snapToGrid w:val="0"/>
                    <w:rPr>
                      <w:color w:val="auto"/>
                      <w:kern w:val="2"/>
                      <w:highlight w:val="none"/>
                    </w:rPr>
                  </w:pPr>
                  <w:r>
                    <w:rPr>
                      <w:rFonts w:hint="eastAsia"/>
                      <w:color w:val="auto"/>
                      <w:kern w:val="2"/>
                      <w:highlight w:val="none"/>
                      <w:lang w:val="en-US" w:eastAsia="zh-CN"/>
                    </w:rPr>
                    <w:t>2</w:t>
                  </w:r>
                  <w:r>
                    <w:rPr>
                      <w:color w:val="auto"/>
                      <w:kern w:val="2"/>
                      <w:highlight w:val="none"/>
                    </w:rPr>
                    <w:t>5t</w:t>
                  </w:r>
                </w:p>
              </w:tc>
              <w:tc>
                <w:tcPr>
                  <w:tcW w:w="421" w:type="pct"/>
                  <w:vMerge w:val="restart"/>
                  <w:vAlign w:val="center"/>
                </w:tcPr>
                <w:p w14:paraId="0DA6C4DE">
                  <w:pPr>
                    <w:pStyle w:val="64"/>
                    <w:rPr>
                      <w:color w:val="auto"/>
                      <w:kern w:val="2"/>
                      <w:highlight w:val="none"/>
                    </w:rPr>
                  </w:pPr>
                  <w:r>
                    <w:rPr>
                      <w:color w:val="auto"/>
                      <w:kern w:val="2"/>
                      <w:highlight w:val="none"/>
                    </w:rPr>
                    <w:t>半年</w:t>
                  </w:r>
                </w:p>
              </w:tc>
            </w:tr>
            <w:tr w14:paraId="2740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92" w:type="pct"/>
                  <w:vMerge w:val="continue"/>
                  <w:vAlign w:val="center"/>
                </w:tcPr>
                <w:p w14:paraId="1E2D7D72">
                  <w:pPr>
                    <w:pStyle w:val="64"/>
                    <w:rPr>
                      <w:color w:val="auto"/>
                      <w:kern w:val="2"/>
                      <w:highlight w:val="none"/>
                    </w:rPr>
                  </w:pPr>
                </w:p>
              </w:tc>
              <w:tc>
                <w:tcPr>
                  <w:tcW w:w="1827" w:type="dxa"/>
                  <w:vAlign w:val="center"/>
                </w:tcPr>
                <w:p w14:paraId="268A094A">
                  <w:pPr>
                    <w:keepNext w:val="0"/>
                    <w:keepLines w:val="0"/>
                    <w:widowControl/>
                    <w:suppressLineNumbers w:val="0"/>
                    <w:spacing w:line="240" w:lineRule="auto"/>
                    <w:jc w:val="center"/>
                    <w:textAlignment w:val="center"/>
                    <w:rPr>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废烧碱包装袋</w:t>
                  </w:r>
                </w:p>
              </w:tc>
              <w:tc>
                <w:tcPr>
                  <w:tcW w:w="811" w:type="dxa"/>
                  <w:vAlign w:val="center"/>
                </w:tcPr>
                <w:p w14:paraId="493D5A8B">
                  <w:pPr>
                    <w:keepNext w:val="0"/>
                    <w:keepLines w:val="0"/>
                    <w:widowControl/>
                    <w:suppressLineNumbers w:val="0"/>
                    <w:spacing w:line="240" w:lineRule="auto"/>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35</w:t>
                  </w:r>
                </w:p>
              </w:tc>
              <w:tc>
                <w:tcPr>
                  <w:tcW w:w="1316" w:type="dxa"/>
                  <w:vAlign w:val="center"/>
                </w:tcPr>
                <w:p w14:paraId="5302BD93">
                  <w:pPr>
                    <w:keepNext w:val="0"/>
                    <w:keepLines w:val="0"/>
                    <w:widowControl/>
                    <w:suppressLineNumbers w:val="0"/>
                    <w:spacing w:line="240" w:lineRule="auto"/>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900-399-35</w:t>
                  </w:r>
                </w:p>
              </w:tc>
              <w:tc>
                <w:tcPr>
                  <w:tcW w:w="424" w:type="pct"/>
                  <w:vMerge w:val="continue"/>
                  <w:vAlign w:val="center"/>
                </w:tcPr>
                <w:p w14:paraId="2482FADD">
                  <w:pPr>
                    <w:pStyle w:val="64"/>
                    <w:rPr>
                      <w:color w:val="auto"/>
                      <w:kern w:val="2"/>
                      <w:highlight w:val="none"/>
                    </w:rPr>
                  </w:pPr>
                </w:p>
              </w:tc>
              <w:tc>
                <w:tcPr>
                  <w:tcW w:w="387" w:type="pct"/>
                  <w:vMerge w:val="continue"/>
                  <w:vAlign w:val="center"/>
                </w:tcPr>
                <w:p w14:paraId="0F40F000">
                  <w:pPr>
                    <w:pStyle w:val="64"/>
                    <w:rPr>
                      <w:color w:val="auto"/>
                      <w:kern w:val="2"/>
                      <w:highlight w:val="none"/>
                    </w:rPr>
                  </w:pPr>
                </w:p>
              </w:tc>
              <w:tc>
                <w:tcPr>
                  <w:tcW w:w="612" w:type="pct"/>
                  <w:vMerge w:val="continue"/>
                  <w:vAlign w:val="center"/>
                </w:tcPr>
                <w:p w14:paraId="477FC587">
                  <w:pPr>
                    <w:pStyle w:val="64"/>
                    <w:rPr>
                      <w:color w:val="auto"/>
                      <w:kern w:val="2"/>
                      <w:highlight w:val="none"/>
                    </w:rPr>
                  </w:pPr>
                </w:p>
              </w:tc>
              <w:tc>
                <w:tcPr>
                  <w:tcW w:w="392" w:type="pct"/>
                  <w:vMerge w:val="continue"/>
                  <w:vAlign w:val="center"/>
                </w:tcPr>
                <w:p w14:paraId="06BB6166">
                  <w:pPr>
                    <w:pStyle w:val="64"/>
                    <w:snapToGrid w:val="0"/>
                    <w:rPr>
                      <w:rFonts w:hint="eastAsia"/>
                      <w:color w:val="auto"/>
                      <w:kern w:val="2"/>
                      <w:highlight w:val="none"/>
                      <w:lang w:val="en-US" w:eastAsia="zh-CN"/>
                    </w:rPr>
                  </w:pPr>
                </w:p>
              </w:tc>
              <w:tc>
                <w:tcPr>
                  <w:tcW w:w="421" w:type="pct"/>
                  <w:vMerge w:val="continue"/>
                  <w:vAlign w:val="center"/>
                </w:tcPr>
                <w:p w14:paraId="6C555E2B">
                  <w:pPr>
                    <w:pStyle w:val="64"/>
                    <w:rPr>
                      <w:color w:val="auto"/>
                      <w:kern w:val="2"/>
                      <w:highlight w:val="none"/>
                    </w:rPr>
                  </w:pPr>
                </w:p>
              </w:tc>
            </w:tr>
            <w:tr w14:paraId="49C0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92" w:type="pct"/>
                  <w:vMerge w:val="continue"/>
                  <w:vAlign w:val="center"/>
                </w:tcPr>
                <w:p w14:paraId="5BC104D3">
                  <w:pPr>
                    <w:pStyle w:val="64"/>
                    <w:rPr>
                      <w:color w:val="auto"/>
                      <w:kern w:val="2"/>
                      <w:highlight w:val="none"/>
                    </w:rPr>
                  </w:pPr>
                </w:p>
              </w:tc>
              <w:tc>
                <w:tcPr>
                  <w:tcW w:w="1827" w:type="dxa"/>
                  <w:vAlign w:val="center"/>
                </w:tcPr>
                <w:p w14:paraId="3DAD2D39">
                  <w:pPr>
                    <w:keepNext w:val="0"/>
                    <w:keepLines w:val="0"/>
                    <w:widowControl/>
                    <w:suppressLineNumbers w:val="0"/>
                    <w:spacing w:line="240" w:lineRule="auto"/>
                    <w:jc w:val="center"/>
                    <w:textAlignment w:val="center"/>
                    <w:rPr>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废机油桶</w:t>
                  </w:r>
                </w:p>
              </w:tc>
              <w:tc>
                <w:tcPr>
                  <w:tcW w:w="811" w:type="dxa"/>
                  <w:vAlign w:val="center"/>
                </w:tcPr>
                <w:p w14:paraId="68122CD2">
                  <w:pPr>
                    <w:keepNext w:val="0"/>
                    <w:keepLines w:val="0"/>
                    <w:widowControl/>
                    <w:suppressLineNumbers w:val="0"/>
                    <w:spacing w:line="240" w:lineRule="auto"/>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08</w:t>
                  </w:r>
                </w:p>
              </w:tc>
              <w:tc>
                <w:tcPr>
                  <w:tcW w:w="1316" w:type="dxa"/>
                  <w:vAlign w:val="center"/>
                </w:tcPr>
                <w:p w14:paraId="3DFB4BFB">
                  <w:pPr>
                    <w:keepNext w:val="0"/>
                    <w:keepLines w:val="0"/>
                    <w:widowControl/>
                    <w:suppressLineNumbers w:val="0"/>
                    <w:spacing w:line="240" w:lineRule="auto"/>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4" w:type="pct"/>
                  <w:vMerge w:val="continue"/>
                  <w:vAlign w:val="center"/>
                </w:tcPr>
                <w:p w14:paraId="7E25F44E">
                  <w:pPr>
                    <w:pStyle w:val="64"/>
                    <w:rPr>
                      <w:color w:val="auto"/>
                      <w:kern w:val="2"/>
                      <w:highlight w:val="none"/>
                    </w:rPr>
                  </w:pPr>
                </w:p>
              </w:tc>
              <w:tc>
                <w:tcPr>
                  <w:tcW w:w="387" w:type="pct"/>
                  <w:vMerge w:val="continue"/>
                  <w:vAlign w:val="center"/>
                </w:tcPr>
                <w:p w14:paraId="0654AEF8">
                  <w:pPr>
                    <w:pStyle w:val="64"/>
                    <w:rPr>
                      <w:color w:val="auto"/>
                      <w:kern w:val="2"/>
                      <w:highlight w:val="none"/>
                    </w:rPr>
                  </w:pPr>
                </w:p>
              </w:tc>
              <w:tc>
                <w:tcPr>
                  <w:tcW w:w="612" w:type="pct"/>
                  <w:vMerge w:val="continue"/>
                  <w:vAlign w:val="center"/>
                </w:tcPr>
                <w:p w14:paraId="2FF36F07">
                  <w:pPr>
                    <w:pStyle w:val="64"/>
                    <w:rPr>
                      <w:color w:val="auto"/>
                      <w:kern w:val="2"/>
                      <w:highlight w:val="none"/>
                    </w:rPr>
                  </w:pPr>
                </w:p>
              </w:tc>
              <w:tc>
                <w:tcPr>
                  <w:tcW w:w="392" w:type="pct"/>
                  <w:vMerge w:val="continue"/>
                  <w:vAlign w:val="center"/>
                </w:tcPr>
                <w:p w14:paraId="553133DC">
                  <w:pPr>
                    <w:pStyle w:val="64"/>
                    <w:snapToGrid w:val="0"/>
                    <w:rPr>
                      <w:rFonts w:hint="eastAsia"/>
                      <w:color w:val="auto"/>
                      <w:kern w:val="2"/>
                      <w:highlight w:val="none"/>
                      <w:lang w:val="en-US" w:eastAsia="zh-CN"/>
                    </w:rPr>
                  </w:pPr>
                </w:p>
              </w:tc>
              <w:tc>
                <w:tcPr>
                  <w:tcW w:w="421" w:type="pct"/>
                  <w:vMerge w:val="continue"/>
                  <w:vAlign w:val="center"/>
                </w:tcPr>
                <w:p w14:paraId="442AC688">
                  <w:pPr>
                    <w:pStyle w:val="64"/>
                    <w:rPr>
                      <w:color w:val="auto"/>
                      <w:kern w:val="2"/>
                      <w:highlight w:val="none"/>
                    </w:rPr>
                  </w:pPr>
                </w:p>
              </w:tc>
            </w:tr>
            <w:tr w14:paraId="231E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418D2406">
                  <w:pPr>
                    <w:pStyle w:val="64"/>
                    <w:rPr>
                      <w:color w:val="auto"/>
                      <w:kern w:val="2"/>
                      <w:highlight w:val="none"/>
                    </w:rPr>
                  </w:pPr>
                </w:p>
              </w:tc>
              <w:tc>
                <w:tcPr>
                  <w:tcW w:w="1827" w:type="dxa"/>
                  <w:vAlign w:val="center"/>
                </w:tcPr>
                <w:p w14:paraId="2077230E">
                  <w:pPr>
                    <w:keepNext w:val="0"/>
                    <w:keepLines w:val="0"/>
                    <w:widowControl/>
                    <w:suppressLineNumbers w:val="0"/>
                    <w:spacing w:line="240" w:lineRule="auto"/>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废机油</w:t>
                  </w:r>
                </w:p>
              </w:tc>
              <w:tc>
                <w:tcPr>
                  <w:tcW w:w="811" w:type="dxa"/>
                  <w:vAlign w:val="center"/>
                </w:tcPr>
                <w:p w14:paraId="2F106026">
                  <w:pPr>
                    <w:keepNext w:val="0"/>
                    <w:keepLines w:val="0"/>
                    <w:widowControl/>
                    <w:suppressLineNumbers w:val="0"/>
                    <w:spacing w:line="240" w:lineRule="auto"/>
                    <w:jc w:val="center"/>
                    <w:textAlignment w:val="center"/>
                    <w:rPr>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08</w:t>
                  </w:r>
                </w:p>
              </w:tc>
              <w:tc>
                <w:tcPr>
                  <w:tcW w:w="1316" w:type="dxa"/>
                  <w:vAlign w:val="center"/>
                </w:tcPr>
                <w:p w14:paraId="044F8CDF">
                  <w:pPr>
                    <w:keepNext w:val="0"/>
                    <w:keepLines w:val="0"/>
                    <w:widowControl/>
                    <w:suppressLineNumbers w:val="0"/>
                    <w:spacing w:line="240" w:lineRule="auto"/>
                    <w:jc w:val="center"/>
                    <w:textAlignment w:val="center"/>
                    <w:rPr>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4" w:type="pct"/>
                  <w:vMerge w:val="continue"/>
                  <w:vAlign w:val="center"/>
                </w:tcPr>
                <w:p w14:paraId="4E93E5CD">
                  <w:pPr>
                    <w:pStyle w:val="64"/>
                    <w:rPr>
                      <w:color w:val="auto"/>
                      <w:kern w:val="2"/>
                      <w:highlight w:val="none"/>
                    </w:rPr>
                  </w:pPr>
                </w:p>
              </w:tc>
              <w:tc>
                <w:tcPr>
                  <w:tcW w:w="387" w:type="pct"/>
                  <w:vMerge w:val="continue"/>
                  <w:vAlign w:val="center"/>
                </w:tcPr>
                <w:p w14:paraId="2BACF5C4">
                  <w:pPr>
                    <w:pStyle w:val="64"/>
                    <w:rPr>
                      <w:color w:val="auto"/>
                      <w:kern w:val="2"/>
                      <w:highlight w:val="none"/>
                    </w:rPr>
                  </w:pPr>
                </w:p>
              </w:tc>
              <w:tc>
                <w:tcPr>
                  <w:tcW w:w="612" w:type="pct"/>
                  <w:vMerge w:val="continue"/>
                  <w:vAlign w:val="center"/>
                </w:tcPr>
                <w:p w14:paraId="700C5F63">
                  <w:pPr>
                    <w:pStyle w:val="64"/>
                    <w:rPr>
                      <w:color w:val="auto"/>
                      <w:kern w:val="2"/>
                      <w:highlight w:val="none"/>
                    </w:rPr>
                  </w:pPr>
                </w:p>
              </w:tc>
              <w:tc>
                <w:tcPr>
                  <w:tcW w:w="392" w:type="pct"/>
                  <w:vMerge w:val="continue"/>
                  <w:vAlign w:val="center"/>
                </w:tcPr>
                <w:p w14:paraId="5D748153">
                  <w:pPr>
                    <w:pStyle w:val="64"/>
                    <w:rPr>
                      <w:color w:val="auto"/>
                      <w:kern w:val="2"/>
                      <w:highlight w:val="none"/>
                    </w:rPr>
                  </w:pPr>
                </w:p>
              </w:tc>
              <w:tc>
                <w:tcPr>
                  <w:tcW w:w="421" w:type="pct"/>
                  <w:vMerge w:val="continue"/>
                  <w:vAlign w:val="center"/>
                </w:tcPr>
                <w:p w14:paraId="5704914E">
                  <w:pPr>
                    <w:pStyle w:val="64"/>
                    <w:rPr>
                      <w:color w:val="auto"/>
                      <w:kern w:val="2"/>
                      <w:highlight w:val="none"/>
                    </w:rPr>
                  </w:pPr>
                </w:p>
              </w:tc>
            </w:tr>
            <w:tr w14:paraId="227D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6429AF94">
                  <w:pPr>
                    <w:pStyle w:val="64"/>
                    <w:rPr>
                      <w:color w:val="auto"/>
                      <w:kern w:val="2"/>
                      <w:highlight w:val="none"/>
                    </w:rPr>
                  </w:pPr>
                </w:p>
              </w:tc>
              <w:tc>
                <w:tcPr>
                  <w:tcW w:w="1827" w:type="dxa"/>
                  <w:vAlign w:val="center"/>
                </w:tcPr>
                <w:p w14:paraId="68B1DC10">
                  <w:pPr>
                    <w:keepNext w:val="0"/>
                    <w:keepLines w:val="0"/>
                    <w:widowControl/>
                    <w:suppressLineNumbers w:val="0"/>
                    <w:spacing w:line="240" w:lineRule="auto"/>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含油废抹布</w:t>
                  </w:r>
                </w:p>
              </w:tc>
              <w:tc>
                <w:tcPr>
                  <w:tcW w:w="811" w:type="dxa"/>
                  <w:vAlign w:val="center"/>
                </w:tcPr>
                <w:p w14:paraId="0C74F677">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w:t>
                  </w:r>
                  <w:r>
                    <w:rPr>
                      <w:rFonts w:hint="eastAsia" w:cs="Times New Roman"/>
                      <w:i w:val="0"/>
                      <w:iCs w:val="0"/>
                      <w:color w:val="auto"/>
                      <w:kern w:val="0"/>
                      <w:sz w:val="21"/>
                      <w:szCs w:val="21"/>
                      <w:highlight w:val="none"/>
                      <w:u w:val="none"/>
                      <w:lang w:val="en-US" w:eastAsia="zh-CN" w:bidi="ar"/>
                    </w:rPr>
                    <w:t>49</w:t>
                  </w:r>
                </w:p>
              </w:tc>
              <w:tc>
                <w:tcPr>
                  <w:tcW w:w="1316" w:type="dxa"/>
                  <w:vAlign w:val="center"/>
                </w:tcPr>
                <w:p w14:paraId="7453939D">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4" w:type="pct"/>
                  <w:vMerge w:val="continue"/>
                  <w:vAlign w:val="center"/>
                </w:tcPr>
                <w:p w14:paraId="0ACB6656">
                  <w:pPr>
                    <w:pStyle w:val="64"/>
                    <w:rPr>
                      <w:color w:val="auto"/>
                      <w:kern w:val="2"/>
                      <w:highlight w:val="none"/>
                    </w:rPr>
                  </w:pPr>
                </w:p>
              </w:tc>
              <w:tc>
                <w:tcPr>
                  <w:tcW w:w="387" w:type="pct"/>
                  <w:vMerge w:val="continue"/>
                  <w:vAlign w:val="center"/>
                </w:tcPr>
                <w:p w14:paraId="17E90F1C">
                  <w:pPr>
                    <w:pStyle w:val="64"/>
                    <w:rPr>
                      <w:color w:val="auto"/>
                      <w:kern w:val="2"/>
                      <w:highlight w:val="none"/>
                    </w:rPr>
                  </w:pPr>
                </w:p>
              </w:tc>
              <w:tc>
                <w:tcPr>
                  <w:tcW w:w="612" w:type="pct"/>
                  <w:vMerge w:val="continue"/>
                  <w:vAlign w:val="center"/>
                </w:tcPr>
                <w:p w14:paraId="364685E0">
                  <w:pPr>
                    <w:pStyle w:val="64"/>
                    <w:rPr>
                      <w:color w:val="auto"/>
                      <w:kern w:val="2"/>
                      <w:highlight w:val="none"/>
                    </w:rPr>
                  </w:pPr>
                </w:p>
              </w:tc>
              <w:tc>
                <w:tcPr>
                  <w:tcW w:w="392" w:type="pct"/>
                  <w:vMerge w:val="continue"/>
                  <w:vAlign w:val="center"/>
                </w:tcPr>
                <w:p w14:paraId="3B681216">
                  <w:pPr>
                    <w:pStyle w:val="64"/>
                    <w:rPr>
                      <w:color w:val="auto"/>
                      <w:kern w:val="2"/>
                      <w:highlight w:val="none"/>
                    </w:rPr>
                  </w:pPr>
                </w:p>
              </w:tc>
              <w:tc>
                <w:tcPr>
                  <w:tcW w:w="421" w:type="pct"/>
                  <w:vMerge w:val="continue"/>
                  <w:vAlign w:val="center"/>
                </w:tcPr>
                <w:p w14:paraId="73417AB1">
                  <w:pPr>
                    <w:pStyle w:val="64"/>
                    <w:rPr>
                      <w:color w:val="auto"/>
                      <w:kern w:val="2"/>
                      <w:highlight w:val="none"/>
                    </w:rPr>
                  </w:pPr>
                </w:p>
              </w:tc>
            </w:tr>
            <w:tr w14:paraId="767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6DA9ABD2">
                  <w:pPr>
                    <w:pStyle w:val="64"/>
                    <w:rPr>
                      <w:color w:val="auto"/>
                      <w:kern w:val="2"/>
                      <w:highlight w:val="none"/>
                    </w:rPr>
                  </w:pPr>
                </w:p>
              </w:tc>
              <w:tc>
                <w:tcPr>
                  <w:tcW w:w="1827" w:type="dxa"/>
                  <w:shd w:val="clear" w:color="auto" w:fill="auto"/>
                  <w:vAlign w:val="center"/>
                </w:tcPr>
                <w:p w14:paraId="54FE41FB">
                  <w:pPr>
                    <w:keepNext w:val="0"/>
                    <w:keepLines w:val="0"/>
                    <w:widowControl/>
                    <w:suppressLineNumbers w:val="0"/>
                    <w:spacing w:line="240" w:lineRule="auto"/>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废柴油桶</w:t>
                  </w:r>
                </w:p>
              </w:tc>
              <w:tc>
                <w:tcPr>
                  <w:tcW w:w="811" w:type="dxa"/>
                  <w:shd w:val="clear" w:color="auto" w:fill="auto"/>
                  <w:vAlign w:val="center"/>
                </w:tcPr>
                <w:p w14:paraId="01B877E6">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316" w:type="dxa"/>
                  <w:shd w:val="clear" w:color="auto" w:fill="auto"/>
                  <w:vAlign w:val="center"/>
                </w:tcPr>
                <w:p w14:paraId="22CCADFF">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4" w:type="pct"/>
                  <w:vMerge w:val="continue"/>
                  <w:vAlign w:val="center"/>
                </w:tcPr>
                <w:p w14:paraId="7B17C6D2">
                  <w:pPr>
                    <w:pStyle w:val="64"/>
                    <w:rPr>
                      <w:color w:val="auto"/>
                      <w:kern w:val="2"/>
                      <w:highlight w:val="none"/>
                    </w:rPr>
                  </w:pPr>
                </w:p>
              </w:tc>
              <w:tc>
                <w:tcPr>
                  <w:tcW w:w="387" w:type="pct"/>
                  <w:vMerge w:val="continue"/>
                  <w:vAlign w:val="center"/>
                </w:tcPr>
                <w:p w14:paraId="5CFFF183">
                  <w:pPr>
                    <w:pStyle w:val="64"/>
                    <w:rPr>
                      <w:color w:val="auto"/>
                      <w:kern w:val="2"/>
                      <w:highlight w:val="none"/>
                    </w:rPr>
                  </w:pPr>
                </w:p>
              </w:tc>
              <w:tc>
                <w:tcPr>
                  <w:tcW w:w="612" w:type="pct"/>
                  <w:vMerge w:val="continue"/>
                  <w:vAlign w:val="center"/>
                </w:tcPr>
                <w:p w14:paraId="0543913C">
                  <w:pPr>
                    <w:pStyle w:val="64"/>
                    <w:rPr>
                      <w:color w:val="auto"/>
                      <w:kern w:val="2"/>
                      <w:highlight w:val="none"/>
                    </w:rPr>
                  </w:pPr>
                </w:p>
              </w:tc>
              <w:tc>
                <w:tcPr>
                  <w:tcW w:w="392" w:type="pct"/>
                  <w:vMerge w:val="continue"/>
                  <w:vAlign w:val="center"/>
                </w:tcPr>
                <w:p w14:paraId="46B96096">
                  <w:pPr>
                    <w:pStyle w:val="64"/>
                    <w:rPr>
                      <w:color w:val="auto"/>
                      <w:kern w:val="2"/>
                      <w:highlight w:val="none"/>
                    </w:rPr>
                  </w:pPr>
                </w:p>
              </w:tc>
              <w:tc>
                <w:tcPr>
                  <w:tcW w:w="421" w:type="pct"/>
                  <w:vMerge w:val="continue"/>
                  <w:vAlign w:val="center"/>
                </w:tcPr>
                <w:p w14:paraId="59AD2A9F">
                  <w:pPr>
                    <w:pStyle w:val="64"/>
                    <w:rPr>
                      <w:color w:val="auto"/>
                      <w:kern w:val="2"/>
                      <w:highlight w:val="none"/>
                    </w:rPr>
                  </w:pPr>
                </w:p>
              </w:tc>
            </w:tr>
            <w:tr w14:paraId="4367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5CBA2DCD">
                  <w:pPr>
                    <w:pStyle w:val="64"/>
                    <w:rPr>
                      <w:color w:val="auto"/>
                      <w:kern w:val="2"/>
                      <w:highlight w:val="none"/>
                    </w:rPr>
                  </w:pPr>
                </w:p>
              </w:tc>
              <w:tc>
                <w:tcPr>
                  <w:tcW w:w="1827" w:type="dxa"/>
                  <w:vAlign w:val="center"/>
                </w:tcPr>
                <w:p w14:paraId="23021219">
                  <w:pPr>
                    <w:keepNext w:val="0"/>
                    <w:keepLines w:val="0"/>
                    <w:widowControl/>
                    <w:suppressLineNumbers w:val="0"/>
                    <w:spacing w:line="240" w:lineRule="auto"/>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废活性炭</w:t>
                  </w:r>
                </w:p>
              </w:tc>
              <w:tc>
                <w:tcPr>
                  <w:tcW w:w="811" w:type="dxa"/>
                  <w:vAlign w:val="center"/>
                </w:tcPr>
                <w:p w14:paraId="243894A6">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316" w:type="dxa"/>
                  <w:vAlign w:val="center"/>
                </w:tcPr>
                <w:p w14:paraId="51928FCB">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424" w:type="pct"/>
                  <w:vMerge w:val="continue"/>
                  <w:vAlign w:val="center"/>
                </w:tcPr>
                <w:p w14:paraId="0DDBC4B1">
                  <w:pPr>
                    <w:pStyle w:val="64"/>
                    <w:rPr>
                      <w:color w:val="auto"/>
                      <w:kern w:val="2"/>
                      <w:highlight w:val="none"/>
                    </w:rPr>
                  </w:pPr>
                </w:p>
              </w:tc>
              <w:tc>
                <w:tcPr>
                  <w:tcW w:w="387" w:type="pct"/>
                  <w:vMerge w:val="continue"/>
                  <w:vAlign w:val="center"/>
                </w:tcPr>
                <w:p w14:paraId="0F741F81">
                  <w:pPr>
                    <w:pStyle w:val="64"/>
                    <w:rPr>
                      <w:color w:val="auto"/>
                      <w:kern w:val="2"/>
                      <w:highlight w:val="none"/>
                    </w:rPr>
                  </w:pPr>
                </w:p>
              </w:tc>
              <w:tc>
                <w:tcPr>
                  <w:tcW w:w="612" w:type="pct"/>
                  <w:vMerge w:val="continue"/>
                  <w:vAlign w:val="center"/>
                </w:tcPr>
                <w:p w14:paraId="14B6FE16">
                  <w:pPr>
                    <w:pStyle w:val="64"/>
                    <w:rPr>
                      <w:color w:val="auto"/>
                      <w:kern w:val="2"/>
                      <w:highlight w:val="none"/>
                    </w:rPr>
                  </w:pPr>
                </w:p>
              </w:tc>
              <w:tc>
                <w:tcPr>
                  <w:tcW w:w="392" w:type="pct"/>
                  <w:vMerge w:val="continue"/>
                  <w:vAlign w:val="center"/>
                </w:tcPr>
                <w:p w14:paraId="3A3F999A">
                  <w:pPr>
                    <w:pStyle w:val="64"/>
                    <w:rPr>
                      <w:color w:val="auto"/>
                      <w:kern w:val="2"/>
                      <w:highlight w:val="none"/>
                    </w:rPr>
                  </w:pPr>
                </w:p>
              </w:tc>
              <w:tc>
                <w:tcPr>
                  <w:tcW w:w="421" w:type="pct"/>
                  <w:vMerge w:val="continue"/>
                  <w:vAlign w:val="center"/>
                </w:tcPr>
                <w:p w14:paraId="19B6C27D">
                  <w:pPr>
                    <w:pStyle w:val="64"/>
                    <w:rPr>
                      <w:color w:val="auto"/>
                      <w:kern w:val="2"/>
                      <w:highlight w:val="none"/>
                    </w:rPr>
                  </w:pPr>
                </w:p>
              </w:tc>
            </w:tr>
            <w:tr w14:paraId="5B67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6487C8BA">
                  <w:pPr>
                    <w:pStyle w:val="64"/>
                    <w:rPr>
                      <w:color w:val="auto"/>
                      <w:kern w:val="2"/>
                      <w:highlight w:val="none"/>
                    </w:rPr>
                  </w:pPr>
                </w:p>
              </w:tc>
              <w:tc>
                <w:tcPr>
                  <w:tcW w:w="1827" w:type="dxa"/>
                  <w:vAlign w:val="center"/>
                </w:tcPr>
                <w:p w14:paraId="4D8D19F4">
                  <w:pPr>
                    <w:keepNext w:val="0"/>
                    <w:keepLines w:val="0"/>
                    <w:widowControl/>
                    <w:suppressLineNumbers w:val="0"/>
                    <w:spacing w:line="240" w:lineRule="auto"/>
                    <w:jc w:val="center"/>
                    <w:textAlignment w:val="center"/>
                    <w:rPr>
                      <w:rFonts w:hint="eastAsia"/>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废催化剂</w:t>
                  </w:r>
                </w:p>
              </w:tc>
              <w:tc>
                <w:tcPr>
                  <w:tcW w:w="811" w:type="dxa"/>
                  <w:vAlign w:val="center"/>
                </w:tcPr>
                <w:p w14:paraId="4133CBED">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HW50</w:t>
                  </w:r>
                </w:p>
              </w:tc>
              <w:tc>
                <w:tcPr>
                  <w:tcW w:w="1316" w:type="dxa"/>
                  <w:vAlign w:val="center"/>
                </w:tcPr>
                <w:p w14:paraId="4282FF10">
                  <w:pPr>
                    <w:keepNext w:val="0"/>
                    <w:keepLines w:val="0"/>
                    <w:widowControl/>
                    <w:suppressLineNumbers w:val="0"/>
                    <w:spacing w:line="240" w:lineRule="auto"/>
                    <w:jc w:val="left"/>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900-049-50</w:t>
                  </w:r>
                </w:p>
              </w:tc>
              <w:tc>
                <w:tcPr>
                  <w:tcW w:w="424" w:type="pct"/>
                  <w:vMerge w:val="continue"/>
                  <w:vAlign w:val="center"/>
                </w:tcPr>
                <w:p w14:paraId="57CE39FD">
                  <w:pPr>
                    <w:pStyle w:val="64"/>
                    <w:rPr>
                      <w:color w:val="auto"/>
                      <w:kern w:val="2"/>
                      <w:highlight w:val="none"/>
                    </w:rPr>
                  </w:pPr>
                </w:p>
              </w:tc>
              <w:tc>
                <w:tcPr>
                  <w:tcW w:w="387" w:type="pct"/>
                  <w:vMerge w:val="continue"/>
                  <w:vAlign w:val="center"/>
                </w:tcPr>
                <w:p w14:paraId="24420976">
                  <w:pPr>
                    <w:pStyle w:val="64"/>
                    <w:rPr>
                      <w:color w:val="auto"/>
                      <w:kern w:val="2"/>
                      <w:highlight w:val="none"/>
                    </w:rPr>
                  </w:pPr>
                </w:p>
              </w:tc>
              <w:tc>
                <w:tcPr>
                  <w:tcW w:w="612" w:type="pct"/>
                  <w:vMerge w:val="continue"/>
                  <w:vAlign w:val="center"/>
                </w:tcPr>
                <w:p w14:paraId="3AC7A735">
                  <w:pPr>
                    <w:pStyle w:val="64"/>
                    <w:rPr>
                      <w:color w:val="auto"/>
                      <w:kern w:val="2"/>
                      <w:highlight w:val="none"/>
                    </w:rPr>
                  </w:pPr>
                </w:p>
              </w:tc>
              <w:tc>
                <w:tcPr>
                  <w:tcW w:w="392" w:type="pct"/>
                  <w:vMerge w:val="continue"/>
                  <w:vAlign w:val="center"/>
                </w:tcPr>
                <w:p w14:paraId="46583E24">
                  <w:pPr>
                    <w:pStyle w:val="64"/>
                    <w:rPr>
                      <w:color w:val="auto"/>
                      <w:kern w:val="2"/>
                      <w:highlight w:val="none"/>
                    </w:rPr>
                  </w:pPr>
                </w:p>
              </w:tc>
              <w:tc>
                <w:tcPr>
                  <w:tcW w:w="421" w:type="pct"/>
                  <w:vMerge w:val="restart"/>
                  <w:vAlign w:val="center"/>
                </w:tcPr>
                <w:p w14:paraId="6119F668">
                  <w:pPr>
                    <w:pStyle w:val="64"/>
                    <w:rPr>
                      <w:rFonts w:hint="default" w:eastAsia="宋体"/>
                      <w:color w:val="auto"/>
                      <w:kern w:val="2"/>
                      <w:highlight w:val="none"/>
                      <w:lang w:val="en-US" w:eastAsia="zh-CN"/>
                    </w:rPr>
                  </w:pPr>
                  <w:r>
                    <w:rPr>
                      <w:rFonts w:hint="eastAsia"/>
                      <w:color w:val="auto"/>
                      <w:kern w:val="2"/>
                      <w:highlight w:val="none"/>
                      <w:lang w:val="en-US" w:eastAsia="zh-CN"/>
                    </w:rPr>
                    <w:t>1个月</w:t>
                  </w:r>
                </w:p>
              </w:tc>
            </w:tr>
            <w:tr w14:paraId="228B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29076250">
                  <w:pPr>
                    <w:pStyle w:val="64"/>
                    <w:rPr>
                      <w:color w:val="auto"/>
                      <w:kern w:val="2"/>
                      <w:highlight w:val="none"/>
                    </w:rPr>
                  </w:pPr>
                </w:p>
              </w:tc>
              <w:tc>
                <w:tcPr>
                  <w:tcW w:w="1827" w:type="dxa"/>
                  <w:vAlign w:val="center"/>
                </w:tcPr>
                <w:p w14:paraId="3A6EACCF">
                  <w:pPr>
                    <w:keepNext w:val="0"/>
                    <w:keepLines w:val="0"/>
                    <w:widowControl/>
                    <w:suppressLineNumbers w:val="0"/>
                    <w:spacing w:line="240" w:lineRule="auto"/>
                    <w:jc w:val="center"/>
                    <w:textAlignment w:val="center"/>
                    <w:rPr>
                      <w:rFonts w:hint="eastAsia"/>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喷淋沉渣</w:t>
                  </w:r>
                </w:p>
              </w:tc>
              <w:tc>
                <w:tcPr>
                  <w:tcW w:w="811" w:type="dxa"/>
                  <w:vAlign w:val="center"/>
                </w:tcPr>
                <w:p w14:paraId="48B132DB">
                  <w:pPr>
                    <w:keepNext w:val="0"/>
                    <w:keepLines w:val="0"/>
                    <w:widowControl/>
                    <w:suppressLineNumbers w:val="0"/>
                    <w:spacing w:line="240" w:lineRule="auto"/>
                    <w:jc w:val="center"/>
                    <w:textAlignment w:val="center"/>
                    <w:rPr>
                      <w:color w:val="auto"/>
                      <w:kern w:val="0"/>
                      <w:sz w:val="21"/>
                      <w:szCs w:val="21"/>
                      <w:highlight w:val="none"/>
                    </w:rPr>
                  </w:pPr>
                  <w:r>
                    <w:rPr>
                      <w:rFonts w:hint="eastAsia" w:cs="Times New Roman"/>
                      <w:i w:val="0"/>
                      <w:iCs w:val="0"/>
                      <w:color w:val="auto"/>
                      <w:kern w:val="0"/>
                      <w:sz w:val="21"/>
                      <w:szCs w:val="21"/>
                      <w:highlight w:val="none"/>
                      <w:u w:val="none"/>
                      <w:lang w:val="en-US" w:eastAsia="zh-CN" w:bidi="ar"/>
                    </w:rPr>
                    <w:t>HW49</w:t>
                  </w:r>
                </w:p>
              </w:tc>
              <w:tc>
                <w:tcPr>
                  <w:tcW w:w="1316" w:type="dxa"/>
                  <w:vAlign w:val="center"/>
                </w:tcPr>
                <w:p w14:paraId="5B7FF404">
                  <w:pPr>
                    <w:keepNext w:val="0"/>
                    <w:keepLines w:val="0"/>
                    <w:widowControl/>
                    <w:suppressLineNumbers w:val="0"/>
                    <w:spacing w:line="240" w:lineRule="auto"/>
                    <w:jc w:val="left"/>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424" w:type="pct"/>
                  <w:vMerge w:val="continue"/>
                  <w:vAlign w:val="center"/>
                </w:tcPr>
                <w:p w14:paraId="260AF4A7">
                  <w:pPr>
                    <w:pStyle w:val="64"/>
                    <w:rPr>
                      <w:color w:val="auto"/>
                      <w:kern w:val="2"/>
                      <w:highlight w:val="none"/>
                    </w:rPr>
                  </w:pPr>
                </w:p>
              </w:tc>
              <w:tc>
                <w:tcPr>
                  <w:tcW w:w="387" w:type="pct"/>
                  <w:vMerge w:val="continue"/>
                  <w:vAlign w:val="center"/>
                </w:tcPr>
                <w:p w14:paraId="6D6D57E7">
                  <w:pPr>
                    <w:pStyle w:val="64"/>
                    <w:rPr>
                      <w:color w:val="auto"/>
                      <w:kern w:val="2"/>
                      <w:highlight w:val="none"/>
                    </w:rPr>
                  </w:pPr>
                </w:p>
              </w:tc>
              <w:tc>
                <w:tcPr>
                  <w:tcW w:w="612" w:type="pct"/>
                  <w:vMerge w:val="continue"/>
                  <w:vAlign w:val="center"/>
                </w:tcPr>
                <w:p w14:paraId="76E72343">
                  <w:pPr>
                    <w:pStyle w:val="64"/>
                    <w:rPr>
                      <w:color w:val="auto"/>
                      <w:kern w:val="2"/>
                      <w:highlight w:val="none"/>
                    </w:rPr>
                  </w:pPr>
                </w:p>
              </w:tc>
              <w:tc>
                <w:tcPr>
                  <w:tcW w:w="392" w:type="pct"/>
                  <w:vMerge w:val="continue"/>
                  <w:vAlign w:val="center"/>
                </w:tcPr>
                <w:p w14:paraId="04AEBA08">
                  <w:pPr>
                    <w:pStyle w:val="64"/>
                    <w:rPr>
                      <w:color w:val="auto"/>
                      <w:kern w:val="2"/>
                      <w:highlight w:val="none"/>
                    </w:rPr>
                  </w:pPr>
                </w:p>
              </w:tc>
              <w:tc>
                <w:tcPr>
                  <w:tcW w:w="421" w:type="pct"/>
                  <w:vMerge w:val="continue"/>
                  <w:vAlign w:val="center"/>
                </w:tcPr>
                <w:p w14:paraId="773ED9F6">
                  <w:pPr>
                    <w:pStyle w:val="64"/>
                    <w:rPr>
                      <w:color w:val="auto"/>
                      <w:kern w:val="2"/>
                      <w:highlight w:val="none"/>
                    </w:rPr>
                  </w:pPr>
                </w:p>
              </w:tc>
            </w:tr>
            <w:tr w14:paraId="37E4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30A43285">
                  <w:pPr>
                    <w:pStyle w:val="64"/>
                    <w:rPr>
                      <w:color w:val="auto"/>
                      <w:kern w:val="2"/>
                      <w:highlight w:val="none"/>
                    </w:rPr>
                  </w:pPr>
                </w:p>
              </w:tc>
              <w:tc>
                <w:tcPr>
                  <w:tcW w:w="1827" w:type="dxa"/>
                  <w:vAlign w:val="center"/>
                </w:tcPr>
                <w:p w14:paraId="1EA7F563">
                  <w:pPr>
                    <w:keepNext w:val="0"/>
                    <w:keepLines w:val="0"/>
                    <w:widowControl/>
                    <w:suppressLineNumbers w:val="0"/>
                    <w:spacing w:line="240" w:lineRule="auto"/>
                    <w:jc w:val="center"/>
                    <w:textAlignment w:val="center"/>
                    <w:rPr>
                      <w:rFonts w:hint="eastAsia"/>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废过滤棉</w:t>
                  </w:r>
                </w:p>
              </w:tc>
              <w:tc>
                <w:tcPr>
                  <w:tcW w:w="811" w:type="dxa"/>
                  <w:vAlign w:val="center"/>
                </w:tcPr>
                <w:p w14:paraId="2D3BDCF8">
                  <w:pPr>
                    <w:keepNext w:val="0"/>
                    <w:keepLines w:val="0"/>
                    <w:widowControl/>
                    <w:suppressLineNumbers w:val="0"/>
                    <w:spacing w:line="240" w:lineRule="auto"/>
                    <w:jc w:val="center"/>
                    <w:textAlignment w:val="center"/>
                    <w:rPr>
                      <w:color w:val="auto"/>
                      <w:kern w:val="0"/>
                      <w:sz w:val="21"/>
                      <w:szCs w:val="21"/>
                      <w:highlight w:val="none"/>
                    </w:rPr>
                  </w:pPr>
                  <w:r>
                    <w:rPr>
                      <w:rFonts w:hint="eastAsia" w:cs="Times New Roman"/>
                      <w:i w:val="0"/>
                      <w:iCs w:val="0"/>
                      <w:color w:val="auto"/>
                      <w:kern w:val="0"/>
                      <w:sz w:val="21"/>
                      <w:szCs w:val="21"/>
                      <w:highlight w:val="none"/>
                      <w:u w:val="none"/>
                      <w:lang w:val="en-US" w:eastAsia="zh-CN" w:bidi="ar"/>
                    </w:rPr>
                    <w:t>HW49</w:t>
                  </w:r>
                </w:p>
              </w:tc>
              <w:tc>
                <w:tcPr>
                  <w:tcW w:w="1316" w:type="dxa"/>
                  <w:vAlign w:val="center"/>
                </w:tcPr>
                <w:p w14:paraId="02D7AD13">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900-039-49</w:t>
                  </w:r>
                </w:p>
              </w:tc>
              <w:tc>
                <w:tcPr>
                  <w:tcW w:w="424" w:type="pct"/>
                  <w:vMerge w:val="continue"/>
                  <w:vAlign w:val="center"/>
                </w:tcPr>
                <w:p w14:paraId="168DB9A5">
                  <w:pPr>
                    <w:pStyle w:val="64"/>
                    <w:rPr>
                      <w:color w:val="auto"/>
                      <w:kern w:val="2"/>
                      <w:highlight w:val="none"/>
                    </w:rPr>
                  </w:pPr>
                </w:p>
              </w:tc>
              <w:tc>
                <w:tcPr>
                  <w:tcW w:w="387" w:type="pct"/>
                  <w:vMerge w:val="continue"/>
                  <w:vAlign w:val="center"/>
                </w:tcPr>
                <w:p w14:paraId="224FAA47">
                  <w:pPr>
                    <w:pStyle w:val="64"/>
                    <w:rPr>
                      <w:color w:val="auto"/>
                      <w:kern w:val="2"/>
                      <w:highlight w:val="none"/>
                    </w:rPr>
                  </w:pPr>
                </w:p>
              </w:tc>
              <w:tc>
                <w:tcPr>
                  <w:tcW w:w="612" w:type="pct"/>
                  <w:vMerge w:val="continue"/>
                  <w:vAlign w:val="center"/>
                </w:tcPr>
                <w:p w14:paraId="49AD47BA">
                  <w:pPr>
                    <w:pStyle w:val="64"/>
                    <w:rPr>
                      <w:color w:val="auto"/>
                      <w:kern w:val="2"/>
                      <w:highlight w:val="none"/>
                    </w:rPr>
                  </w:pPr>
                </w:p>
              </w:tc>
              <w:tc>
                <w:tcPr>
                  <w:tcW w:w="392" w:type="pct"/>
                  <w:vMerge w:val="continue"/>
                  <w:vAlign w:val="center"/>
                </w:tcPr>
                <w:p w14:paraId="4E76A2EA">
                  <w:pPr>
                    <w:pStyle w:val="64"/>
                    <w:rPr>
                      <w:color w:val="auto"/>
                      <w:kern w:val="2"/>
                      <w:highlight w:val="none"/>
                    </w:rPr>
                  </w:pPr>
                </w:p>
              </w:tc>
              <w:tc>
                <w:tcPr>
                  <w:tcW w:w="421" w:type="pct"/>
                  <w:vMerge w:val="continue"/>
                  <w:vAlign w:val="center"/>
                </w:tcPr>
                <w:p w14:paraId="0305D8D2">
                  <w:pPr>
                    <w:pStyle w:val="64"/>
                    <w:rPr>
                      <w:color w:val="auto"/>
                      <w:kern w:val="2"/>
                      <w:highlight w:val="none"/>
                    </w:rPr>
                  </w:pPr>
                </w:p>
              </w:tc>
            </w:tr>
            <w:tr w14:paraId="45C1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92" w:type="pct"/>
                  <w:vMerge w:val="continue"/>
                  <w:vAlign w:val="center"/>
                </w:tcPr>
                <w:p w14:paraId="23151A8F">
                  <w:pPr>
                    <w:pStyle w:val="64"/>
                    <w:rPr>
                      <w:color w:val="auto"/>
                      <w:kern w:val="2"/>
                      <w:highlight w:val="none"/>
                    </w:rPr>
                  </w:pPr>
                </w:p>
              </w:tc>
              <w:tc>
                <w:tcPr>
                  <w:tcW w:w="1827" w:type="dxa"/>
                  <w:vAlign w:val="center"/>
                </w:tcPr>
                <w:p w14:paraId="64FF62C9">
                  <w:pPr>
                    <w:keepNext w:val="0"/>
                    <w:keepLines w:val="0"/>
                    <w:widowControl/>
                    <w:suppressLineNumbers w:val="0"/>
                    <w:spacing w:line="240" w:lineRule="auto"/>
                    <w:jc w:val="center"/>
                    <w:textAlignment w:val="center"/>
                    <w:rPr>
                      <w:rFonts w:hint="eastAsia"/>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电捕废焦油</w:t>
                  </w:r>
                </w:p>
              </w:tc>
              <w:tc>
                <w:tcPr>
                  <w:tcW w:w="811" w:type="dxa"/>
                  <w:vAlign w:val="center"/>
                </w:tcPr>
                <w:p w14:paraId="5592DF30">
                  <w:pPr>
                    <w:keepNext w:val="0"/>
                    <w:keepLines w:val="0"/>
                    <w:widowControl/>
                    <w:suppressLineNumbers w:val="0"/>
                    <w:spacing w:line="240" w:lineRule="auto"/>
                    <w:jc w:val="center"/>
                    <w:textAlignment w:val="center"/>
                    <w:rPr>
                      <w:color w:val="auto"/>
                      <w:kern w:val="0"/>
                      <w:sz w:val="21"/>
                      <w:szCs w:val="21"/>
                      <w:highlight w:val="none"/>
                    </w:rPr>
                  </w:pPr>
                  <w:r>
                    <w:rPr>
                      <w:rFonts w:hint="eastAsia" w:cs="Times New Roman"/>
                      <w:i w:val="0"/>
                      <w:iCs w:val="0"/>
                      <w:color w:val="auto"/>
                      <w:kern w:val="0"/>
                      <w:sz w:val="21"/>
                      <w:szCs w:val="21"/>
                      <w:highlight w:val="none"/>
                      <w:u w:val="none"/>
                      <w:lang w:val="en-US" w:eastAsia="zh-CN" w:bidi="ar"/>
                    </w:rPr>
                    <w:t>HW08</w:t>
                  </w:r>
                </w:p>
              </w:tc>
              <w:tc>
                <w:tcPr>
                  <w:tcW w:w="1316" w:type="dxa"/>
                  <w:vAlign w:val="center"/>
                </w:tcPr>
                <w:p w14:paraId="4320CD91">
                  <w:pPr>
                    <w:keepNext w:val="0"/>
                    <w:keepLines w:val="0"/>
                    <w:widowControl/>
                    <w:suppressLineNumbers w:val="0"/>
                    <w:spacing w:line="240" w:lineRule="auto"/>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4" w:type="pct"/>
                  <w:vMerge w:val="continue"/>
                  <w:vAlign w:val="center"/>
                </w:tcPr>
                <w:p w14:paraId="46CE3602">
                  <w:pPr>
                    <w:pStyle w:val="64"/>
                    <w:rPr>
                      <w:color w:val="auto"/>
                      <w:kern w:val="2"/>
                      <w:highlight w:val="none"/>
                    </w:rPr>
                  </w:pPr>
                </w:p>
              </w:tc>
              <w:tc>
                <w:tcPr>
                  <w:tcW w:w="387" w:type="pct"/>
                  <w:vMerge w:val="continue"/>
                  <w:vAlign w:val="center"/>
                </w:tcPr>
                <w:p w14:paraId="2BFD9225">
                  <w:pPr>
                    <w:pStyle w:val="64"/>
                    <w:rPr>
                      <w:color w:val="auto"/>
                      <w:kern w:val="2"/>
                      <w:highlight w:val="none"/>
                    </w:rPr>
                  </w:pPr>
                </w:p>
              </w:tc>
              <w:tc>
                <w:tcPr>
                  <w:tcW w:w="612" w:type="pct"/>
                  <w:vMerge w:val="continue"/>
                  <w:vAlign w:val="center"/>
                </w:tcPr>
                <w:p w14:paraId="7BF8207B">
                  <w:pPr>
                    <w:pStyle w:val="64"/>
                    <w:rPr>
                      <w:color w:val="auto"/>
                      <w:kern w:val="2"/>
                      <w:highlight w:val="none"/>
                    </w:rPr>
                  </w:pPr>
                </w:p>
              </w:tc>
              <w:tc>
                <w:tcPr>
                  <w:tcW w:w="392" w:type="pct"/>
                  <w:vMerge w:val="continue"/>
                  <w:vAlign w:val="center"/>
                </w:tcPr>
                <w:p w14:paraId="38E38F83">
                  <w:pPr>
                    <w:pStyle w:val="64"/>
                    <w:rPr>
                      <w:color w:val="auto"/>
                      <w:kern w:val="2"/>
                      <w:highlight w:val="none"/>
                    </w:rPr>
                  </w:pPr>
                </w:p>
              </w:tc>
              <w:tc>
                <w:tcPr>
                  <w:tcW w:w="421" w:type="pct"/>
                  <w:vMerge w:val="continue"/>
                  <w:vAlign w:val="center"/>
                </w:tcPr>
                <w:p w14:paraId="0980E3FF">
                  <w:pPr>
                    <w:pStyle w:val="64"/>
                    <w:rPr>
                      <w:color w:val="auto"/>
                      <w:kern w:val="2"/>
                      <w:highlight w:val="none"/>
                    </w:rPr>
                  </w:pPr>
                </w:p>
              </w:tc>
            </w:tr>
          </w:tbl>
          <w:p w14:paraId="620DE00F">
            <w:pPr>
              <w:keepNext/>
              <w:keepLines/>
              <w:tabs>
                <w:tab w:val="left" w:pos="0"/>
              </w:tabs>
              <w:ind w:left="480"/>
              <w:outlineLvl w:val="4"/>
              <w:rPr>
                <w:b/>
                <w:bCs/>
                <w:color w:val="auto"/>
                <w:highlight w:val="none"/>
              </w:rPr>
            </w:pPr>
            <w:r>
              <w:rPr>
                <w:b/>
                <w:bCs/>
                <w:color w:val="auto"/>
                <w:highlight w:val="none"/>
              </w:rPr>
              <w:t>（3）转运、处置</w:t>
            </w:r>
          </w:p>
          <w:bookmarkEnd w:id="148"/>
          <w:p w14:paraId="496E4977">
            <w:pPr>
              <w:pStyle w:val="26"/>
              <w:ind w:firstLine="480"/>
              <w:rPr>
                <w:color w:val="auto"/>
                <w:highlight w:val="none"/>
              </w:rPr>
            </w:pPr>
            <w:r>
              <w:rPr>
                <w:color w:val="auto"/>
                <w:highlight w:val="none"/>
              </w:rPr>
              <w:t>项目内部无利用或处置危险废物的能力和设施，需要委托具有危险废物处理资质的单位处置。根据广东省生态环境厅危险废物经营许可证颁发情况，广东省有可以处置本项目危险废物的企业，处理能力充足。建设单位可直接委托其转移处理。</w:t>
            </w:r>
          </w:p>
          <w:p w14:paraId="06A7BD3B">
            <w:pPr>
              <w:keepNext/>
              <w:keepLines/>
              <w:tabs>
                <w:tab w:val="left" w:pos="0"/>
              </w:tabs>
              <w:ind w:firstLine="40"/>
              <w:jc w:val="center"/>
              <w:outlineLvl w:val="3"/>
              <w:rPr>
                <w:b/>
                <w:bCs/>
                <w:color w:val="auto"/>
                <w:sz w:val="21"/>
                <w:szCs w:val="21"/>
                <w:highlight w:val="none"/>
              </w:rPr>
            </w:pPr>
            <w:r>
              <w:rPr>
                <w:b/>
                <w:bCs/>
                <w:color w:val="auto"/>
                <w:sz w:val="21"/>
                <w:szCs w:val="21"/>
                <w:highlight w:val="none"/>
              </w:rPr>
              <w:t>表4-</w:t>
            </w:r>
            <w:r>
              <w:rPr>
                <w:rFonts w:hint="eastAsia"/>
                <w:b/>
                <w:bCs/>
                <w:color w:val="auto"/>
                <w:sz w:val="21"/>
                <w:szCs w:val="21"/>
                <w:highlight w:val="none"/>
                <w:lang w:val="en-US" w:eastAsia="zh-CN"/>
              </w:rPr>
              <w:t>29</w:t>
            </w:r>
            <w:r>
              <w:rPr>
                <w:b/>
                <w:bCs/>
                <w:color w:val="auto"/>
                <w:sz w:val="21"/>
                <w:szCs w:val="21"/>
                <w:highlight w:val="none"/>
              </w:rPr>
              <w:t>广东省内可接收本项目危险废物的处理单位一览表（摘录）</w:t>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109"/>
              <w:gridCol w:w="1147"/>
              <w:gridCol w:w="983"/>
              <w:gridCol w:w="1446"/>
              <w:gridCol w:w="4014"/>
            </w:tblGrid>
            <w:tr w14:paraId="5CC3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8" w:type="pct"/>
                  <w:vAlign w:val="center"/>
                </w:tcPr>
                <w:p w14:paraId="5541A41A">
                  <w:pPr>
                    <w:pStyle w:val="72"/>
                    <w:wordWrap w:val="0"/>
                    <w:adjustRightInd w:val="0"/>
                    <w:snapToGrid w:val="0"/>
                    <w:jc w:val="center"/>
                    <w:rPr>
                      <w:b/>
                      <w:bCs/>
                      <w:color w:val="auto"/>
                      <w:sz w:val="21"/>
                      <w:szCs w:val="21"/>
                      <w:highlight w:val="none"/>
                    </w:rPr>
                  </w:pPr>
                  <w:r>
                    <w:rPr>
                      <w:b/>
                      <w:bCs/>
                      <w:color w:val="auto"/>
                      <w:sz w:val="21"/>
                      <w:szCs w:val="21"/>
                      <w:highlight w:val="none"/>
                    </w:rPr>
                    <w:t>序号</w:t>
                  </w:r>
                </w:p>
              </w:tc>
              <w:tc>
                <w:tcPr>
                  <w:tcW w:w="608" w:type="pct"/>
                  <w:vAlign w:val="center"/>
                </w:tcPr>
                <w:p w14:paraId="469A3EA6">
                  <w:pPr>
                    <w:pStyle w:val="72"/>
                    <w:wordWrap w:val="0"/>
                    <w:adjustRightInd w:val="0"/>
                    <w:snapToGrid w:val="0"/>
                    <w:jc w:val="center"/>
                    <w:rPr>
                      <w:b/>
                      <w:bCs/>
                      <w:color w:val="auto"/>
                      <w:sz w:val="21"/>
                      <w:szCs w:val="21"/>
                      <w:highlight w:val="none"/>
                    </w:rPr>
                  </w:pPr>
                  <w:r>
                    <w:rPr>
                      <w:b/>
                      <w:bCs/>
                      <w:color w:val="auto"/>
                      <w:sz w:val="21"/>
                      <w:szCs w:val="21"/>
                      <w:highlight w:val="none"/>
                    </w:rPr>
                    <w:t>企业名称</w:t>
                  </w:r>
                </w:p>
              </w:tc>
              <w:tc>
                <w:tcPr>
                  <w:tcW w:w="629" w:type="pct"/>
                  <w:vAlign w:val="center"/>
                </w:tcPr>
                <w:p w14:paraId="5B0D82C0">
                  <w:pPr>
                    <w:pStyle w:val="72"/>
                    <w:wordWrap w:val="0"/>
                    <w:adjustRightInd w:val="0"/>
                    <w:snapToGrid w:val="0"/>
                    <w:jc w:val="center"/>
                    <w:rPr>
                      <w:b/>
                      <w:bCs/>
                      <w:color w:val="auto"/>
                      <w:sz w:val="21"/>
                      <w:szCs w:val="21"/>
                      <w:highlight w:val="none"/>
                    </w:rPr>
                  </w:pPr>
                  <w:r>
                    <w:rPr>
                      <w:b/>
                      <w:bCs/>
                      <w:color w:val="auto"/>
                      <w:sz w:val="21"/>
                      <w:szCs w:val="21"/>
                      <w:highlight w:val="none"/>
                    </w:rPr>
                    <w:t>设施地址</w:t>
                  </w:r>
                </w:p>
              </w:tc>
              <w:tc>
                <w:tcPr>
                  <w:tcW w:w="539" w:type="pct"/>
                  <w:vAlign w:val="center"/>
                </w:tcPr>
                <w:p w14:paraId="7EA27D1B">
                  <w:pPr>
                    <w:pStyle w:val="72"/>
                    <w:wordWrap w:val="0"/>
                    <w:adjustRightInd w:val="0"/>
                    <w:snapToGrid w:val="0"/>
                    <w:jc w:val="center"/>
                    <w:rPr>
                      <w:b/>
                      <w:bCs/>
                      <w:color w:val="auto"/>
                      <w:sz w:val="21"/>
                      <w:szCs w:val="21"/>
                      <w:highlight w:val="none"/>
                    </w:rPr>
                  </w:pPr>
                  <w:r>
                    <w:rPr>
                      <w:b/>
                      <w:bCs/>
                      <w:color w:val="auto"/>
                      <w:sz w:val="21"/>
                      <w:szCs w:val="21"/>
                      <w:highlight w:val="none"/>
                    </w:rPr>
                    <w:t>许可证编号</w:t>
                  </w:r>
                </w:p>
              </w:tc>
              <w:tc>
                <w:tcPr>
                  <w:tcW w:w="793" w:type="pct"/>
                  <w:vAlign w:val="center"/>
                </w:tcPr>
                <w:p w14:paraId="221F5473">
                  <w:pPr>
                    <w:pStyle w:val="72"/>
                    <w:wordWrap w:val="0"/>
                    <w:adjustRightInd w:val="0"/>
                    <w:snapToGrid w:val="0"/>
                    <w:jc w:val="center"/>
                    <w:rPr>
                      <w:b/>
                      <w:bCs/>
                      <w:color w:val="auto"/>
                      <w:sz w:val="21"/>
                      <w:szCs w:val="21"/>
                      <w:highlight w:val="none"/>
                    </w:rPr>
                  </w:pPr>
                  <w:r>
                    <w:rPr>
                      <w:b/>
                      <w:bCs/>
                      <w:color w:val="auto"/>
                      <w:sz w:val="21"/>
                      <w:szCs w:val="21"/>
                      <w:highlight w:val="none"/>
                    </w:rPr>
                    <w:t>经营时间有效期</w:t>
                  </w:r>
                </w:p>
              </w:tc>
              <w:tc>
                <w:tcPr>
                  <w:tcW w:w="2201" w:type="pct"/>
                  <w:vAlign w:val="center"/>
                </w:tcPr>
                <w:p w14:paraId="4CF5F7AE">
                  <w:pPr>
                    <w:pStyle w:val="72"/>
                    <w:wordWrap w:val="0"/>
                    <w:adjustRightInd w:val="0"/>
                    <w:snapToGrid w:val="0"/>
                    <w:jc w:val="center"/>
                    <w:rPr>
                      <w:b/>
                      <w:bCs/>
                      <w:color w:val="auto"/>
                      <w:sz w:val="21"/>
                      <w:szCs w:val="21"/>
                      <w:highlight w:val="none"/>
                    </w:rPr>
                  </w:pPr>
                  <w:r>
                    <w:rPr>
                      <w:b/>
                      <w:bCs/>
                      <w:color w:val="auto"/>
                      <w:sz w:val="21"/>
                      <w:szCs w:val="21"/>
                      <w:highlight w:val="none"/>
                    </w:rPr>
                    <w:t>核准经营范围、类别</w:t>
                  </w:r>
                </w:p>
              </w:tc>
            </w:tr>
            <w:tr w14:paraId="06CE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8" w:type="pct"/>
                  <w:vAlign w:val="center"/>
                </w:tcPr>
                <w:p w14:paraId="30F7D996">
                  <w:pPr>
                    <w:pStyle w:val="72"/>
                    <w:wordWrap w:val="0"/>
                    <w:adjustRightInd w:val="0"/>
                    <w:snapToGrid w:val="0"/>
                    <w:jc w:val="center"/>
                    <w:rPr>
                      <w:color w:val="auto"/>
                      <w:sz w:val="21"/>
                      <w:szCs w:val="21"/>
                      <w:highlight w:val="none"/>
                    </w:rPr>
                  </w:pPr>
                  <w:r>
                    <w:rPr>
                      <w:color w:val="auto"/>
                      <w:sz w:val="21"/>
                      <w:szCs w:val="21"/>
                      <w:highlight w:val="none"/>
                    </w:rPr>
                    <w:t>1</w:t>
                  </w:r>
                </w:p>
              </w:tc>
              <w:tc>
                <w:tcPr>
                  <w:tcW w:w="608" w:type="pct"/>
                  <w:vAlign w:val="center"/>
                </w:tcPr>
                <w:p w14:paraId="7DFBADDC">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韶关鹏瑞环保科技有限公司</w:t>
                  </w:r>
                </w:p>
              </w:tc>
              <w:tc>
                <w:tcPr>
                  <w:tcW w:w="629" w:type="pct"/>
                  <w:vAlign w:val="center"/>
                </w:tcPr>
                <w:p w14:paraId="666FACCF">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韶关市翁源县官渡镇官渡经济开发区</w:t>
                  </w:r>
                </w:p>
              </w:tc>
              <w:tc>
                <w:tcPr>
                  <w:tcW w:w="539" w:type="pct"/>
                  <w:vAlign w:val="center"/>
                </w:tcPr>
                <w:p w14:paraId="0DE9957B">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440229190731</w:t>
                  </w:r>
                </w:p>
              </w:tc>
              <w:tc>
                <w:tcPr>
                  <w:tcW w:w="793" w:type="pct"/>
                  <w:vAlign w:val="center"/>
                </w:tcPr>
                <w:p w14:paraId="13ACE4A7">
                  <w:pPr>
                    <w:pStyle w:val="72"/>
                    <w:wordWrap w:val="0"/>
                    <w:adjustRightInd w:val="0"/>
                    <w:snapToGrid w:val="0"/>
                    <w:jc w:val="center"/>
                    <w:rPr>
                      <w:color w:val="auto"/>
                      <w:sz w:val="21"/>
                      <w:szCs w:val="21"/>
                      <w:highlight w:val="none"/>
                      <w:shd w:val="clear" w:color="auto" w:fill="FFFFFF"/>
                    </w:rPr>
                  </w:pPr>
                  <w:r>
                    <w:rPr>
                      <w:color w:val="auto"/>
                      <w:sz w:val="21"/>
                      <w:szCs w:val="21"/>
                      <w:highlight w:val="none"/>
                    </w:rPr>
                    <w:t>至2025年7月30日</w:t>
                  </w:r>
                </w:p>
              </w:tc>
              <w:tc>
                <w:tcPr>
                  <w:tcW w:w="2201" w:type="pct"/>
                  <w:vAlign w:val="center"/>
                </w:tcPr>
                <w:p w14:paraId="649E40A0">
                  <w:pPr>
                    <w:pStyle w:val="72"/>
                    <w:wordWrap w:val="0"/>
                    <w:adjustRightInd w:val="0"/>
                    <w:snapToGrid w:val="0"/>
                    <w:jc w:val="left"/>
                    <w:rPr>
                      <w:color w:val="auto"/>
                      <w:sz w:val="21"/>
                      <w:szCs w:val="21"/>
                      <w:highlight w:val="none"/>
                      <w:shd w:val="clear" w:color="auto" w:fill="FFFFFF"/>
                    </w:rPr>
                  </w:pPr>
                  <w:r>
                    <w:rPr>
                      <w:color w:val="auto"/>
                      <w:sz w:val="21"/>
                      <w:szCs w:val="21"/>
                      <w:highlight w:val="none"/>
                      <w:shd w:val="clear" w:color="auto" w:fill="FFFFFF"/>
                    </w:rPr>
                    <w:t>【收集、贮存、利用】感光材料废物（HW16类中266-009~010-16、231-001~002-16、398-001-16、873-001-16、806-001-16、900-019-16，限感光废菲林2000吨/年</w:t>
                  </w:r>
                </w:p>
                <w:p w14:paraId="14377BBC">
                  <w:pPr>
                    <w:pStyle w:val="72"/>
                    <w:wordWrap w:val="0"/>
                    <w:adjustRightInd w:val="0"/>
                    <w:snapToGrid w:val="0"/>
                    <w:jc w:val="left"/>
                    <w:rPr>
                      <w:color w:val="auto"/>
                      <w:sz w:val="21"/>
                      <w:szCs w:val="21"/>
                      <w:highlight w:val="none"/>
                      <w:shd w:val="clear" w:color="auto" w:fill="FFFFFF"/>
                    </w:rPr>
                  </w:pPr>
                  <w:r>
                    <w:rPr>
                      <w:color w:val="auto"/>
                      <w:sz w:val="21"/>
                      <w:szCs w:val="21"/>
                      <w:highlight w:val="none"/>
                      <w:shd w:val="clear" w:color="auto" w:fill="FFFFFF"/>
                    </w:rPr>
                    <w:t>、废定影液和显影液1000吨/年）3000吨/年，表面处理废物（HW17类中336-050-17、336-052-17、336-054~059-17、336-062~064-17、336-066-17，仅限污泥）50000吨/年，含铜废物（HW22类中304-001-22、398-004-22、398-005-22、398-051-22，仅限污泥）、有色金属采选和冶炼废物（HW48类中321-002-48，仅限污泥）50000吨/年，无机氰化物废物（HW33类中336-104-33、900-027~029-33）1000吨/年；</w:t>
                  </w:r>
                </w:p>
                <w:p w14:paraId="7CA41A40">
                  <w:pPr>
                    <w:pStyle w:val="72"/>
                    <w:wordWrap w:val="0"/>
                    <w:adjustRightInd w:val="0"/>
                    <w:snapToGrid w:val="0"/>
                    <w:jc w:val="left"/>
                    <w:rPr>
                      <w:color w:val="auto"/>
                      <w:sz w:val="21"/>
                      <w:szCs w:val="21"/>
                      <w:highlight w:val="none"/>
                      <w:shd w:val="clear" w:color="auto" w:fill="FFFFFF"/>
                    </w:rPr>
                  </w:pPr>
                  <w:r>
                    <w:rPr>
                      <w:color w:val="auto"/>
                      <w:sz w:val="21"/>
                      <w:szCs w:val="21"/>
                      <w:highlight w:val="none"/>
                      <w:shd w:val="clear" w:color="auto" w:fill="FFFFFF"/>
                    </w:rPr>
                    <w:t>【收集、贮存、处置】废酸（HW34类中398-005~007-34、900-300~308-34、900-349-34）10000吨/年，废碱（HW35类中900-350~356-35、900-399-35）10000吨/年；共计124000吨/年。</w:t>
                  </w:r>
                </w:p>
              </w:tc>
            </w:tr>
            <w:tr w14:paraId="3D4E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8" w:type="pct"/>
                  <w:vAlign w:val="center"/>
                </w:tcPr>
                <w:p w14:paraId="5E1F638A">
                  <w:pPr>
                    <w:pStyle w:val="72"/>
                    <w:wordWrap w:val="0"/>
                    <w:adjustRightInd w:val="0"/>
                    <w:snapToGrid w:val="0"/>
                    <w:jc w:val="center"/>
                    <w:rPr>
                      <w:color w:val="auto"/>
                      <w:sz w:val="21"/>
                      <w:szCs w:val="21"/>
                      <w:highlight w:val="none"/>
                    </w:rPr>
                  </w:pPr>
                  <w:r>
                    <w:rPr>
                      <w:color w:val="auto"/>
                      <w:sz w:val="21"/>
                      <w:szCs w:val="21"/>
                      <w:highlight w:val="none"/>
                    </w:rPr>
                    <w:t>2</w:t>
                  </w:r>
                </w:p>
              </w:tc>
              <w:tc>
                <w:tcPr>
                  <w:tcW w:w="608" w:type="pct"/>
                  <w:vAlign w:val="center"/>
                </w:tcPr>
                <w:p w14:paraId="5B222D85">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韶关东江环保再生</w:t>
                  </w:r>
                </w:p>
                <w:p w14:paraId="72193DF4">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资源发展有限公司</w:t>
                  </w:r>
                </w:p>
              </w:tc>
              <w:tc>
                <w:tcPr>
                  <w:tcW w:w="629" w:type="pct"/>
                  <w:vAlign w:val="center"/>
                </w:tcPr>
                <w:p w14:paraId="06189586">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韶关市翁源县铁龙林场将军屯</w:t>
                  </w:r>
                </w:p>
              </w:tc>
              <w:tc>
                <w:tcPr>
                  <w:tcW w:w="539" w:type="pct"/>
                  <w:vAlign w:val="center"/>
                </w:tcPr>
                <w:p w14:paraId="1C4CBBBA">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440229210121</w:t>
                  </w:r>
                </w:p>
              </w:tc>
              <w:tc>
                <w:tcPr>
                  <w:tcW w:w="793" w:type="pct"/>
                  <w:vAlign w:val="center"/>
                </w:tcPr>
                <w:p w14:paraId="554366A8">
                  <w:pPr>
                    <w:pStyle w:val="72"/>
                    <w:wordWrap w:val="0"/>
                    <w:adjustRightInd w:val="0"/>
                    <w:snapToGrid w:val="0"/>
                    <w:jc w:val="center"/>
                    <w:rPr>
                      <w:color w:val="auto"/>
                      <w:sz w:val="21"/>
                      <w:szCs w:val="21"/>
                      <w:highlight w:val="none"/>
                    </w:rPr>
                  </w:pPr>
                  <w:r>
                    <w:rPr>
                      <w:color w:val="auto"/>
                      <w:sz w:val="21"/>
                      <w:szCs w:val="21"/>
                      <w:highlight w:val="none"/>
                    </w:rPr>
                    <w:t>至2027年3月5日</w:t>
                  </w:r>
                </w:p>
              </w:tc>
              <w:tc>
                <w:tcPr>
                  <w:tcW w:w="2201" w:type="pct"/>
                  <w:vAlign w:val="center"/>
                </w:tcPr>
                <w:p w14:paraId="54238362">
                  <w:pPr>
                    <w:pStyle w:val="72"/>
                    <w:wordWrap w:val="0"/>
                    <w:adjustRightInd w:val="0"/>
                    <w:snapToGrid w:val="0"/>
                    <w:jc w:val="left"/>
                    <w:rPr>
                      <w:color w:val="auto"/>
                      <w:sz w:val="21"/>
                      <w:szCs w:val="21"/>
                      <w:highlight w:val="none"/>
                      <w:shd w:val="clear" w:color="auto" w:fill="FFFFFF"/>
                    </w:rPr>
                  </w:pPr>
                  <w:r>
                    <w:rPr>
                      <w:color w:val="auto"/>
                      <w:sz w:val="21"/>
                      <w:szCs w:val="21"/>
                      <w:highlight w:val="none"/>
                      <w:shd w:val="clear" w:color="auto" w:fill="FFFFFF"/>
                    </w:rPr>
                    <w:t>【收集、贮存、处置（填埋）】焚烧处置残渣（HW18类中的772-002~004-18）、含铍废物（HW20类）、含铬废物（HW21类中的193-001-21、261-041~044-21、314-001~003-21、336-100-21、398-002-21）、含铜废物（HW22类中的398-005-22、304-001-22）、含锌废物（HW23类中的336-103-23、384-001-23、312-001-23、900-021-23）、含砷废物（HW24类）、含硒废物（HW25类）、含镉废物（HW26类）、含锑废物（HW27类）、含碲废物（HW28类）、含汞废物（HW29类中的261-051~052-29、261-054-29、265-004-29、900-452-29，仅限低含汞污泥）、含铊废物（HW30类）、含铅废物（HW31类中的304-002-31）、石棉废物（HW36类）、含镍废物（HW46类）、含钡废物（HW47类）、有色金属冶炼废物（HW48类中的321-002~014-48、321-016~029-48）、其他废物（HW49类中的900-041~042-49、900-046~047-49），共3.45万吨/年。</w:t>
                  </w:r>
                </w:p>
              </w:tc>
            </w:tr>
            <w:tr w14:paraId="5017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8" w:type="pct"/>
                  <w:vAlign w:val="center"/>
                </w:tcPr>
                <w:p w14:paraId="119A9E30">
                  <w:pPr>
                    <w:pStyle w:val="72"/>
                    <w:wordWrap w:val="0"/>
                    <w:adjustRightInd w:val="0"/>
                    <w:snapToGrid w:val="0"/>
                    <w:jc w:val="center"/>
                    <w:rPr>
                      <w:color w:val="auto"/>
                      <w:sz w:val="21"/>
                      <w:szCs w:val="21"/>
                      <w:highlight w:val="none"/>
                    </w:rPr>
                  </w:pPr>
                  <w:r>
                    <w:rPr>
                      <w:color w:val="auto"/>
                      <w:sz w:val="21"/>
                      <w:szCs w:val="21"/>
                      <w:highlight w:val="none"/>
                    </w:rPr>
                    <w:t>3</w:t>
                  </w:r>
                </w:p>
              </w:tc>
              <w:tc>
                <w:tcPr>
                  <w:tcW w:w="608" w:type="pct"/>
                  <w:vAlign w:val="center"/>
                </w:tcPr>
                <w:p w14:paraId="2E3BE71D">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广东华欣环保科技有限公司</w:t>
                  </w:r>
                </w:p>
              </w:tc>
              <w:tc>
                <w:tcPr>
                  <w:tcW w:w="629" w:type="pct"/>
                  <w:vAlign w:val="center"/>
                </w:tcPr>
                <w:p w14:paraId="1A4F3CCE">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韶关市曲江区广东韶钢松山股份有限公司厂区内</w:t>
                  </w:r>
                </w:p>
              </w:tc>
              <w:tc>
                <w:tcPr>
                  <w:tcW w:w="539" w:type="pct"/>
                  <w:vAlign w:val="center"/>
                </w:tcPr>
                <w:p w14:paraId="0FC9F34B">
                  <w:pPr>
                    <w:pStyle w:val="72"/>
                    <w:wordWrap w:val="0"/>
                    <w:adjustRightInd w:val="0"/>
                    <w:snapToGrid w:val="0"/>
                    <w:jc w:val="center"/>
                    <w:rPr>
                      <w:color w:val="auto"/>
                      <w:sz w:val="21"/>
                      <w:szCs w:val="21"/>
                      <w:highlight w:val="none"/>
                      <w:shd w:val="clear" w:color="auto" w:fill="FFFFFF"/>
                    </w:rPr>
                  </w:pPr>
                  <w:r>
                    <w:rPr>
                      <w:color w:val="auto"/>
                      <w:sz w:val="21"/>
                      <w:szCs w:val="21"/>
                      <w:highlight w:val="none"/>
                      <w:shd w:val="clear" w:color="auto" w:fill="FFFFFF"/>
                    </w:rPr>
                    <w:t>440205220412</w:t>
                  </w:r>
                </w:p>
              </w:tc>
              <w:tc>
                <w:tcPr>
                  <w:tcW w:w="793" w:type="pct"/>
                  <w:vAlign w:val="center"/>
                </w:tcPr>
                <w:p w14:paraId="2F59FA74">
                  <w:pPr>
                    <w:pStyle w:val="72"/>
                    <w:wordWrap w:val="0"/>
                    <w:adjustRightInd w:val="0"/>
                    <w:snapToGrid w:val="0"/>
                    <w:jc w:val="center"/>
                    <w:rPr>
                      <w:color w:val="auto"/>
                      <w:sz w:val="21"/>
                      <w:szCs w:val="21"/>
                      <w:highlight w:val="none"/>
                    </w:rPr>
                  </w:pPr>
                  <w:r>
                    <w:rPr>
                      <w:color w:val="auto"/>
                      <w:sz w:val="21"/>
                      <w:szCs w:val="21"/>
                      <w:highlight w:val="none"/>
                    </w:rPr>
                    <w:t>至2028年4月9日</w:t>
                  </w:r>
                </w:p>
              </w:tc>
              <w:tc>
                <w:tcPr>
                  <w:tcW w:w="2201" w:type="pct"/>
                  <w:vAlign w:val="center"/>
                </w:tcPr>
                <w:p w14:paraId="15FE5B0B">
                  <w:pPr>
                    <w:pStyle w:val="72"/>
                    <w:wordWrap w:val="0"/>
                    <w:adjustRightInd w:val="0"/>
                    <w:snapToGrid w:val="0"/>
                    <w:jc w:val="left"/>
                    <w:rPr>
                      <w:color w:val="auto"/>
                      <w:sz w:val="21"/>
                      <w:szCs w:val="21"/>
                      <w:highlight w:val="none"/>
                      <w:shd w:val="clear" w:color="auto" w:fill="FFFFFF"/>
                    </w:rPr>
                  </w:pPr>
                  <w:r>
                    <w:rPr>
                      <w:color w:val="auto"/>
                      <w:sz w:val="21"/>
                      <w:szCs w:val="21"/>
                      <w:highlight w:val="none"/>
                      <w:shd w:val="clear" w:color="auto" w:fill="FFFFFF"/>
                    </w:rPr>
                    <w:t>【收集、贮存、利用】废矿物油与含矿物油废物（HW08类中的900-249-08，仅限沾染矿物油的废铁质包装桶 ）1.8万吨/年、其他废物（HW49类中的900-041-49，仅限废铁质包装桶）3.2万吨/年、含铬废物（HW21类中的314-001~002-21）10万吨/年、含锌废物（HW23类中的312-001-23、336-103-23（仅限集尘、除尘装置收集的粉尘））1万吨/年，共计16万吨/年。</w:t>
                  </w:r>
                </w:p>
              </w:tc>
            </w:tr>
          </w:tbl>
          <w:p w14:paraId="71BE28C5">
            <w:pPr>
              <w:pStyle w:val="26"/>
              <w:ind w:firstLine="480"/>
              <w:rPr>
                <w:color w:val="auto"/>
                <w:highlight w:val="none"/>
              </w:rPr>
            </w:pPr>
            <w:r>
              <w:rPr>
                <w:color w:val="auto"/>
                <w:highlight w:val="none"/>
              </w:rPr>
              <w:t>本项目的危险废物种类不多，单次产生量不大，性质较稳定，落实好上述措施后，从产生到转移处置的全过程环境风险均可得到有效控制，不存在重大隐患，不会对外部环境造成重大影响。</w:t>
            </w:r>
          </w:p>
          <w:p w14:paraId="034ACD43">
            <w:pPr>
              <w:pStyle w:val="10"/>
              <w:numPr>
                <w:ilvl w:val="2"/>
                <w:numId w:val="0"/>
              </w:numPr>
              <w:ind w:firstLine="480" w:firstLineChars="200"/>
              <w:rPr>
                <w:color w:val="auto"/>
                <w:highlight w:val="none"/>
              </w:rPr>
            </w:pPr>
            <w:r>
              <w:rPr>
                <w:color w:val="auto"/>
                <w:highlight w:val="none"/>
              </w:rPr>
              <w:t>五、土壤、地下水环境影响分析</w:t>
            </w:r>
          </w:p>
          <w:p w14:paraId="200ECF5F">
            <w:pPr>
              <w:pStyle w:val="26"/>
              <w:ind w:firstLine="480"/>
              <w:rPr>
                <w:color w:val="auto"/>
                <w:highlight w:val="none"/>
              </w:rPr>
            </w:pPr>
            <w:r>
              <w:rPr>
                <w:color w:val="auto"/>
                <w:highlight w:val="none"/>
              </w:rPr>
              <w:t>本项目属于“</w:t>
            </w:r>
            <w:r>
              <w:rPr>
                <w:rFonts w:hint="eastAsia"/>
                <w:color w:val="auto"/>
                <w:highlight w:val="none"/>
              </w:rPr>
              <w:t>三十九、废弃资源综合利用业42—85非金属废料和碎屑加工处理422</w:t>
            </w:r>
            <w:r>
              <w:rPr>
                <w:color w:val="auto"/>
                <w:highlight w:val="none"/>
              </w:rPr>
              <w:t>”，厂区地面已全部硬化，危废间、化学品仓地面硬化，并刷环氧树脂漆防渗层、设置围堰，正常情况下可有效阻止地下水污染途径，对地下水环境不产生影响。本项目所采用的原辅材料组成不含重金属等土壤污染成分，对土壤环境影响极小。本项目厂区按照规范和要求对生产车间、仓库以及危险废物仓库等采取有效的防雨、防渗漏、防溢流等措施，生产车间和仓库已进行场地硬化，因此不进行土壤现状监测。</w:t>
            </w:r>
          </w:p>
          <w:p w14:paraId="67CE98C3">
            <w:pPr>
              <w:pStyle w:val="26"/>
              <w:ind w:firstLine="480"/>
              <w:rPr>
                <w:color w:val="auto"/>
                <w:highlight w:val="none"/>
              </w:rPr>
            </w:pPr>
            <w:r>
              <w:rPr>
                <w:color w:val="auto"/>
                <w:highlight w:val="none"/>
              </w:rPr>
              <w:t>各原料组分不含有毒有害的重金属等污染物，也不涉及建设用地、农用地土壤污染风险筛选值和管制值的其他污染物，即项目不涉及土壤影响特征因子，不会引起土壤环境的盐化、酸化、碱化等生态环境变化，因此本次评价不做进一步的土壤累积影响预测。</w:t>
            </w:r>
          </w:p>
          <w:p w14:paraId="22261FD8">
            <w:pPr>
              <w:pStyle w:val="2"/>
              <w:ind w:firstLine="480" w:firstLineChars="200"/>
              <w:rPr>
                <w:rFonts w:ascii="Times New Roman" w:cs="Times New Roman"/>
                <w:color w:val="auto"/>
                <w:highlight w:val="none"/>
              </w:rPr>
            </w:pPr>
            <w:r>
              <w:rPr>
                <w:rFonts w:ascii="Times New Roman" w:cs="Times New Roman"/>
                <w:color w:val="auto"/>
                <w:highlight w:val="none"/>
              </w:rPr>
              <w:t>分区管控：</w:t>
            </w:r>
          </w:p>
          <w:p w14:paraId="62191217">
            <w:pPr>
              <w:pStyle w:val="56"/>
              <w:ind w:left="0" w:firstLine="480" w:firstLineChars="200"/>
              <w:rPr>
                <w:rFonts w:ascii="Times New Roman" w:cs="Times New Roman"/>
                <w:b w:val="0"/>
                <w:bCs w:val="0"/>
                <w:color w:val="auto"/>
                <w:sz w:val="24"/>
                <w:szCs w:val="24"/>
                <w:highlight w:val="none"/>
              </w:rPr>
            </w:pPr>
            <w:r>
              <w:rPr>
                <w:rFonts w:ascii="Times New Roman" w:cs="Times New Roman"/>
                <w:b w:val="0"/>
                <w:bCs w:val="0"/>
                <w:color w:val="auto"/>
                <w:sz w:val="24"/>
                <w:szCs w:val="24"/>
                <w:highlight w:val="none"/>
              </w:rPr>
              <w:t>①简单防渗区：办公室及无液态原料的区域仅进行一般地面硬化，无需进行防渗处理。</w:t>
            </w:r>
          </w:p>
          <w:p w14:paraId="7BF427F2">
            <w:pPr>
              <w:ind w:firstLine="480" w:firstLineChars="200"/>
              <w:rPr>
                <w:color w:val="auto"/>
                <w:highlight w:val="none"/>
              </w:rPr>
            </w:pPr>
            <w:r>
              <w:rPr>
                <w:color w:val="auto"/>
                <w:highlight w:val="none"/>
              </w:rPr>
              <w:t>②一般防渗区：本项目不涉及重金属、持久性有机污染物。本项目对打磨、抛光区域、钣金折弯加工车间进行一般防渗处理，防渗要求按照等效黏土防渗层Mb≥1.5m，K≤1×10</w:t>
            </w:r>
            <w:r>
              <w:rPr>
                <w:color w:val="auto"/>
                <w:highlight w:val="none"/>
                <w:vertAlign w:val="superscript"/>
              </w:rPr>
              <w:t>-7</w:t>
            </w:r>
            <w:r>
              <w:rPr>
                <w:color w:val="auto"/>
                <w:highlight w:val="none"/>
              </w:rPr>
              <w:t>cm/s或参照GB16889执行；</w:t>
            </w:r>
          </w:p>
          <w:p w14:paraId="6F6FAB28">
            <w:pPr>
              <w:ind w:firstLine="480" w:firstLineChars="200"/>
              <w:rPr>
                <w:color w:val="auto"/>
                <w:highlight w:val="none"/>
              </w:rPr>
            </w:pPr>
            <w:r>
              <w:rPr>
                <w:color w:val="auto"/>
                <w:highlight w:val="none"/>
              </w:rPr>
              <w:t>③重点防渗区：本项目危险化学品贮存在1#厂房中的化学品仓，危险废物贮存在危废间，对化学品仓、危废间、预处理生产车间和废水处理站进行重点防渗处理，要求按照等效黏土防渗层Mb≥6.0m，K≤1×10</w:t>
            </w:r>
            <w:r>
              <w:rPr>
                <w:color w:val="auto"/>
                <w:highlight w:val="none"/>
                <w:vertAlign w:val="superscript"/>
              </w:rPr>
              <w:t>-7</w:t>
            </w:r>
            <w:r>
              <w:rPr>
                <w:color w:val="auto"/>
                <w:highlight w:val="none"/>
              </w:rPr>
              <w:t>cm/s或参照GB18598执行，并设置围堰。</w:t>
            </w:r>
          </w:p>
          <w:p w14:paraId="6116065B">
            <w:pPr>
              <w:keepNext/>
              <w:keepLines/>
              <w:tabs>
                <w:tab w:val="left" w:pos="0"/>
              </w:tabs>
              <w:ind w:firstLine="480" w:firstLineChars="200"/>
              <w:outlineLvl w:val="2"/>
              <w:rPr>
                <w:b/>
                <w:bCs/>
                <w:color w:val="auto"/>
                <w:highlight w:val="none"/>
              </w:rPr>
            </w:pPr>
            <w:r>
              <w:rPr>
                <w:b/>
                <w:bCs/>
                <w:color w:val="auto"/>
                <w:highlight w:val="none"/>
              </w:rPr>
              <w:t>六、生态环境影响分析</w:t>
            </w:r>
          </w:p>
          <w:p w14:paraId="0C3E21B0">
            <w:pPr>
              <w:ind w:firstLine="480"/>
              <w:rPr>
                <w:color w:val="auto"/>
                <w:highlight w:val="none"/>
              </w:rPr>
            </w:pPr>
            <w:r>
              <w:rPr>
                <w:color w:val="auto"/>
                <w:highlight w:val="none"/>
              </w:rPr>
              <w:t>经现场调查，项目周边500m范围内未发现珍稀、濒危植物，主要为人工绿化植物群落，植被覆盖率一般，无明显水土流失区；陆生动物以家禽、家畜为主；项目所在地周围100m范围内由于人为开发活动，已逐渐由自然生态环境转为城市人工生态环境，项目所在地属于非重要生境，没有特别受保护的生境和生物及水产资源，对周边生态环境影响较小。</w:t>
            </w:r>
          </w:p>
          <w:p w14:paraId="6EFC0547">
            <w:pPr>
              <w:keepNext/>
              <w:keepLines/>
              <w:tabs>
                <w:tab w:val="left" w:pos="0"/>
              </w:tabs>
              <w:ind w:left="478"/>
              <w:outlineLvl w:val="2"/>
              <w:rPr>
                <w:b/>
                <w:bCs/>
                <w:color w:val="auto"/>
                <w:highlight w:val="none"/>
              </w:rPr>
            </w:pPr>
            <w:r>
              <w:rPr>
                <w:b/>
                <w:bCs/>
                <w:color w:val="auto"/>
                <w:highlight w:val="none"/>
              </w:rPr>
              <w:t>七、环境风险影响分析</w:t>
            </w:r>
          </w:p>
          <w:p w14:paraId="2C7DB1F5">
            <w:pPr>
              <w:keepNext/>
              <w:keepLines/>
              <w:tabs>
                <w:tab w:val="left" w:pos="0"/>
              </w:tabs>
              <w:ind w:left="480" w:leftChars="200"/>
              <w:outlineLvl w:val="3"/>
              <w:rPr>
                <w:b/>
                <w:bCs/>
                <w:color w:val="auto"/>
                <w:highlight w:val="none"/>
              </w:rPr>
            </w:pPr>
            <w:r>
              <w:rPr>
                <w:b/>
                <w:bCs/>
                <w:color w:val="auto"/>
                <w:highlight w:val="none"/>
              </w:rPr>
              <w:t>1、环境风险识别</w:t>
            </w:r>
          </w:p>
          <w:p w14:paraId="73BC8BB7">
            <w:pPr>
              <w:ind w:firstLine="480" w:firstLineChars="200"/>
              <w:jc w:val="left"/>
              <w:rPr>
                <w:color w:val="auto"/>
                <w:highlight w:val="none"/>
              </w:rPr>
            </w:pPr>
            <w:r>
              <w:rPr>
                <w:color w:val="auto"/>
                <w:highlight w:val="none"/>
              </w:rPr>
              <w:t>环境风险评价应以突发事故导致的危险物质环境急性损害防控为目标，对建设项目的环境风险进行分析、预测和评估，提出环境风险预防、控制、减缓措施，明确环境风险监控及应急建议要求，为建设项目环境风险防控提供科学依据。</w:t>
            </w:r>
          </w:p>
          <w:p w14:paraId="59669358">
            <w:pPr>
              <w:keepNext/>
              <w:keepLines/>
              <w:tabs>
                <w:tab w:val="left" w:pos="0"/>
              </w:tabs>
              <w:ind w:left="480" w:leftChars="200"/>
              <w:outlineLvl w:val="3"/>
              <w:rPr>
                <w:b/>
                <w:bCs/>
                <w:color w:val="auto"/>
                <w:highlight w:val="none"/>
              </w:rPr>
            </w:pPr>
            <w:r>
              <w:rPr>
                <w:b/>
                <w:bCs/>
                <w:color w:val="auto"/>
                <w:highlight w:val="none"/>
              </w:rPr>
              <w:t>2、评价依据</w:t>
            </w:r>
          </w:p>
          <w:p w14:paraId="3BCDDDA0">
            <w:pPr>
              <w:ind w:firstLine="480" w:firstLineChars="200"/>
              <w:jc w:val="left"/>
              <w:rPr>
                <w:color w:val="auto"/>
                <w:highlight w:val="none"/>
              </w:rPr>
            </w:pPr>
            <w:r>
              <w:rPr>
                <w:color w:val="auto"/>
                <w:highlight w:val="none"/>
              </w:rPr>
              <w:t>①风险调查</w:t>
            </w:r>
          </w:p>
          <w:p w14:paraId="4421DFBF">
            <w:pPr>
              <w:ind w:firstLine="480" w:firstLineChars="200"/>
              <w:rPr>
                <w:color w:val="auto"/>
                <w:highlight w:val="none"/>
              </w:rPr>
            </w:pPr>
            <w:r>
              <w:rPr>
                <w:rFonts w:hint="eastAsia"/>
                <w:color w:val="auto"/>
                <w:kern w:val="0"/>
                <w:highlight w:val="none"/>
              </w:rPr>
              <w:t>项目</w:t>
            </w:r>
            <w:r>
              <w:rPr>
                <w:color w:val="auto"/>
                <w:kern w:val="0"/>
                <w:highlight w:val="none"/>
              </w:rPr>
              <w:t>机油（</w:t>
            </w:r>
            <w:r>
              <w:rPr>
                <w:color w:val="auto"/>
                <w:highlight w:val="none"/>
              </w:rPr>
              <w:t>润滑油</w:t>
            </w:r>
            <w:r>
              <w:rPr>
                <w:color w:val="auto"/>
                <w:kern w:val="0"/>
                <w:highlight w:val="none"/>
              </w:rPr>
              <w:t>）</w:t>
            </w:r>
            <w:r>
              <w:rPr>
                <w:rFonts w:hint="eastAsia"/>
                <w:color w:val="auto"/>
                <w:kern w:val="0"/>
                <w:highlight w:val="none"/>
              </w:rPr>
              <w:t>和备用柴油</w:t>
            </w:r>
            <w:r>
              <w:rPr>
                <w:color w:val="auto"/>
                <w:highlight w:val="none"/>
              </w:rPr>
              <w:t>最大储存量分别为0.90吨、0.85吨，</w:t>
            </w:r>
            <w:r>
              <w:rPr>
                <w:rFonts w:hint="eastAsia"/>
                <w:color w:val="auto"/>
                <w:highlight w:val="none"/>
              </w:rPr>
              <w:t>危险废物中，废pH调整剂包装桶贮存周期按3个月计，其余危险废物按半年计。</w:t>
            </w:r>
          </w:p>
          <w:p w14:paraId="237FA475">
            <w:pPr>
              <w:ind w:firstLine="470" w:firstLineChars="196"/>
              <w:rPr>
                <w:color w:val="auto"/>
                <w:highlight w:val="none"/>
              </w:rPr>
            </w:pPr>
            <w:r>
              <w:rPr>
                <w:color w:val="auto"/>
                <w:highlight w:val="none"/>
              </w:rPr>
              <w:t>②风险潜势初判</w:t>
            </w:r>
          </w:p>
          <w:p w14:paraId="4C9AA0A2">
            <w:pPr>
              <w:ind w:firstLine="480" w:firstLineChars="200"/>
              <w:rPr>
                <w:color w:val="auto"/>
                <w:highlight w:val="none"/>
              </w:rPr>
            </w:pPr>
            <w:r>
              <w:rPr>
                <w:color w:val="auto"/>
                <w:highlight w:val="none"/>
              </w:rPr>
              <w:t>根据《建设项目环境风险评价技术导则》（HJ169-2018）附录B，本项目涉及的风险物质为润滑油、废机油、pH调整剂（按70%硫酸计）</w:t>
            </w:r>
            <w:r>
              <w:rPr>
                <w:rFonts w:hint="eastAsia"/>
                <w:color w:val="auto"/>
                <w:highlight w:val="none"/>
              </w:rPr>
              <w:t>、柴油</w:t>
            </w:r>
            <w:r>
              <w:rPr>
                <w:color w:val="auto"/>
                <w:highlight w:val="none"/>
              </w:rPr>
              <w:t>，属于表B.1“油类物质（矿物油类，如石油、汽油、柴油等；生物柴油等）的临界值2500吨”。其余危险废物Q值参照《建设项目环境风险评价技术导则》（HJ169-2018）中“表B.2其他危险物质临界量推荐值--健康危险急性毒性物质（类别2、类别3）的临界值50吨”。</w:t>
            </w:r>
          </w:p>
          <w:p w14:paraId="4B90270F">
            <w:pPr>
              <w:pStyle w:val="80"/>
              <w:tabs>
                <w:tab w:val="left" w:pos="0"/>
              </w:tabs>
              <w:spacing w:line="360" w:lineRule="auto"/>
              <w:ind w:firstLine="40"/>
              <w:rPr>
                <w:bCs/>
                <w:color w:val="auto"/>
                <w:highlight w:val="none"/>
              </w:rPr>
            </w:pPr>
            <w:r>
              <w:rPr>
                <w:bCs/>
                <w:color w:val="auto"/>
                <w:highlight w:val="none"/>
              </w:rPr>
              <w:t>表4-</w:t>
            </w:r>
            <w:r>
              <w:rPr>
                <w:rFonts w:hint="eastAsia"/>
                <w:bCs/>
                <w:color w:val="auto"/>
                <w:highlight w:val="none"/>
                <w:lang w:val="en-US" w:eastAsia="zh-CN"/>
              </w:rPr>
              <w:t>30</w:t>
            </w:r>
            <w:r>
              <w:rPr>
                <w:rFonts w:hint="eastAsia"/>
                <w:bCs/>
                <w:color w:val="auto"/>
                <w:highlight w:val="none"/>
              </w:rPr>
              <w:t xml:space="preserve"> </w:t>
            </w:r>
            <w:r>
              <w:rPr>
                <w:bCs/>
                <w:color w:val="auto"/>
                <w:highlight w:val="none"/>
              </w:rPr>
              <w:t>危险物质识别一览表</w:t>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2"/>
              <w:gridCol w:w="1012"/>
              <w:gridCol w:w="1222"/>
              <w:gridCol w:w="4564"/>
              <w:gridCol w:w="1824"/>
            </w:tblGrid>
            <w:tr w14:paraId="4DB6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2E82DE40">
                  <w:pPr>
                    <w:pStyle w:val="80"/>
                    <w:rPr>
                      <w:bCs/>
                      <w:color w:val="auto"/>
                      <w:highlight w:val="none"/>
                    </w:rPr>
                  </w:pPr>
                  <w:r>
                    <w:rPr>
                      <w:bCs/>
                      <w:color w:val="auto"/>
                      <w:highlight w:val="none"/>
                    </w:rPr>
                    <w:t>序号</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1D90C007">
                  <w:pPr>
                    <w:pStyle w:val="80"/>
                    <w:rPr>
                      <w:bCs/>
                      <w:color w:val="auto"/>
                      <w:highlight w:val="none"/>
                    </w:rPr>
                  </w:pPr>
                  <w:r>
                    <w:rPr>
                      <w:bCs/>
                      <w:color w:val="auto"/>
                      <w:highlight w:val="none"/>
                    </w:rPr>
                    <w:t>物质名称</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2BB4BF7F">
                  <w:pPr>
                    <w:pStyle w:val="80"/>
                    <w:rPr>
                      <w:bCs/>
                      <w:color w:val="auto"/>
                      <w:highlight w:val="none"/>
                    </w:rPr>
                  </w:pPr>
                  <w:r>
                    <w:rPr>
                      <w:bCs/>
                      <w:color w:val="auto"/>
                      <w:highlight w:val="none"/>
                    </w:rPr>
                    <w:t>风险特性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3A9484F3">
                  <w:pPr>
                    <w:pStyle w:val="80"/>
                    <w:rPr>
                      <w:bCs/>
                      <w:color w:val="auto"/>
                      <w:highlight w:val="none"/>
                    </w:rPr>
                  </w:pPr>
                  <w:r>
                    <w:rPr>
                      <w:bCs/>
                      <w:color w:val="auto"/>
                      <w:highlight w:val="none"/>
                    </w:rPr>
                    <w:t>危险物质</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06F4BCDD">
                  <w:pPr>
                    <w:pStyle w:val="80"/>
                    <w:rPr>
                      <w:bCs/>
                      <w:color w:val="auto"/>
                      <w:highlight w:val="none"/>
                    </w:rPr>
                  </w:pPr>
                  <w:r>
                    <w:rPr>
                      <w:bCs/>
                      <w:color w:val="auto"/>
                      <w:highlight w:val="none"/>
                    </w:rPr>
                    <w:t>判断依据</w:t>
                  </w:r>
                </w:p>
              </w:tc>
            </w:tr>
            <w:tr w14:paraId="1CD6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29920DC4">
                  <w:pPr>
                    <w:pStyle w:val="80"/>
                    <w:rPr>
                      <w:b w:val="0"/>
                      <w:color w:val="auto"/>
                      <w:highlight w:val="none"/>
                    </w:rPr>
                  </w:pPr>
                  <w:r>
                    <w:rPr>
                      <w:rFonts w:hint="eastAsia"/>
                      <w:b w:val="0"/>
                      <w:color w:val="auto"/>
                      <w:highlight w:val="none"/>
                    </w:rPr>
                    <w:t>1</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0497561E">
                  <w:pPr>
                    <w:pStyle w:val="80"/>
                    <w:rPr>
                      <w:b w:val="0"/>
                      <w:color w:val="auto"/>
                      <w:highlight w:val="none"/>
                    </w:rPr>
                  </w:pPr>
                  <w:r>
                    <w:rPr>
                      <w:b w:val="0"/>
                      <w:color w:val="auto"/>
                      <w:highlight w:val="none"/>
                    </w:rPr>
                    <w:t>废机油</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21D50BC8">
                  <w:pPr>
                    <w:pStyle w:val="80"/>
                    <w:rPr>
                      <w:b w:val="0"/>
                      <w:color w:val="auto"/>
                      <w:highlight w:val="none"/>
                    </w:rPr>
                  </w:pPr>
                  <w:r>
                    <w:rPr>
                      <w:b w:val="0"/>
                      <w:color w:val="auto"/>
                      <w:highlight w:val="none"/>
                    </w:rPr>
                    <w:t>易燃性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3DE35825">
                  <w:pPr>
                    <w:pStyle w:val="80"/>
                    <w:rPr>
                      <w:b w:val="0"/>
                      <w:color w:val="auto"/>
                      <w:highlight w:val="none"/>
                    </w:rPr>
                  </w:pPr>
                  <w:r>
                    <w:rPr>
                      <w:b w:val="0"/>
                      <w:color w:val="auto"/>
                      <w:highlight w:val="none"/>
                    </w:rPr>
                    <w:t>废机油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0D82C5A4">
                  <w:pPr>
                    <w:pStyle w:val="80"/>
                    <w:rPr>
                      <w:b w:val="0"/>
                      <w:color w:val="auto"/>
                      <w:highlight w:val="none"/>
                    </w:rPr>
                  </w:pPr>
                  <w:r>
                    <w:rPr>
                      <w:b w:val="0"/>
                      <w:color w:val="auto"/>
                      <w:highlight w:val="none"/>
                    </w:rPr>
                    <w:t>HJ 169-2018</w:t>
                  </w:r>
                </w:p>
              </w:tc>
            </w:tr>
            <w:tr w14:paraId="47BB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64BEA56D">
                  <w:pPr>
                    <w:pStyle w:val="80"/>
                    <w:rPr>
                      <w:b w:val="0"/>
                      <w:color w:val="auto"/>
                      <w:highlight w:val="none"/>
                    </w:rPr>
                  </w:pPr>
                  <w:r>
                    <w:rPr>
                      <w:rFonts w:hint="eastAsia"/>
                      <w:b w:val="0"/>
                      <w:color w:val="auto"/>
                      <w:highlight w:val="none"/>
                    </w:rPr>
                    <w:t>2</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5A11BB82">
                  <w:pPr>
                    <w:pStyle w:val="80"/>
                    <w:rPr>
                      <w:b w:val="0"/>
                      <w:color w:val="auto"/>
                      <w:highlight w:val="none"/>
                    </w:rPr>
                  </w:pPr>
                  <w:r>
                    <w:rPr>
                      <w:b w:val="0"/>
                      <w:color w:val="auto"/>
                      <w:highlight w:val="none"/>
                    </w:rPr>
                    <w:t>润滑油</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46F75D0D">
                  <w:pPr>
                    <w:pStyle w:val="80"/>
                    <w:rPr>
                      <w:b w:val="0"/>
                      <w:color w:val="auto"/>
                      <w:highlight w:val="none"/>
                    </w:rPr>
                  </w:pPr>
                  <w:r>
                    <w:rPr>
                      <w:b w:val="0"/>
                      <w:color w:val="auto"/>
                      <w:highlight w:val="none"/>
                    </w:rPr>
                    <w:t>易燃性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4A6D8C66">
                  <w:pPr>
                    <w:pStyle w:val="80"/>
                    <w:rPr>
                      <w:b w:val="0"/>
                      <w:color w:val="auto"/>
                      <w:highlight w:val="none"/>
                    </w:rPr>
                  </w:pPr>
                  <w:r>
                    <w:rPr>
                      <w:b w:val="0"/>
                      <w:color w:val="auto"/>
                      <w:highlight w:val="none"/>
                    </w:rPr>
                    <w:t>润滑油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E8F1F2C">
                  <w:pPr>
                    <w:pStyle w:val="80"/>
                    <w:rPr>
                      <w:b w:val="0"/>
                      <w:color w:val="auto"/>
                      <w:highlight w:val="none"/>
                    </w:rPr>
                  </w:pPr>
                  <w:r>
                    <w:rPr>
                      <w:b w:val="0"/>
                      <w:color w:val="auto"/>
                      <w:highlight w:val="none"/>
                    </w:rPr>
                    <w:t>HJ 169-2018</w:t>
                  </w:r>
                </w:p>
              </w:tc>
            </w:tr>
            <w:tr w14:paraId="78E4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502B5C36">
                  <w:pPr>
                    <w:pStyle w:val="80"/>
                    <w:rPr>
                      <w:b w:val="0"/>
                      <w:color w:val="auto"/>
                      <w:highlight w:val="none"/>
                    </w:rPr>
                  </w:pPr>
                  <w:r>
                    <w:rPr>
                      <w:rFonts w:hint="eastAsia"/>
                      <w:b w:val="0"/>
                      <w:color w:val="auto"/>
                      <w:highlight w:val="none"/>
                    </w:rPr>
                    <w:t>3</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098A37E4">
                  <w:pPr>
                    <w:pStyle w:val="80"/>
                    <w:rPr>
                      <w:b w:val="0"/>
                      <w:color w:val="auto"/>
                      <w:highlight w:val="none"/>
                    </w:rPr>
                  </w:pPr>
                  <w:r>
                    <w:rPr>
                      <w:b w:val="0"/>
                      <w:color w:val="auto"/>
                      <w:highlight w:val="none"/>
                    </w:rPr>
                    <w:t>硫酸</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09A25CEB">
                  <w:pPr>
                    <w:pStyle w:val="80"/>
                    <w:rPr>
                      <w:b w:val="0"/>
                      <w:color w:val="auto"/>
                      <w:highlight w:val="none"/>
                    </w:rPr>
                  </w:pPr>
                  <w:r>
                    <w:rPr>
                      <w:b w:val="0"/>
                      <w:color w:val="auto"/>
                      <w:highlight w:val="none"/>
                    </w:rPr>
                    <w:t>腐蚀性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48CC2B0B">
                  <w:pPr>
                    <w:pStyle w:val="80"/>
                    <w:rPr>
                      <w:b w:val="0"/>
                      <w:color w:val="auto"/>
                      <w:highlight w:val="none"/>
                    </w:rPr>
                  </w:pPr>
                  <w:r>
                    <w:rPr>
                      <w:b w:val="0"/>
                      <w:color w:val="auto"/>
                      <w:highlight w:val="none"/>
                    </w:rPr>
                    <w:t>硫酸</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2630A891">
                  <w:pPr>
                    <w:pStyle w:val="80"/>
                    <w:rPr>
                      <w:b w:val="0"/>
                      <w:color w:val="auto"/>
                      <w:highlight w:val="none"/>
                    </w:rPr>
                  </w:pPr>
                  <w:r>
                    <w:rPr>
                      <w:b w:val="0"/>
                      <w:color w:val="auto"/>
                      <w:highlight w:val="none"/>
                    </w:rPr>
                    <w:t>HJ 169-2018</w:t>
                  </w:r>
                </w:p>
              </w:tc>
            </w:tr>
            <w:tr w14:paraId="2C25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3C0F2691">
                  <w:pPr>
                    <w:pStyle w:val="80"/>
                    <w:rPr>
                      <w:b w:val="0"/>
                      <w:color w:val="auto"/>
                      <w:highlight w:val="none"/>
                    </w:rPr>
                  </w:pPr>
                  <w:r>
                    <w:rPr>
                      <w:rFonts w:hint="eastAsia"/>
                      <w:b w:val="0"/>
                      <w:color w:val="auto"/>
                      <w:highlight w:val="none"/>
                    </w:rPr>
                    <w:t>4</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5AE2D86E">
                  <w:pPr>
                    <w:pStyle w:val="80"/>
                    <w:rPr>
                      <w:b w:val="0"/>
                      <w:color w:val="auto"/>
                      <w:highlight w:val="none"/>
                    </w:rPr>
                  </w:pPr>
                  <w:r>
                    <w:rPr>
                      <w:rFonts w:hint="eastAsia"/>
                      <w:b w:val="0"/>
                      <w:color w:val="auto"/>
                      <w:highlight w:val="none"/>
                    </w:rPr>
                    <w:t>柴油</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63BEA0B7">
                  <w:pPr>
                    <w:pStyle w:val="80"/>
                    <w:rPr>
                      <w:b w:val="0"/>
                      <w:color w:val="auto"/>
                      <w:highlight w:val="none"/>
                    </w:rPr>
                  </w:pPr>
                  <w:r>
                    <w:rPr>
                      <w:rFonts w:hint="eastAsia"/>
                      <w:b w:val="0"/>
                      <w:color w:val="auto"/>
                      <w:highlight w:val="none"/>
                    </w:rPr>
                    <w:t>易燃性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2C6E1BD9">
                  <w:pPr>
                    <w:pStyle w:val="80"/>
                    <w:rPr>
                      <w:b w:val="0"/>
                      <w:color w:val="auto"/>
                      <w:highlight w:val="none"/>
                    </w:rPr>
                  </w:pPr>
                  <w:r>
                    <w:rPr>
                      <w:rFonts w:hint="eastAsia"/>
                      <w:b w:val="0"/>
                      <w:color w:val="auto"/>
                      <w:highlight w:val="none"/>
                    </w:rPr>
                    <w:t>柴油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64692BB6">
                  <w:pPr>
                    <w:pStyle w:val="80"/>
                    <w:rPr>
                      <w:b w:val="0"/>
                      <w:color w:val="auto"/>
                      <w:highlight w:val="none"/>
                    </w:rPr>
                  </w:pPr>
                  <w:r>
                    <w:rPr>
                      <w:b w:val="0"/>
                      <w:color w:val="auto"/>
                      <w:highlight w:val="none"/>
                    </w:rPr>
                    <w:t>HJ 169-2018</w:t>
                  </w:r>
                </w:p>
              </w:tc>
            </w:tr>
            <w:tr w14:paraId="6E4D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12A22368">
                  <w:pPr>
                    <w:pStyle w:val="80"/>
                    <w:rPr>
                      <w:b w:val="0"/>
                      <w:color w:val="auto"/>
                      <w:highlight w:val="none"/>
                    </w:rPr>
                  </w:pPr>
                  <w:r>
                    <w:rPr>
                      <w:rFonts w:hint="eastAsia"/>
                      <w:b w:val="0"/>
                      <w:color w:val="auto"/>
                      <w:highlight w:val="none"/>
                    </w:rPr>
                    <w:t>5</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27E25D41">
                  <w:pPr>
                    <w:pStyle w:val="80"/>
                    <w:rPr>
                      <w:b w:val="0"/>
                      <w:color w:val="auto"/>
                      <w:highlight w:val="none"/>
                    </w:rPr>
                  </w:pPr>
                  <w:r>
                    <w:rPr>
                      <w:rFonts w:hint="eastAsia"/>
                      <w:b w:val="0"/>
                      <w:color w:val="auto"/>
                      <w:highlight w:val="none"/>
                    </w:rPr>
                    <w:t>烧碱</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4090CCFB">
                  <w:pPr>
                    <w:pStyle w:val="80"/>
                    <w:rPr>
                      <w:b w:val="0"/>
                      <w:color w:val="auto"/>
                      <w:highlight w:val="none"/>
                    </w:rPr>
                  </w:pPr>
                  <w:r>
                    <w:rPr>
                      <w:rFonts w:hint="eastAsia"/>
                      <w:b w:val="0"/>
                      <w:color w:val="auto"/>
                      <w:highlight w:val="none"/>
                    </w:rPr>
                    <w:t>腐蚀性</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398D10BA">
                  <w:pPr>
                    <w:pStyle w:val="80"/>
                    <w:rPr>
                      <w:b w:val="0"/>
                      <w:color w:val="auto"/>
                      <w:highlight w:val="none"/>
                    </w:rPr>
                  </w:pPr>
                  <w:r>
                    <w:rPr>
                      <w:rFonts w:hint="eastAsia"/>
                      <w:b w:val="0"/>
                      <w:color w:val="auto"/>
                      <w:highlight w:val="none"/>
                    </w:rPr>
                    <w:t>烧碱</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60753372">
                  <w:pPr>
                    <w:pStyle w:val="80"/>
                    <w:rPr>
                      <w:b w:val="0"/>
                      <w:color w:val="auto"/>
                      <w:highlight w:val="none"/>
                    </w:rPr>
                  </w:pPr>
                  <w:r>
                    <w:rPr>
                      <w:b w:val="0"/>
                      <w:color w:val="auto"/>
                      <w:highlight w:val="none"/>
                    </w:rPr>
                    <w:t>HJ 169-2018</w:t>
                  </w:r>
                </w:p>
              </w:tc>
            </w:tr>
            <w:tr w14:paraId="06E7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0" w:type="pct"/>
                  <w:tcBorders>
                    <w:top w:val="single" w:color="auto" w:sz="4" w:space="0"/>
                    <w:left w:val="single" w:color="auto" w:sz="4" w:space="0"/>
                    <w:bottom w:val="single" w:color="auto" w:sz="4" w:space="0"/>
                    <w:right w:val="single" w:color="auto" w:sz="4" w:space="0"/>
                    <w:tl2br w:val="nil"/>
                    <w:tr2bl w:val="nil"/>
                  </w:tcBorders>
                  <w:vAlign w:val="center"/>
                </w:tcPr>
                <w:p w14:paraId="13B272DE">
                  <w:pPr>
                    <w:pStyle w:val="80"/>
                    <w:rPr>
                      <w:b w:val="0"/>
                      <w:color w:val="auto"/>
                      <w:highlight w:val="none"/>
                    </w:rPr>
                  </w:pPr>
                  <w:r>
                    <w:rPr>
                      <w:rFonts w:hint="eastAsia"/>
                      <w:b w:val="0"/>
                      <w:color w:val="auto"/>
                      <w:highlight w:val="none"/>
                    </w:rPr>
                    <w:t>6</w:t>
                  </w:r>
                </w:p>
              </w:tc>
              <w:tc>
                <w:tcPr>
                  <w:tcW w:w="555" w:type="pct"/>
                  <w:tcBorders>
                    <w:top w:val="single" w:color="auto" w:sz="4" w:space="0"/>
                    <w:left w:val="single" w:color="auto" w:sz="4" w:space="0"/>
                    <w:bottom w:val="single" w:color="auto" w:sz="4" w:space="0"/>
                    <w:right w:val="single" w:color="auto" w:sz="4" w:space="0"/>
                    <w:tl2br w:val="nil"/>
                    <w:tr2bl w:val="nil"/>
                  </w:tcBorders>
                  <w:vAlign w:val="center"/>
                </w:tcPr>
                <w:p w14:paraId="36817733">
                  <w:pPr>
                    <w:pStyle w:val="80"/>
                    <w:rPr>
                      <w:b w:val="0"/>
                      <w:color w:val="auto"/>
                      <w:highlight w:val="none"/>
                    </w:rPr>
                  </w:pPr>
                  <w:r>
                    <w:rPr>
                      <w:b w:val="0"/>
                      <w:color w:val="auto"/>
                      <w:highlight w:val="none"/>
                    </w:rPr>
                    <w:t>危险废物</w:t>
                  </w:r>
                </w:p>
              </w:tc>
              <w:tc>
                <w:tcPr>
                  <w:tcW w:w="670" w:type="pct"/>
                  <w:tcBorders>
                    <w:top w:val="single" w:color="auto" w:sz="4" w:space="0"/>
                    <w:left w:val="single" w:color="auto" w:sz="4" w:space="0"/>
                    <w:bottom w:val="single" w:color="auto" w:sz="4" w:space="0"/>
                    <w:right w:val="single" w:color="auto" w:sz="4" w:space="0"/>
                    <w:tl2br w:val="nil"/>
                    <w:tr2bl w:val="nil"/>
                  </w:tcBorders>
                  <w:vAlign w:val="center"/>
                </w:tcPr>
                <w:p w14:paraId="63638ED5">
                  <w:pPr>
                    <w:pStyle w:val="80"/>
                    <w:rPr>
                      <w:b w:val="0"/>
                      <w:color w:val="auto"/>
                      <w:highlight w:val="none"/>
                    </w:rPr>
                  </w:pPr>
                  <w:r>
                    <w:rPr>
                      <w:b w:val="0"/>
                      <w:color w:val="auto"/>
                      <w:highlight w:val="none"/>
                    </w:rPr>
                    <w:t>/</w:t>
                  </w:r>
                </w:p>
              </w:tc>
              <w:tc>
                <w:tcPr>
                  <w:tcW w:w="2503" w:type="pct"/>
                  <w:tcBorders>
                    <w:top w:val="single" w:color="auto" w:sz="4" w:space="0"/>
                    <w:left w:val="single" w:color="auto" w:sz="4" w:space="0"/>
                    <w:bottom w:val="single" w:color="auto" w:sz="4" w:space="0"/>
                    <w:right w:val="single" w:color="auto" w:sz="4" w:space="0"/>
                    <w:tl2br w:val="nil"/>
                    <w:tr2bl w:val="nil"/>
                  </w:tcBorders>
                  <w:vAlign w:val="center"/>
                </w:tcPr>
                <w:p w14:paraId="01149D87">
                  <w:pPr>
                    <w:pStyle w:val="80"/>
                    <w:rPr>
                      <w:b w:val="0"/>
                      <w:color w:val="auto"/>
                      <w:highlight w:val="none"/>
                    </w:rPr>
                  </w:pPr>
                  <w:r>
                    <w:rPr>
                      <w:b w:val="0"/>
                      <w:color w:val="auto"/>
                      <w:highlight w:val="none"/>
                    </w:rPr>
                    <w:t>危险废物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38A8F24A">
                  <w:pPr>
                    <w:pStyle w:val="80"/>
                    <w:rPr>
                      <w:b w:val="0"/>
                      <w:color w:val="auto"/>
                      <w:highlight w:val="none"/>
                    </w:rPr>
                  </w:pPr>
                  <w:r>
                    <w:rPr>
                      <w:b w:val="0"/>
                      <w:color w:val="auto"/>
                      <w:highlight w:val="none"/>
                    </w:rPr>
                    <w:t>HJ 169-2018</w:t>
                  </w:r>
                </w:p>
              </w:tc>
            </w:tr>
          </w:tbl>
          <w:p w14:paraId="004FEDAF">
            <w:pPr>
              <w:adjustRightInd w:val="0"/>
              <w:ind w:firstLine="472" w:firstLineChars="200"/>
              <w:rPr>
                <w:color w:val="auto"/>
                <w:kern w:val="0"/>
                <w:highlight w:val="none"/>
              </w:rPr>
            </w:pPr>
            <w:r>
              <w:rPr>
                <w:color w:val="auto"/>
                <w:spacing w:val="-2"/>
                <w:highlight w:val="none"/>
              </w:rPr>
              <w:t>则本项目Q值确定见下表</w:t>
            </w:r>
            <w:r>
              <w:rPr>
                <w:color w:val="auto"/>
                <w:kern w:val="0"/>
                <w:highlight w:val="none"/>
              </w:rPr>
              <w:t>。</w:t>
            </w:r>
          </w:p>
          <w:p w14:paraId="086ED62A">
            <w:pPr>
              <w:tabs>
                <w:tab w:val="left" w:pos="0"/>
              </w:tabs>
              <w:adjustRightInd w:val="0"/>
              <w:ind w:firstLine="40"/>
              <w:jc w:val="center"/>
              <w:rPr>
                <w:color w:val="auto"/>
                <w:highlight w:val="none"/>
              </w:rPr>
            </w:pPr>
            <w:r>
              <w:rPr>
                <w:b/>
                <w:color w:val="auto"/>
                <w:sz w:val="21"/>
                <w:szCs w:val="21"/>
                <w:highlight w:val="none"/>
              </w:rPr>
              <w:t>表4-</w:t>
            </w:r>
            <w:r>
              <w:rPr>
                <w:rFonts w:hint="eastAsia"/>
                <w:b/>
                <w:color w:val="auto"/>
                <w:sz w:val="21"/>
                <w:szCs w:val="21"/>
                <w:highlight w:val="none"/>
              </w:rPr>
              <w:t>3</w:t>
            </w:r>
            <w:r>
              <w:rPr>
                <w:rFonts w:hint="eastAsia"/>
                <w:b/>
                <w:color w:val="auto"/>
                <w:sz w:val="21"/>
                <w:szCs w:val="21"/>
                <w:highlight w:val="none"/>
                <w:lang w:val="en-US" w:eastAsia="zh-CN"/>
              </w:rPr>
              <w:t>1</w:t>
            </w:r>
            <w:r>
              <w:rPr>
                <w:rFonts w:hint="eastAsia"/>
                <w:b/>
                <w:color w:val="auto"/>
                <w:sz w:val="21"/>
                <w:szCs w:val="21"/>
                <w:highlight w:val="none"/>
              </w:rPr>
              <w:t xml:space="preserve"> </w:t>
            </w:r>
            <w:r>
              <w:rPr>
                <w:b/>
                <w:bCs/>
                <w:color w:val="auto"/>
                <w:kern w:val="0"/>
                <w:sz w:val="21"/>
                <w:szCs w:val="21"/>
                <w:highlight w:val="none"/>
              </w:rPr>
              <w:t>建设项目Q值确定表</w:t>
            </w:r>
          </w:p>
          <w:tbl>
            <w:tblPr>
              <w:tblStyle w:val="50"/>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136"/>
              <w:gridCol w:w="1524"/>
              <w:gridCol w:w="1517"/>
              <w:gridCol w:w="1516"/>
              <w:gridCol w:w="1521"/>
            </w:tblGrid>
            <w:tr w14:paraId="6CE3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887" w:type="dxa"/>
                  <w:vAlign w:val="center"/>
                </w:tcPr>
                <w:p w14:paraId="1DA5FD16">
                  <w:pPr>
                    <w:keepNext w:val="0"/>
                    <w:keepLines w:val="0"/>
                    <w:widowControl/>
                    <w:suppressLineNumbers w:val="0"/>
                    <w:jc w:val="center"/>
                    <w:textAlignment w:val="center"/>
                    <w:rPr>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136" w:type="dxa"/>
                  <w:vAlign w:val="center"/>
                </w:tcPr>
                <w:p w14:paraId="579CE2A5">
                  <w:pPr>
                    <w:keepNext w:val="0"/>
                    <w:keepLines w:val="0"/>
                    <w:widowControl/>
                    <w:suppressLineNumbers w:val="0"/>
                    <w:jc w:val="center"/>
                    <w:textAlignment w:val="center"/>
                    <w:rPr>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危险物质名称</w:t>
                  </w:r>
                </w:p>
              </w:tc>
              <w:tc>
                <w:tcPr>
                  <w:tcW w:w="1524" w:type="dxa"/>
                  <w:vAlign w:val="center"/>
                </w:tcPr>
                <w:p w14:paraId="4AF2346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CAS</w:t>
                  </w:r>
                  <w:r>
                    <w:rPr>
                      <w:rFonts w:hint="eastAsia" w:ascii="宋体" w:hAnsi="宋体" w:eastAsia="宋体" w:cs="宋体"/>
                      <w:b/>
                      <w:bCs/>
                      <w:i w:val="0"/>
                      <w:iCs w:val="0"/>
                      <w:color w:val="auto"/>
                      <w:kern w:val="0"/>
                      <w:sz w:val="21"/>
                      <w:szCs w:val="21"/>
                      <w:highlight w:val="none"/>
                      <w:u w:val="none"/>
                      <w:lang w:val="en-US" w:eastAsia="zh-CN" w:bidi="ar"/>
                    </w:rPr>
                    <w:t>号</w:t>
                  </w:r>
                </w:p>
              </w:tc>
              <w:tc>
                <w:tcPr>
                  <w:tcW w:w="1517" w:type="dxa"/>
                  <w:vAlign w:val="center"/>
                </w:tcPr>
                <w:p w14:paraId="4B296530">
                  <w:pPr>
                    <w:keepNext w:val="0"/>
                    <w:keepLines w:val="0"/>
                    <w:widowControl/>
                    <w:suppressLineNumbers w:val="0"/>
                    <w:jc w:val="center"/>
                    <w:textAlignment w:val="center"/>
                    <w:rPr>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最大存储总量（</w:t>
                  </w:r>
                  <w:r>
                    <w:rPr>
                      <w:rFonts w:hint="default" w:ascii="Times New Roman" w:hAnsi="Times New Roman" w:eastAsia="宋体" w:cs="Times New Roman"/>
                      <w:b/>
                      <w:bCs/>
                      <w:i w:val="0"/>
                      <w:iCs w:val="0"/>
                      <w:color w:val="auto"/>
                      <w:kern w:val="0"/>
                      <w:sz w:val="21"/>
                      <w:szCs w:val="21"/>
                      <w:highlight w:val="none"/>
                      <w:u w:val="none"/>
                      <w:lang w:val="en-US" w:eastAsia="zh-CN" w:bidi="ar"/>
                    </w:rPr>
                    <w:t>t</w:t>
                  </w:r>
                  <w:r>
                    <w:rPr>
                      <w:rFonts w:hint="eastAsia" w:ascii="宋体" w:hAnsi="宋体" w:eastAsia="宋体" w:cs="宋体"/>
                      <w:b/>
                      <w:bCs/>
                      <w:i w:val="0"/>
                      <w:iCs w:val="0"/>
                      <w:color w:val="auto"/>
                      <w:kern w:val="0"/>
                      <w:sz w:val="21"/>
                      <w:szCs w:val="21"/>
                      <w:highlight w:val="none"/>
                      <w:u w:val="none"/>
                      <w:lang w:val="en-US" w:eastAsia="zh-CN" w:bidi="ar"/>
                    </w:rPr>
                    <w:t>）</w:t>
                  </w:r>
                </w:p>
              </w:tc>
              <w:tc>
                <w:tcPr>
                  <w:tcW w:w="1516" w:type="dxa"/>
                  <w:vAlign w:val="center"/>
                </w:tcPr>
                <w:p w14:paraId="3ABC9731">
                  <w:pPr>
                    <w:keepNext w:val="0"/>
                    <w:keepLines w:val="0"/>
                    <w:widowControl/>
                    <w:suppressLineNumbers w:val="0"/>
                    <w:jc w:val="center"/>
                    <w:textAlignment w:val="center"/>
                    <w:rPr>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临界量</w:t>
                  </w:r>
                  <w:r>
                    <w:rPr>
                      <w:rFonts w:hint="default" w:ascii="Times New Roman" w:hAnsi="Times New Roman" w:eastAsia="宋体" w:cs="Times New Roman"/>
                      <w:b/>
                      <w:bCs/>
                      <w:i w:val="0"/>
                      <w:iCs w:val="0"/>
                      <w:color w:val="auto"/>
                      <w:kern w:val="0"/>
                      <w:sz w:val="21"/>
                      <w:szCs w:val="21"/>
                      <w:highlight w:val="none"/>
                      <w:u w:val="none"/>
                      <w:lang w:val="en-US" w:eastAsia="zh-CN" w:bidi="ar"/>
                    </w:rPr>
                    <w:t>Qn/t</w:t>
                  </w:r>
                </w:p>
              </w:tc>
              <w:tc>
                <w:tcPr>
                  <w:tcW w:w="1521" w:type="dxa"/>
                  <w:vAlign w:val="center"/>
                </w:tcPr>
                <w:p w14:paraId="44DE401E">
                  <w:pPr>
                    <w:keepNext w:val="0"/>
                    <w:keepLines w:val="0"/>
                    <w:widowControl/>
                    <w:suppressLineNumbers w:val="0"/>
                    <w:jc w:val="center"/>
                    <w:textAlignment w:val="center"/>
                    <w:rPr>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该种危险物质</w:t>
                  </w:r>
                  <w:r>
                    <w:rPr>
                      <w:rFonts w:hint="default" w:ascii="Times New Roman" w:hAnsi="Times New Roman" w:eastAsia="宋体" w:cs="Times New Roman"/>
                      <w:b/>
                      <w:bCs/>
                      <w:i w:val="0"/>
                      <w:iCs w:val="0"/>
                      <w:color w:val="auto"/>
                      <w:kern w:val="0"/>
                      <w:sz w:val="21"/>
                      <w:szCs w:val="21"/>
                      <w:highlight w:val="none"/>
                      <w:u w:val="none"/>
                      <w:lang w:val="en-US" w:eastAsia="zh-CN" w:bidi="ar"/>
                    </w:rPr>
                    <w:t>Q</w:t>
                  </w:r>
                  <w:r>
                    <w:rPr>
                      <w:rFonts w:hint="eastAsia" w:ascii="宋体" w:hAnsi="宋体" w:eastAsia="宋体" w:cs="宋体"/>
                      <w:b/>
                      <w:bCs/>
                      <w:i w:val="0"/>
                      <w:iCs w:val="0"/>
                      <w:color w:val="auto"/>
                      <w:kern w:val="0"/>
                      <w:sz w:val="21"/>
                      <w:szCs w:val="21"/>
                      <w:highlight w:val="none"/>
                      <w:u w:val="none"/>
                      <w:lang w:val="en-US" w:eastAsia="zh-CN" w:bidi="ar"/>
                    </w:rPr>
                    <w:t>值</w:t>
                  </w:r>
                </w:p>
              </w:tc>
            </w:tr>
            <w:tr w14:paraId="72F1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35C69344">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2136" w:type="dxa"/>
                  <w:vAlign w:val="center"/>
                </w:tcPr>
                <w:p w14:paraId="5E95F97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1"/>
                      <w:szCs w:val="21"/>
                      <w:highlight w:val="none"/>
                      <w:u w:val="none"/>
                      <w:lang w:val="en-US" w:eastAsia="zh-CN" w:bidi="ar"/>
                    </w:rPr>
                    <w:t>废机油</w:t>
                  </w:r>
                </w:p>
              </w:tc>
              <w:tc>
                <w:tcPr>
                  <w:tcW w:w="1524" w:type="dxa"/>
                  <w:vAlign w:val="center"/>
                </w:tcPr>
                <w:p w14:paraId="5A4C3552">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17" w:type="dxa"/>
                  <w:vAlign w:val="center"/>
                </w:tcPr>
                <w:p w14:paraId="62CDF51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0.45</w:t>
                  </w:r>
                </w:p>
              </w:tc>
              <w:tc>
                <w:tcPr>
                  <w:tcW w:w="1516" w:type="dxa"/>
                  <w:vAlign w:val="center"/>
                </w:tcPr>
                <w:p w14:paraId="2D61663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521" w:type="dxa"/>
                  <w:vAlign w:val="center"/>
                </w:tcPr>
                <w:p w14:paraId="6A99978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0.0002 </w:t>
                  </w:r>
                </w:p>
              </w:tc>
            </w:tr>
            <w:tr w14:paraId="63E0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22C8CAF3">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2136" w:type="dxa"/>
                  <w:vAlign w:val="center"/>
                </w:tcPr>
                <w:p w14:paraId="7A73182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1"/>
                      <w:szCs w:val="21"/>
                      <w:highlight w:val="none"/>
                      <w:u w:val="none"/>
                      <w:lang w:val="en-US" w:eastAsia="zh-CN" w:bidi="ar"/>
                    </w:rPr>
                    <w:t>机油</w:t>
                  </w:r>
                </w:p>
              </w:tc>
              <w:tc>
                <w:tcPr>
                  <w:tcW w:w="1524" w:type="dxa"/>
                  <w:vAlign w:val="center"/>
                </w:tcPr>
                <w:p w14:paraId="0C9AFE6F">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17" w:type="dxa"/>
                  <w:vAlign w:val="center"/>
                </w:tcPr>
                <w:p w14:paraId="76304E2C">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0.9</w:t>
                  </w:r>
                </w:p>
              </w:tc>
              <w:tc>
                <w:tcPr>
                  <w:tcW w:w="1516" w:type="dxa"/>
                  <w:vAlign w:val="center"/>
                </w:tcPr>
                <w:p w14:paraId="53BD8A1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521" w:type="dxa"/>
                  <w:vAlign w:val="center"/>
                </w:tcPr>
                <w:p w14:paraId="286C941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0.0004 </w:t>
                  </w:r>
                </w:p>
              </w:tc>
            </w:tr>
            <w:tr w14:paraId="7EF5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58DE9A20">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2136" w:type="dxa"/>
                  <w:vAlign w:val="center"/>
                </w:tcPr>
                <w:p w14:paraId="7C4E82A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1"/>
                      <w:szCs w:val="21"/>
                      <w:highlight w:val="none"/>
                      <w:u w:val="none"/>
                      <w:lang w:val="en-US" w:eastAsia="zh-CN" w:bidi="ar"/>
                    </w:rPr>
                    <w:t>柴油</w:t>
                  </w:r>
                </w:p>
              </w:tc>
              <w:tc>
                <w:tcPr>
                  <w:tcW w:w="1524" w:type="dxa"/>
                  <w:vAlign w:val="center"/>
                </w:tcPr>
                <w:p w14:paraId="6B9D369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17" w:type="dxa"/>
                  <w:vAlign w:val="center"/>
                </w:tcPr>
                <w:p w14:paraId="015CBD2C">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0.85</w:t>
                  </w:r>
                </w:p>
              </w:tc>
              <w:tc>
                <w:tcPr>
                  <w:tcW w:w="1516" w:type="dxa"/>
                  <w:vAlign w:val="center"/>
                </w:tcPr>
                <w:p w14:paraId="5F85067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521" w:type="dxa"/>
                  <w:vAlign w:val="center"/>
                </w:tcPr>
                <w:p w14:paraId="6EDBEFC1">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0.0003 </w:t>
                  </w:r>
                </w:p>
              </w:tc>
            </w:tr>
            <w:tr w14:paraId="07ED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220E6485">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2136" w:type="dxa"/>
                  <w:vAlign w:val="center"/>
                </w:tcPr>
                <w:p w14:paraId="31C778B1">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w:t>
                  </w:r>
                  <w:r>
                    <w:rPr>
                      <w:rFonts w:hint="eastAsia" w:ascii="宋体" w:hAnsi="宋体" w:eastAsia="宋体" w:cs="宋体"/>
                      <w:i w:val="0"/>
                      <w:iCs w:val="0"/>
                      <w:color w:val="auto"/>
                      <w:kern w:val="0"/>
                      <w:sz w:val="21"/>
                      <w:szCs w:val="21"/>
                      <w:highlight w:val="none"/>
                      <w:u w:val="none"/>
                      <w:lang w:val="en-US" w:eastAsia="zh-CN" w:bidi="ar"/>
                    </w:rPr>
                    <w:t>硫酸</w:t>
                  </w:r>
                </w:p>
              </w:tc>
              <w:tc>
                <w:tcPr>
                  <w:tcW w:w="1524" w:type="dxa"/>
                  <w:vAlign w:val="center"/>
                </w:tcPr>
                <w:p w14:paraId="13EFE7B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7664-93-9</w:t>
                  </w:r>
                </w:p>
              </w:tc>
              <w:tc>
                <w:tcPr>
                  <w:tcW w:w="1517" w:type="dxa"/>
                  <w:vAlign w:val="center"/>
                </w:tcPr>
                <w:p w14:paraId="6DB8647C">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516" w:type="dxa"/>
                  <w:vAlign w:val="center"/>
                </w:tcPr>
                <w:p w14:paraId="1EF212A3">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521" w:type="dxa"/>
                  <w:vAlign w:val="center"/>
                </w:tcPr>
                <w:p w14:paraId="5A24AD90">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0.30 </w:t>
                  </w:r>
                </w:p>
              </w:tc>
            </w:tr>
            <w:tr w14:paraId="19F1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4996D39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136" w:type="dxa"/>
                  <w:vAlign w:val="center"/>
                </w:tcPr>
                <w:p w14:paraId="2D46EA2D">
                  <w:pPr>
                    <w:keepNext w:val="0"/>
                    <w:keepLines w:val="0"/>
                    <w:widowControl/>
                    <w:suppressLineNumbers w:val="0"/>
                    <w:jc w:val="center"/>
                    <w:textAlignment w:val="center"/>
                    <w:rPr>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烧碱</w:t>
                  </w:r>
                </w:p>
              </w:tc>
              <w:tc>
                <w:tcPr>
                  <w:tcW w:w="1524" w:type="dxa"/>
                  <w:vAlign w:val="center"/>
                </w:tcPr>
                <w:p w14:paraId="691D1A6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1310-73-2</w:t>
                  </w:r>
                </w:p>
              </w:tc>
              <w:tc>
                <w:tcPr>
                  <w:tcW w:w="1517" w:type="dxa"/>
                  <w:vAlign w:val="center"/>
                </w:tcPr>
                <w:p w14:paraId="7C20B974">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516" w:type="dxa"/>
                  <w:vAlign w:val="center"/>
                </w:tcPr>
                <w:p w14:paraId="7A053AF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521" w:type="dxa"/>
                  <w:vAlign w:val="center"/>
                </w:tcPr>
                <w:p w14:paraId="1EF0044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r>
            <w:tr w14:paraId="7801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87" w:type="dxa"/>
                  <w:vAlign w:val="center"/>
                </w:tcPr>
                <w:p w14:paraId="395EF7CF">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136" w:type="dxa"/>
                  <w:vAlign w:val="center"/>
                </w:tcPr>
                <w:p w14:paraId="5618CFF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1"/>
                      <w:szCs w:val="21"/>
                      <w:highlight w:val="none"/>
                      <w:u w:val="none"/>
                      <w:lang w:val="en-US" w:eastAsia="zh-CN" w:bidi="ar"/>
                    </w:rPr>
                    <w:t>危险废物</w:t>
                  </w:r>
                </w:p>
              </w:tc>
              <w:tc>
                <w:tcPr>
                  <w:tcW w:w="1524" w:type="dxa"/>
                  <w:vAlign w:val="center"/>
                </w:tcPr>
                <w:p w14:paraId="3191B6F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17" w:type="dxa"/>
                  <w:vAlign w:val="center"/>
                </w:tcPr>
                <w:p w14:paraId="42E91159">
                  <w:pPr>
                    <w:keepNext w:val="0"/>
                    <w:keepLines w:val="0"/>
                    <w:widowControl/>
                    <w:suppressLineNumbers w:val="0"/>
                    <w:jc w:val="center"/>
                    <w:textAlignment w:val="center"/>
                    <w:rPr>
                      <w:color w:val="auto"/>
                      <w:sz w:val="21"/>
                      <w:szCs w:val="21"/>
                      <w:highlight w:val="none"/>
                    </w:rPr>
                  </w:pPr>
                  <w:r>
                    <w:rPr>
                      <w:rFonts w:hint="eastAsia" w:cs="Times New Roman"/>
                      <w:i w:val="0"/>
                      <w:iCs w:val="0"/>
                      <w:color w:val="auto"/>
                      <w:kern w:val="0"/>
                      <w:sz w:val="21"/>
                      <w:szCs w:val="21"/>
                      <w:highlight w:val="none"/>
                      <w:u w:val="none"/>
                      <w:lang w:val="en-US" w:eastAsia="zh-CN" w:bidi="ar"/>
                    </w:rPr>
                    <w:t>25（以最大贮存能力计）</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516" w:type="dxa"/>
                  <w:vAlign w:val="center"/>
                </w:tcPr>
                <w:p w14:paraId="28BAC0D1">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521" w:type="dxa"/>
                  <w:vAlign w:val="center"/>
                </w:tcPr>
                <w:p w14:paraId="519971C6">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49A1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7580" w:type="dxa"/>
                  <w:gridSpan w:val="5"/>
                  <w:vAlign w:val="center"/>
                </w:tcPr>
                <w:p w14:paraId="136B6B27">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项目</w:t>
                  </w:r>
                  <w:r>
                    <w:rPr>
                      <w:rFonts w:hint="default" w:ascii="Times New Roman" w:hAnsi="Times New Roman" w:eastAsia="宋体" w:cs="Times New Roman"/>
                      <w:i w:val="0"/>
                      <w:iCs w:val="0"/>
                      <w:color w:val="auto"/>
                      <w:kern w:val="0"/>
                      <w:sz w:val="21"/>
                      <w:szCs w:val="21"/>
                      <w:highlight w:val="none"/>
                      <w:u w:val="none"/>
                      <w:lang w:val="en-US" w:eastAsia="zh-CN" w:bidi="ar"/>
                    </w:rPr>
                    <w:t>Q</w:t>
                  </w:r>
                  <w:r>
                    <w:rPr>
                      <w:rFonts w:hint="eastAsia" w:ascii="宋体" w:hAnsi="宋体" w:eastAsia="宋体" w:cs="宋体"/>
                      <w:i w:val="0"/>
                      <w:iCs w:val="0"/>
                      <w:color w:val="auto"/>
                      <w:kern w:val="0"/>
                      <w:sz w:val="21"/>
                      <w:szCs w:val="21"/>
                      <w:highlight w:val="none"/>
                      <w:u w:val="none"/>
                      <w:lang w:val="en-US" w:eastAsia="zh-CN" w:bidi="ar"/>
                    </w:rPr>
                    <w:t>值</w:t>
                  </w:r>
                </w:p>
              </w:tc>
              <w:tc>
                <w:tcPr>
                  <w:tcW w:w="1521" w:type="dxa"/>
                  <w:shd w:val="clear" w:color="auto" w:fill="auto"/>
                  <w:vAlign w:val="center"/>
                </w:tcPr>
                <w:p w14:paraId="06F8144F">
                  <w:pPr>
                    <w:keepNext w:val="0"/>
                    <w:keepLines w:val="0"/>
                    <w:widowControl/>
                    <w:suppressLineNumbers w:val="0"/>
                    <w:jc w:val="center"/>
                    <w:textAlignment w:val="center"/>
                    <w:rPr>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831</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bl>
          <w:p w14:paraId="6D45CF39">
            <w:pPr>
              <w:ind w:firstLine="480" w:firstLineChars="200"/>
              <w:jc w:val="left"/>
              <w:rPr>
                <w:color w:val="auto"/>
                <w:highlight w:val="none"/>
              </w:rPr>
            </w:pPr>
            <w:r>
              <w:rPr>
                <w:rFonts w:hint="eastAsia"/>
                <w:color w:val="auto"/>
                <w:highlight w:val="none"/>
                <w:lang w:val="en-US" w:eastAsia="zh-CN"/>
              </w:rPr>
              <w:t>本项目的Q值为0.831，</w:t>
            </w:r>
            <w:r>
              <w:rPr>
                <w:color w:val="auto"/>
                <w:highlight w:val="none"/>
              </w:rPr>
              <w:t>根据</w:t>
            </w:r>
            <w:r>
              <w:rPr>
                <w:color w:val="auto"/>
                <w:spacing w:val="-2"/>
                <w:highlight w:val="none"/>
              </w:rPr>
              <w:t>《建设项目环境风险评价技术导则》（HJ169-2018），当Q＜1时，环境风险潜势为I，仅需进行简单分析。</w:t>
            </w:r>
          </w:p>
          <w:p w14:paraId="2B2AC5AF">
            <w:pPr>
              <w:pStyle w:val="20"/>
              <w:numPr>
                <w:ilvl w:val="3"/>
                <w:numId w:val="0"/>
              </w:numPr>
              <w:ind w:left="480" w:leftChars="200"/>
              <w:rPr>
                <w:color w:val="auto"/>
                <w:highlight w:val="none"/>
              </w:rPr>
            </w:pPr>
            <w:r>
              <w:rPr>
                <w:color w:val="auto"/>
                <w:highlight w:val="none"/>
              </w:rPr>
              <w:t>3、环境敏感目标调查</w:t>
            </w:r>
          </w:p>
          <w:p w14:paraId="316FD977">
            <w:pPr>
              <w:ind w:firstLine="480" w:firstLineChars="200"/>
              <w:jc w:val="left"/>
              <w:rPr>
                <w:color w:val="auto"/>
                <w:highlight w:val="none"/>
              </w:rPr>
            </w:pPr>
            <w:r>
              <w:rPr>
                <w:color w:val="auto"/>
                <w:highlight w:val="none"/>
              </w:rPr>
              <w:t>本项目位于韶关市乐昌市乐昌产业转移工业园</w:t>
            </w:r>
            <w:r>
              <w:rPr>
                <w:rFonts w:hint="eastAsia"/>
                <w:color w:val="auto"/>
                <w:highlight w:val="none"/>
              </w:rPr>
              <w:t>GL-02-04-02-03地块</w:t>
            </w:r>
            <w:r>
              <w:rPr>
                <w:color w:val="auto"/>
                <w:highlight w:val="none"/>
              </w:rPr>
              <w:t>，厂区四周为其他企业、园区公园、空地、山地，本项目厂界外500m范围内无自然保护区、风景名胜区、文化区，主要大气环境保护目标为居民区。本项目最近的环境保护目标为</w:t>
            </w:r>
            <w:r>
              <w:rPr>
                <w:rFonts w:hint="eastAsia"/>
                <w:bCs/>
                <w:color w:val="auto"/>
                <w:highlight w:val="none"/>
              </w:rPr>
              <w:t>东</w:t>
            </w:r>
            <w:r>
              <w:rPr>
                <w:bCs/>
                <w:color w:val="auto"/>
                <w:highlight w:val="none"/>
              </w:rPr>
              <w:t>南侧</w:t>
            </w:r>
            <w:r>
              <w:rPr>
                <w:rFonts w:hint="eastAsia"/>
                <w:bCs/>
                <w:color w:val="auto"/>
                <w:highlight w:val="none"/>
                <w:lang w:val="en-US" w:eastAsia="zh-CN"/>
              </w:rPr>
              <w:t>490</w:t>
            </w:r>
            <w:r>
              <w:rPr>
                <w:bCs/>
                <w:color w:val="auto"/>
                <w:highlight w:val="none"/>
              </w:rPr>
              <w:t>m的</w:t>
            </w:r>
            <w:r>
              <w:rPr>
                <w:rFonts w:hint="eastAsia"/>
                <w:bCs/>
                <w:color w:val="auto"/>
                <w:highlight w:val="none"/>
              </w:rPr>
              <w:t>高粱头村</w:t>
            </w:r>
            <w:r>
              <w:rPr>
                <w:color w:val="auto"/>
                <w:highlight w:val="none"/>
              </w:rPr>
              <w:t>。</w:t>
            </w:r>
          </w:p>
          <w:p w14:paraId="2B46F024">
            <w:pPr>
              <w:pStyle w:val="20"/>
              <w:numPr>
                <w:ilvl w:val="3"/>
                <w:numId w:val="0"/>
              </w:numPr>
              <w:ind w:left="480" w:leftChars="200"/>
              <w:rPr>
                <w:color w:val="auto"/>
                <w:highlight w:val="none"/>
              </w:rPr>
            </w:pPr>
            <w:r>
              <w:rPr>
                <w:color w:val="auto"/>
                <w:highlight w:val="none"/>
              </w:rPr>
              <w:t>4、环境风险分析</w:t>
            </w:r>
          </w:p>
          <w:p w14:paraId="27624407">
            <w:pPr>
              <w:pStyle w:val="21"/>
              <w:numPr>
                <w:ilvl w:val="4"/>
                <w:numId w:val="0"/>
              </w:numPr>
              <w:ind w:left="480"/>
              <w:rPr>
                <w:color w:val="auto"/>
                <w:kern w:val="2"/>
                <w:highlight w:val="none"/>
              </w:rPr>
            </w:pPr>
            <w:r>
              <w:rPr>
                <w:color w:val="auto"/>
                <w:kern w:val="2"/>
                <w:highlight w:val="none"/>
              </w:rPr>
              <w:t>（1）大气环境风险分析</w:t>
            </w:r>
          </w:p>
          <w:p w14:paraId="547EE4A5">
            <w:pPr>
              <w:widowControl/>
              <w:ind w:firstLine="480"/>
              <w:jc w:val="left"/>
              <w:rPr>
                <w:color w:val="auto"/>
                <w:highlight w:val="none"/>
              </w:rPr>
            </w:pPr>
            <w:r>
              <w:rPr>
                <w:color w:val="auto"/>
                <w:highlight w:val="none"/>
              </w:rPr>
              <w:t>物料在运输、装卸、储存和使用过程中发生泄漏、火灾，有毒有害物质在高温情况下散发到空气中，泄漏的物料、物料燃烧产生的次生污染物如烟尘、CO等将对周边的环境空气带来较为严重的污染甚至对人群健康造成危害。</w:t>
            </w:r>
          </w:p>
          <w:p w14:paraId="1CA64020">
            <w:pPr>
              <w:pStyle w:val="21"/>
              <w:numPr>
                <w:ilvl w:val="4"/>
                <w:numId w:val="0"/>
              </w:numPr>
              <w:ind w:left="480"/>
              <w:rPr>
                <w:color w:val="auto"/>
                <w:kern w:val="2"/>
                <w:highlight w:val="none"/>
              </w:rPr>
            </w:pPr>
            <w:r>
              <w:rPr>
                <w:color w:val="auto"/>
                <w:kern w:val="2"/>
                <w:highlight w:val="none"/>
              </w:rPr>
              <w:t>（2）地表水、地下水环境风险分析</w:t>
            </w:r>
          </w:p>
          <w:p w14:paraId="67328052">
            <w:pPr>
              <w:ind w:firstLine="480" w:firstLineChars="200"/>
              <w:rPr>
                <w:color w:val="auto"/>
                <w:highlight w:val="none"/>
              </w:rPr>
            </w:pPr>
            <w:r>
              <w:rPr>
                <w:color w:val="auto"/>
                <w:highlight w:val="none"/>
              </w:rPr>
              <w:t>液态有毒有害物质经地表径流或雨水管进入周边水体，或通过地表下渗污染地下水水质，严重污染河涌、水道水质，比如，液态有毒有害物质在运输、装卸、储存和使用过程中发生泄漏，危险废物仓库防渗层损坏等，对地表水、地下水环境带来较为严重的污染。本项目液态化学品均储存在厂房设置的化学品仓内，且出入口处设置围堰围挡，物料随用随取，不使用时密闭封存，本项目厂区内均已进行地面硬化，厂界四周设置围墙围挡。因此，本项目地表水、地下水环境污染途径较少，且有对应防范措施。</w:t>
            </w:r>
          </w:p>
          <w:p w14:paraId="476EFA2B">
            <w:pPr>
              <w:pStyle w:val="20"/>
              <w:numPr>
                <w:ilvl w:val="3"/>
                <w:numId w:val="0"/>
              </w:numPr>
              <w:ind w:left="480" w:leftChars="200"/>
              <w:rPr>
                <w:color w:val="auto"/>
                <w:highlight w:val="none"/>
              </w:rPr>
            </w:pPr>
            <w:r>
              <w:rPr>
                <w:color w:val="auto"/>
                <w:highlight w:val="none"/>
              </w:rPr>
              <w:t>5、环境风险防范措施及应急要求</w:t>
            </w:r>
          </w:p>
          <w:p w14:paraId="1A1C9890">
            <w:pPr>
              <w:pStyle w:val="22"/>
              <w:numPr>
                <w:ilvl w:val="5"/>
                <w:numId w:val="0"/>
              </w:numPr>
              <w:ind w:firstLine="480" w:firstLineChars="200"/>
              <w:rPr>
                <w:color w:val="auto"/>
                <w:highlight w:val="none"/>
              </w:rPr>
            </w:pPr>
            <w:r>
              <w:rPr>
                <w:color w:val="auto"/>
                <w:highlight w:val="none"/>
              </w:rPr>
              <w:t>①严格执行应急管理、消防等相关规范，从总图布置和建筑安全方面进行风险防范，预留疏散通道或安置场所。</w:t>
            </w:r>
          </w:p>
          <w:p w14:paraId="2363CC78">
            <w:pPr>
              <w:pStyle w:val="22"/>
              <w:numPr>
                <w:ilvl w:val="5"/>
                <w:numId w:val="0"/>
              </w:numPr>
              <w:ind w:firstLine="480" w:firstLineChars="200"/>
              <w:rPr>
                <w:color w:val="auto"/>
                <w:highlight w:val="none"/>
              </w:rPr>
            </w:pPr>
            <w:r>
              <w:rPr>
                <w:color w:val="auto"/>
                <w:highlight w:val="none"/>
              </w:rPr>
              <w:t>②从优化改进生产工艺、减少储存量、改善储存条件等方面降低风险程度。</w:t>
            </w:r>
          </w:p>
          <w:p w14:paraId="650C75C3">
            <w:pPr>
              <w:pStyle w:val="22"/>
              <w:numPr>
                <w:ilvl w:val="5"/>
                <w:numId w:val="0"/>
              </w:numPr>
              <w:ind w:firstLine="480" w:firstLineChars="200"/>
              <w:rPr>
                <w:color w:val="auto"/>
                <w:highlight w:val="none"/>
              </w:rPr>
            </w:pPr>
            <w:r>
              <w:rPr>
                <w:color w:val="auto"/>
                <w:highlight w:val="none"/>
              </w:rPr>
              <w:t>③加强日常管理，降低管理失误而出现的风险事故，提高员工规范性操作水平，减少误操作引发的风险事故。</w:t>
            </w:r>
          </w:p>
          <w:p w14:paraId="5D2F4A7C">
            <w:pPr>
              <w:pStyle w:val="22"/>
              <w:numPr>
                <w:ilvl w:val="5"/>
                <w:numId w:val="0"/>
              </w:numPr>
              <w:ind w:firstLine="480" w:firstLineChars="200"/>
              <w:rPr>
                <w:color w:val="auto"/>
                <w:highlight w:val="none"/>
              </w:rPr>
            </w:pPr>
            <w:r>
              <w:rPr>
                <w:color w:val="auto"/>
                <w:highlight w:val="none"/>
              </w:rPr>
              <w:t>④根据贮存的相关要求进行贮存、使用，设置满足要求的围堰区。遵循“源头控制，分区防渗”的原则，做好仓库、车间、危废暂存间的防渗措施，满足相应标准要求。危废间在建筑物内部，达到防风防雨防晒要求，地面硬化并刷环氧树脂漆防渗，四周设置围堰，满足四防要求。</w:t>
            </w:r>
          </w:p>
          <w:p w14:paraId="387431FE">
            <w:pPr>
              <w:ind w:firstLine="480" w:firstLineChars="200"/>
              <w:rPr>
                <w:color w:val="auto"/>
                <w:highlight w:val="none"/>
              </w:rPr>
            </w:pPr>
            <w:r>
              <w:rPr>
                <w:color w:val="auto"/>
                <w:highlight w:val="none"/>
              </w:rPr>
              <w:t>项目风险防范措施详见下表：</w:t>
            </w:r>
          </w:p>
          <w:p w14:paraId="5654E55A">
            <w:pPr>
              <w:pStyle w:val="2"/>
              <w:tabs>
                <w:tab w:val="left" w:pos="0"/>
              </w:tabs>
              <w:ind w:firstLine="40"/>
              <w:jc w:val="center"/>
              <w:rPr>
                <w:rFonts w:ascii="Times New Roman" w:cs="Times New Roman"/>
                <w:b/>
                <w:bCs/>
                <w:color w:val="auto"/>
                <w:sz w:val="21"/>
                <w:szCs w:val="21"/>
                <w:highlight w:val="none"/>
              </w:rPr>
            </w:pPr>
            <w:r>
              <w:rPr>
                <w:rFonts w:ascii="Times New Roman" w:cs="Times New Roman"/>
                <w:b/>
                <w:bCs/>
                <w:color w:val="auto"/>
                <w:sz w:val="21"/>
                <w:szCs w:val="21"/>
                <w:highlight w:val="none"/>
              </w:rPr>
              <w:t>表4-</w:t>
            </w:r>
            <w:r>
              <w:rPr>
                <w:rFonts w:hint="eastAsia" w:ascii="Times New Roman" w:cs="Times New Roman"/>
                <w:b/>
                <w:bCs/>
                <w:color w:val="auto"/>
                <w:sz w:val="21"/>
                <w:szCs w:val="21"/>
                <w:highlight w:val="none"/>
              </w:rPr>
              <w:t>3</w:t>
            </w:r>
            <w:r>
              <w:rPr>
                <w:rFonts w:hint="eastAsia" w:ascii="Times New Roman" w:cs="Times New Roman"/>
                <w:b/>
                <w:bCs/>
                <w:color w:val="auto"/>
                <w:sz w:val="21"/>
                <w:szCs w:val="21"/>
                <w:highlight w:val="none"/>
                <w:lang w:val="en-US" w:eastAsia="zh-CN"/>
              </w:rPr>
              <w:t>1</w:t>
            </w:r>
            <w:r>
              <w:rPr>
                <w:rFonts w:hint="eastAsia" w:ascii="Times New Roman" w:cs="Times New Roman"/>
                <w:b/>
                <w:bCs/>
                <w:color w:val="auto"/>
                <w:sz w:val="21"/>
                <w:szCs w:val="21"/>
                <w:highlight w:val="none"/>
              </w:rPr>
              <w:t xml:space="preserve"> </w:t>
            </w:r>
            <w:r>
              <w:rPr>
                <w:rFonts w:ascii="Times New Roman" w:cs="Times New Roman"/>
                <w:b/>
                <w:bCs/>
                <w:color w:val="auto"/>
                <w:sz w:val="21"/>
                <w:szCs w:val="21"/>
                <w:highlight w:val="none"/>
              </w:rPr>
              <w:t>项目风险防范措施一览表</w:t>
            </w: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082"/>
              <w:gridCol w:w="4043"/>
              <w:gridCol w:w="3352"/>
            </w:tblGrid>
            <w:tr w14:paraId="1EF3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5" w:type="pct"/>
                  <w:gridSpan w:val="2"/>
                  <w:vAlign w:val="center"/>
                </w:tcPr>
                <w:p w14:paraId="07594B55">
                  <w:pPr>
                    <w:pStyle w:val="56"/>
                    <w:spacing w:line="240" w:lineRule="auto"/>
                    <w:ind w:left="0"/>
                    <w:jc w:val="center"/>
                    <w:rPr>
                      <w:rFonts w:ascii="Times New Roman" w:cs="Times New Roman"/>
                      <w:color w:val="auto"/>
                      <w:sz w:val="21"/>
                      <w:szCs w:val="21"/>
                      <w:highlight w:val="none"/>
                    </w:rPr>
                  </w:pPr>
                  <w:r>
                    <w:rPr>
                      <w:rFonts w:ascii="Times New Roman" w:cs="Times New Roman"/>
                      <w:color w:val="auto"/>
                      <w:sz w:val="21"/>
                      <w:szCs w:val="21"/>
                      <w:highlight w:val="none"/>
                    </w:rPr>
                    <w:t>环境风险因素</w:t>
                  </w:r>
                </w:p>
              </w:tc>
              <w:tc>
                <w:tcPr>
                  <w:tcW w:w="2216" w:type="pct"/>
                  <w:vAlign w:val="center"/>
                </w:tcPr>
                <w:p w14:paraId="2D304574">
                  <w:pPr>
                    <w:pStyle w:val="56"/>
                    <w:spacing w:line="240" w:lineRule="auto"/>
                    <w:ind w:left="0"/>
                    <w:jc w:val="center"/>
                    <w:rPr>
                      <w:rFonts w:ascii="Times New Roman" w:cs="Times New Roman"/>
                      <w:color w:val="auto"/>
                      <w:sz w:val="21"/>
                      <w:szCs w:val="21"/>
                      <w:highlight w:val="none"/>
                    </w:rPr>
                  </w:pPr>
                  <w:r>
                    <w:rPr>
                      <w:rFonts w:ascii="Times New Roman" w:cs="Times New Roman"/>
                      <w:color w:val="auto"/>
                      <w:sz w:val="21"/>
                      <w:szCs w:val="21"/>
                      <w:highlight w:val="none"/>
                    </w:rPr>
                    <w:t>环境风险影响</w:t>
                  </w:r>
                </w:p>
              </w:tc>
              <w:tc>
                <w:tcPr>
                  <w:tcW w:w="1837" w:type="pct"/>
                  <w:vAlign w:val="center"/>
                </w:tcPr>
                <w:p w14:paraId="13152A33">
                  <w:pPr>
                    <w:pStyle w:val="56"/>
                    <w:spacing w:line="240" w:lineRule="auto"/>
                    <w:ind w:left="0"/>
                    <w:jc w:val="center"/>
                    <w:rPr>
                      <w:rFonts w:ascii="Times New Roman" w:cs="Times New Roman"/>
                      <w:color w:val="auto"/>
                      <w:sz w:val="21"/>
                      <w:szCs w:val="21"/>
                      <w:highlight w:val="none"/>
                    </w:rPr>
                  </w:pPr>
                  <w:r>
                    <w:rPr>
                      <w:rFonts w:ascii="Times New Roman" w:cs="Times New Roman"/>
                      <w:color w:val="auto"/>
                      <w:sz w:val="21"/>
                      <w:szCs w:val="21"/>
                      <w:highlight w:val="none"/>
                    </w:rPr>
                    <w:t>风险防范措施</w:t>
                  </w:r>
                </w:p>
              </w:tc>
            </w:tr>
            <w:tr w14:paraId="706C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2" w:type="pct"/>
                  <w:vMerge w:val="restart"/>
                  <w:vAlign w:val="center"/>
                </w:tcPr>
                <w:p w14:paraId="39F480DF">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储运工程</w:t>
                  </w:r>
                </w:p>
              </w:tc>
              <w:tc>
                <w:tcPr>
                  <w:tcW w:w="593" w:type="pct"/>
                  <w:vAlign w:val="center"/>
                </w:tcPr>
                <w:p w14:paraId="58DEDD92">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原辅材料泄漏</w:t>
                  </w:r>
                </w:p>
              </w:tc>
              <w:tc>
                <w:tcPr>
                  <w:tcW w:w="2216" w:type="pct"/>
                  <w:vAlign w:val="center"/>
                </w:tcPr>
                <w:p w14:paraId="069A0846">
                  <w:pPr>
                    <w:pStyle w:val="56"/>
                    <w:spacing w:line="240" w:lineRule="auto"/>
                    <w:ind w:left="0"/>
                    <w:jc w:val="center"/>
                    <w:rPr>
                      <w:rFonts w:ascii="Times New Roman" w:cs="Times New Roman"/>
                      <w:b w:val="0"/>
                      <w:bCs w:val="0"/>
                      <w:color w:val="auto"/>
                      <w:sz w:val="21"/>
                      <w:szCs w:val="21"/>
                      <w:highlight w:val="none"/>
                    </w:rPr>
                  </w:pPr>
                  <w:r>
                    <w:rPr>
                      <w:rFonts w:hint="eastAsia" w:ascii="Times New Roman" w:cs="Times New Roman"/>
                      <w:b w:val="0"/>
                      <w:bCs w:val="0"/>
                      <w:color w:val="auto"/>
                      <w:sz w:val="21"/>
                      <w:szCs w:val="21"/>
                      <w:highlight w:val="none"/>
                    </w:rPr>
                    <w:t>机油、柴油、硫酸</w:t>
                  </w:r>
                  <w:r>
                    <w:rPr>
                      <w:rFonts w:ascii="Times New Roman" w:cs="Times New Roman"/>
                      <w:b w:val="0"/>
                      <w:bCs w:val="0"/>
                      <w:color w:val="auto"/>
                      <w:sz w:val="21"/>
                      <w:szCs w:val="21"/>
                      <w:highlight w:val="none"/>
                    </w:rPr>
                    <w:t>等物质在存储、使用、转运过程中</w:t>
                  </w:r>
                </w:p>
              </w:tc>
              <w:tc>
                <w:tcPr>
                  <w:tcW w:w="1837" w:type="pct"/>
                  <w:vAlign w:val="center"/>
                </w:tcPr>
                <w:p w14:paraId="43F40F38">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原料区中用于储存危险化学品的化学品仓进行重点防渗，并设置围堰，其余区域作一般防渗，安全操作；配备一定的环境应急物资</w:t>
                  </w:r>
                </w:p>
              </w:tc>
            </w:tr>
            <w:tr w14:paraId="47FC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2" w:type="pct"/>
                  <w:vMerge w:val="continue"/>
                  <w:vAlign w:val="center"/>
                </w:tcPr>
                <w:p w14:paraId="70C42037">
                  <w:pPr>
                    <w:pStyle w:val="56"/>
                    <w:spacing w:line="240" w:lineRule="auto"/>
                    <w:jc w:val="center"/>
                    <w:rPr>
                      <w:rFonts w:ascii="Times New Roman" w:cs="Times New Roman"/>
                      <w:b w:val="0"/>
                      <w:bCs w:val="0"/>
                      <w:color w:val="auto"/>
                      <w:sz w:val="21"/>
                      <w:szCs w:val="21"/>
                      <w:highlight w:val="none"/>
                    </w:rPr>
                  </w:pPr>
                </w:p>
              </w:tc>
              <w:tc>
                <w:tcPr>
                  <w:tcW w:w="593" w:type="pct"/>
                  <w:vAlign w:val="center"/>
                </w:tcPr>
                <w:p w14:paraId="424BA5B5">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危险废物泄漏</w:t>
                  </w:r>
                </w:p>
              </w:tc>
              <w:tc>
                <w:tcPr>
                  <w:tcW w:w="2216" w:type="pct"/>
                  <w:vAlign w:val="center"/>
                </w:tcPr>
                <w:p w14:paraId="5914A89A">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危险废物在存储、转运过程中发生泄漏事件，导致项目有毒有害物质经地表径流或雨水管道进入周边水体或通过地表下渗污染地下水水质</w:t>
                  </w:r>
                </w:p>
              </w:tc>
              <w:tc>
                <w:tcPr>
                  <w:tcW w:w="1837" w:type="pct"/>
                  <w:vAlign w:val="center"/>
                </w:tcPr>
                <w:p w14:paraId="460BC87E">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危废间进行重点防渗，安全操作配备一定的环境应急物资</w:t>
                  </w:r>
                </w:p>
              </w:tc>
            </w:tr>
            <w:tr w14:paraId="05DE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2" w:type="pct"/>
                  <w:vMerge w:val="restart"/>
                  <w:vAlign w:val="center"/>
                </w:tcPr>
                <w:p w14:paraId="051095D1">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环保工程</w:t>
                  </w:r>
                </w:p>
              </w:tc>
              <w:tc>
                <w:tcPr>
                  <w:tcW w:w="593" w:type="pct"/>
                  <w:vAlign w:val="center"/>
                </w:tcPr>
                <w:p w14:paraId="492454DA">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废气处理措施故障</w:t>
                  </w:r>
                </w:p>
              </w:tc>
              <w:tc>
                <w:tcPr>
                  <w:tcW w:w="2216" w:type="pct"/>
                  <w:vAlign w:val="center"/>
                </w:tcPr>
                <w:p w14:paraId="381E73CA">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废气超标排放，影响区域大气环境</w:t>
                  </w:r>
                </w:p>
              </w:tc>
              <w:tc>
                <w:tcPr>
                  <w:tcW w:w="1837" w:type="pct"/>
                  <w:vAlign w:val="center"/>
                </w:tcPr>
                <w:p w14:paraId="2CDAC80E">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定期进行检修，及时排除故障，废气处理设施故障时及时停产检修</w:t>
                  </w:r>
                </w:p>
              </w:tc>
            </w:tr>
            <w:tr w14:paraId="1D6D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2" w:type="pct"/>
                  <w:vMerge w:val="continue"/>
                  <w:vAlign w:val="center"/>
                </w:tcPr>
                <w:p w14:paraId="779C3F22">
                  <w:pPr>
                    <w:pStyle w:val="56"/>
                    <w:spacing w:line="240" w:lineRule="auto"/>
                    <w:jc w:val="center"/>
                    <w:rPr>
                      <w:rFonts w:ascii="Times New Roman" w:cs="Times New Roman"/>
                      <w:b w:val="0"/>
                      <w:bCs w:val="0"/>
                      <w:color w:val="auto"/>
                      <w:sz w:val="21"/>
                      <w:szCs w:val="21"/>
                      <w:highlight w:val="none"/>
                    </w:rPr>
                  </w:pPr>
                </w:p>
              </w:tc>
              <w:tc>
                <w:tcPr>
                  <w:tcW w:w="593" w:type="pct"/>
                  <w:vAlign w:val="center"/>
                </w:tcPr>
                <w:p w14:paraId="2AB6397C">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废水处理措施故障</w:t>
                  </w:r>
                </w:p>
              </w:tc>
              <w:tc>
                <w:tcPr>
                  <w:tcW w:w="2216" w:type="pct"/>
                  <w:vAlign w:val="center"/>
                </w:tcPr>
                <w:p w14:paraId="7976B31F">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废水超标排放，影响地表水环境；发生泄漏事故，导致废水经地表径流或雨水管道进入周边水体或通过地表下渗污染地下水水质</w:t>
                  </w:r>
                </w:p>
              </w:tc>
              <w:tc>
                <w:tcPr>
                  <w:tcW w:w="1837" w:type="pct"/>
                  <w:vAlign w:val="center"/>
                </w:tcPr>
                <w:p w14:paraId="5C4888C1">
                  <w:pPr>
                    <w:pStyle w:val="56"/>
                    <w:spacing w:line="240" w:lineRule="auto"/>
                    <w:ind w:left="0"/>
                    <w:jc w:val="center"/>
                    <w:rPr>
                      <w:rFonts w:ascii="Times New Roman" w:cs="Times New Roman"/>
                      <w:b w:val="0"/>
                      <w:bCs w:val="0"/>
                      <w:color w:val="auto"/>
                      <w:sz w:val="21"/>
                      <w:szCs w:val="21"/>
                      <w:highlight w:val="none"/>
                    </w:rPr>
                  </w:pPr>
                  <w:r>
                    <w:rPr>
                      <w:rFonts w:ascii="Times New Roman" w:cs="Times New Roman"/>
                      <w:b w:val="0"/>
                      <w:bCs w:val="0"/>
                      <w:color w:val="auto"/>
                      <w:sz w:val="21"/>
                      <w:szCs w:val="21"/>
                      <w:highlight w:val="none"/>
                    </w:rPr>
                    <w:t>定期进行检修，及时排除故障，废水处理设施故障时及时停产检修。</w:t>
                  </w:r>
                </w:p>
              </w:tc>
            </w:tr>
          </w:tbl>
          <w:p w14:paraId="49E0B2F8">
            <w:pPr>
              <w:pStyle w:val="56"/>
              <w:ind w:left="0" w:firstLine="480" w:firstLineChars="200"/>
              <w:rPr>
                <w:rFonts w:ascii="Times New Roman" w:cs="Times New Roman"/>
                <w:color w:val="auto"/>
                <w:sz w:val="24"/>
                <w:szCs w:val="24"/>
                <w:highlight w:val="none"/>
              </w:rPr>
            </w:pPr>
            <w:r>
              <w:rPr>
                <w:rFonts w:ascii="Times New Roman" w:cs="Times New Roman"/>
                <w:b w:val="0"/>
                <w:bCs w:val="0"/>
                <w:color w:val="auto"/>
                <w:sz w:val="24"/>
                <w:szCs w:val="21"/>
                <w:highlight w:val="none"/>
              </w:rPr>
              <w:t>⑤事故应急池：</w:t>
            </w:r>
          </w:p>
          <w:p w14:paraId="064D29BE">
            <w:pPr>
              <w:pStyle w:val="20"/>
              <w:numPr>
                <w:ilvl w:val="3"/>
                <w:numId w:val="0"/>
              </w:numPr>
              <w:ind w:firstLine="480" w:firstLineChars="200"/>
              <w:rPr>
                <w:b w:val="0"/>
                <w:bCs w:val="0"/>
                <w:color w:val="auto"/>
                <w:szCs w:val="24"/>
                <w:highlight w:val="none"/>
              </w:rPr>
            </w:pPr>
            <w:r>
              <w:rPr>
                <w:b w:val="0"/>
                <w:bCs w:val="0"/>
                <w:color w:val="auto"/>
                <w:szCs w:val="24"/>
                <w:highlight w:val="none"/>
              </w:rPr>
              <w:t>本项目设有1个有效容积为350m</w:t>
            </w:r>
            <w:r>
              <w:rPr>
                <w:b w:val="0"/>
                <w:bCs w:val="0"/>
                <w:color w:val="auto"/>
                <w:szCs w:val="24"/>
                <w:highlight w:val="none"/>
                <w:vertAlign w:val="superscript"/>
              </w:rPr>
              <w:t>3</w:t>
            </w:r>
            <w:r>
              <w:rPr>
                <w:b w:val="0"/>
                <w:bCs w:val="0"/>
                <w:color w:val="auto"/>
                <w:szCs w:val="24"/>
                <w:highlight w:val="none"/>
              </w:rPr>
              <w:t>的事故应急池</w:t>
            </w:r>
            <w:r>
              <w:rPr>
                <w:rFonts w:hint="eastAsia"/>
                <w:b w:val="0"/>
                <w:bCs w:val="0"/>
                <w:color w:val="auto"/>
                <w:szCs w:val="24"/>
                <w:highlight w:val="none"/>
              </w:rPr>
              <w:t>，大于所需的事故储存设施总有效容积</w:t>
            </w:r>
            <w:r>
              <w:rPr>
                <w:b w:val="0"/>
                <w:bCs w:val="0"/>
                <w:color w:val="auto"/>
                <w:szCs w:val="24"/>
                <w:highlight w:val="none"/>
              </w:rPr>
              <w:t>，且本项目厂房设有围堰及沙包等应急措施及物资。当发生事故时，泄漏物料、消防废水等事故废水均能截留在厂区内。园区定期对事故应急系统进行排查，发现存在问题，马上进行检修，确保事故时能有效运行。</w:t>
            </w:r>
          </w:p>
          <w:p w14:paraId="5D29C967">
            <w:pPr>
              <w:pStyle w:val="20"/>
              <w:numPr>
                <w:ilvl w:val="3"/>
                <w:numId w:val="0"/>
              </w:numPr>
              <w:ind w:firstLine="480" w:firstLineChars="200"/>
              <w:rPr>
                <w:b w:val="0"/>
                <w:bCs w:val="0"/>
                <w:color w:val="auto"/>
                <w:szCs w:val="24"/>
                <w:highlight w:val="none"/>
              </w:rPr>
            </w:pPr>
            <w:r>
              <w:rPr>
                <w:rFonts w:hint="eastAsia"/>
                <w:b w:val="0"/>
                <w:bCs w:val="0"/>
                <w:color w:val="auto"/>
                <w:szCs w:val="24"/>
                <w:highlight w:val="none"/>
              </w:rPr>
              <w:t>经前文分析，本项目进入废水处理站的生产废水量为203.32m</w:t>
            </w:r>
            <w:r>
              <w:rPr>
                <w:rFonts w:hint="eastAsia"/>
                <w:b w:val="0"/>
                <w:bCs w:val="0"/>
                <w:color w:val="auto"/>
                <w:szCs w:val="24"/>
                <w:highlight w:val="none"/>
                <w:vertAlign w:val="superscript"/>
              </w:rPr>
              <w:t>3</w:t>
            </w:r>
            <w:r>
              <w:rPr>
                <w:rFonts w:hint="eastAsia"/>
                <w:b w:val="0"/>
                <w:bCs w:val="0"/>
                <w:color w:val="auto"/>
                <w:szCs w:val="24"/>
                <w:highlight w:val="none"/>
              </w:rPr>
              <w:t>/d（24h）＜350m</w:t>
            </w:r>
            <w:r>
              <w:rPr>
                <w:rFonts w:hint="eastAsia"/>
                <w:b w:val="0"/>
                <w:bCs w:val="0"/>
                <w:color w:val="auto"/>
                <w:szCs w:val="24"/>
                <w:highlight w:val="none"/>
                <w:vertAlign w:val="superscript"/>
              </w:rPr>
              <w:t>3</w:t>
            </w:r>
            <w:r>
              <w:rPr>
                <w:rFonts w:hint="eastAsia"/>
                <w:b w:val="0"/>
                <w:bCs w:val="0"/>
                <w:color w:val="auto"/>
                <w:szCs w:val="24"/>
                <w:highlight w:val="none"/>
              </w:rPr>
              <w:t>，本项目设置的应急事故水池的容积满足要求。</w:t>
            </w:r>
          </w:p>
          <w:p w14:paraId="46A65F07">
            <w:pPr>
              <w:ind w:firstLine="480" w:firstLineChars="200"/>
              <w:rPr>
                <w:color w:val="auto"/>
                <w:highlight w:val="none"/>
              </w:rPr>
            </w:pPr>
            <w:r>
              <w:rPr>
                <w:color w:val="auto"/>
                <w:highlight w:val="none"/>
              </w:rPr>
              <w:t>综上，本项目设置的应急事故水池是合理的。采取以上措施后，只要严格按照事故应急预案进行处置，一般可认为此类事故对环境的影响不大。为了防止事故状态下事故废水排入地表水体中，企业必须严格执行环境风险防控措施，并加强环境管理，确保发生事故时事故废水可控制在厂区范围内。</w:t>
            </w:r>
          </w:p>
          <w:p w14:paraId="0E268A81">
            <w:pPr>
              <w:pStyle w:val="20"/>
              <w:numPr>
                <w:ilvl w:val="3"/>
                <w:numId w:val="0"/>
              </w:numPr>
              <w:ind w:left="480" w:leftChars="200"/>
              <w:rPr>
                <w:color w:val="auto"/>
                <w:highlight w:val="none"/>
              </w:rPr>
            </w:pPr>
            <w:r>
              <w:rPr>
                <w:color w:val="auto"/>
                <w:highlight w:val="none"/>
              </w:rPr>
              <w:t>6、项目制定突发环境事件应急措施</w:t>
            </w:r>
          </w:p>
          <w:p w14:paraId="42265956">
            <w:pPr>
              <w:pStyle w:val="2"/>
              <w:ind w:firstLine="480" w:firstLineChars="200"/>
              <w:rPr>
                <w:rFonts w:ascii="Times New Roman" w:cs="Times New Roman"/>
                <w:color w:val="auto"/>
                <w:highlight w:val="none"/>
              </w:rPr>
            </w:pPr>
            <w:r>
              <w:rPr>
                <w:rFonts w:ascii="Times New Roman" w:cs="Times New Roman"/>
                <w:color w:val="auto"/>
                <w:highlight w:val="none"/>
              </w:rPr>
              <w:t>为有效防范突发环境事件的发生，及时、合理处置可能发生的各类重大、特大环境污染事故，保障人民群众身心健康及正常生产、生活活动，本项目应依据《中华人民共和国环境保护法》及相关法律的规定，制定本项目的应急预案，详见下表突发事故应急预案要点。</w:t>
            </w:r>
          </w:p>
          <w:p w14:paraId="0BDA7207">
            <w:pPr>
              <w:tabs>
                <w:tab w:val="left" w:pos="0"/>
              </w:tabs>
              <w:ind w:firstLine="40"/>
              <w:jc w:val="center"/>
              <w:rPr>
                <w:b/>
                <w:bCs/>
                <w:color w:val="auto"/>
                <w:kern w:val="0"/>
                <w:sz w:val="21"/>
                <w:szCs w:val="21"/>
                <w:highlight w:val="none"/>
              </w:rPr>
            </w:pPr>
            <w:r>
              <w:rPr>
                <w:b/>
                <w:bCs/>
                <w:color w:val="auto"/>
                <w:kern w:val="0"/>
                <w:sz w:val="21"/>
                <w:szCs w:val="21"/>
                <w:highlight w:val="none"/>
              </w:rPr>
              <w:t>表4-</w:t>
            </w:r>
            <w:r>
              <w:rPr>
                <w:rFonts w:hint="eastAsia"/>
                <w:b/>
                <w:bCs/>
                <w:color w:val="auto"/>
                <w:kern w:val="0"/>
                <w:sz w:val="21"/>
                <w:szCs w:val="21"/>
                <w:highlight w:val="none"/>
              </w:rPr>
              <w:t>3</w:t>
            </w:r>
            <w:r>
              <w:rPr>
                <w:rFonts w:hint="eastAsia"/>
                <w:b/>
                <w:bCs/>
                <w:color w:val="auto"/>
                <w:kern w:val="0"/>
                <w:sz w:val="21"/>
                <w:szCs w:val="21"/>
                <w:highlight w:val="none"/>
                <w:lang w:val="en-US" w:eastAsia="zh-CN"/>
              </w:rPr>
              <w:t>2</w:t>
            </w:r>
            <w:r>
              <w:rPr>
                <w:rFonts w:hint="eastAsia"/>
                <w:b/>
                <w:bCs/>
                <w:color w:val="auto"/>
                <w:kern w:val="0"/>
                <w:sz w:val="21"/>
                <w:szCs w:val="21"/>
                <w:highlight w:val="none"/>
              </w:rPr>
              <w:t xml:space="preserve"> </w:t>
            </w:r>
            <w:r>
              <w:rPr>
                <w:b/>
                <w:bCs/>
                <w:color w:val="auto"/>
                <w:kern w:val="0"/>
                <w:sz w:val="21"/>
                <w:szCs w:val="21"/>
                <w:highlight w:val="none"/>
              </w:rPr>
              <w:t>突发环境事件应急预案表</w:t>
            </w:r>
          </w:p>
          <w:tbl>
            <w:tblPr>
              <w:tblStyle w:val="49"/>
              <w:tblW w:w="4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175"/>
              <w:gridCol w:w="6157"/>
            </w:tblGrid>
            <w:tr w14:paraId="3234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360" w:type="pct"/>
                  <w:vAlign w:val="center"/>
                </w:tcPr>
                <w:p w14:paraId="00BDB741">
                  <w:pPr>
                    <w:spacing w:line="276" w:lineRule="auto"/>
                    <w:jc w:val="center"/>
                    <w:rPr>
                      <w:b/>
                      <w:bCs/>
                      <w:color w:val="auto"/>
                      <w:sz w:val="21"/>
                      <w:szCs w:val="21"/>
                      <w:highlight w:val="none"/>
                    </w:rPr>
                  </w:pPr>
                  <w:r>
                    <w:rPr>
                      <w:b/>
                      <w:bCs/>
                      <w:color w:val="auto"/>
                      <w:sz w:val="21"/>
                      <w:szCs w:val="21"/>
                      <w:highlight w:val="none"/>
                    </w:rPr>
                    <w:t>序号</w:t>
                  </w:r>
                </w:p>
              </w:tc>
              <w:tc>
                <w:tcPr>
                  <w:tcW w:w="1211" w:type="pct"/>
                  <w:vAlign w:val="center"/>
                </w:tcPr>
                <w:p w14:paraId="24FD1F24">
                  <w:pPr>
                    <w:spacing w:line="276" w:lineRule="auto"/>
                    <w:jc w:val="center"/>
                    <w:rPr>
                      <w:b/>
                      <w:bCs/>
                      <w:color w:val="auto"/>
                      <w:sz w:val="21"/>
                      <w:szCs w:val="21"/>
                      <w:highlight w:val="none"/>
                    </w:rPr>
                  </w:pPr>
                  <w:r>
                    <w:rPr>
                      <w:b/>
                      <w:bCs/>
                      <w:color w:val="auto"/>
                      <w:sz w:val="21"/>
                      <w:szCs w:val="21"/>
                      <w:highlight w:val="none"/>
                    </w:rPr>
                    <w:t>项目</w:t>
                  </w:r>
                </w:p>
              </w:tc>
              <w:tc>
                <w:tcPr>
                  <w:tcW w:w="3428" w:type="pct"/>
                  <w:vAlign w:val="center"/>
                </w:tcPr>
                <w:p w14:paraId="50CE5DB8">
                  <w:pPr>
                    <w:spacing w:line="276" w:lineRule="auto"/>
                    <w:jc w:val="center"/>
                    <w:rPr>
                      <w:b/>
                      <w:bCs/>
                      <w:color w:val="auto"/>
                      <w:sz w:val="21"/>
                      <w:szCs w:val="21"/>
                      <w:highlight w:val="none"/>
                    </w:rPr>
                  </w:pPr>
                  <w:r>
                    <w:rPr>
                      <w:b/>
                      <w:bCs/>
                      <w:color w:val="auto"/>
                      <w:sz w:val="21"/>
                      <w:szCs w:val="21"/>
                      <w:highlight w:val="none"/>
                    </w:rPr>
                    <w:t>内容及要求</w:t>
                  </w:r>
                </w:p>
              </w:tc>
            </w:tr>
            <w:tr w14:paraId="717C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360" w:type="pct"/>
                  <w:vAlign w:val="center"/>
                </w:tcPr>
                <w:p w14:paraId="7D627B40">
                  <w:pPr>
                    <w:spacing w:line="276" w:lineRule="auto"/>
                    <w:jc w:val="center"/>
                    <w:rPr>
                      <w:color w:val="auto"/>
                      <w:sz w:val="21"/>
                      <w:szCs w:val="21"/>
                      <w:highlight w:val="none"/>
                    </w:rPr>
                  </w:pPr>
                  <w:r>
                    <w:rPr>
                      <w:color w:val="auto"/>
                      <w:sz w:val="21"/>
                      <w:szCs w:val="21"/>
                      <w:highlight w:val="none"/>
                    </w:rPr>
                    <w:t>1</w:t>
                  </w:r>
                </w:p>
              </w:tc>
              <w:tc>
                <w:tcPr>
                  <w:tcW w:w="1211" w:type="pct"/>
                  <w:vAlign w:val="center"/>
                </w:tcPr>
                <w:p w14:paraId="7D5950DE">
                  <w:pPr>
                    <w:spacing w:line="276" w:lineRule="auto"/>
                    <w:jc w:val="center"/>
                    <w:rPr>
                      <w:color w:val="auto"/>
                      <w:sz w:val="21"/>
                      <w:szCs w:val="21"/>
                      <w:highlight w:val="none"/>
                    </w:rPr>
                  </w:pPr>
                  <w:r>
                    <w:rPr>
                      <w:color w:val="auto"/>
                      <w:sz w:val="21"/>
                      <w:szCs w:val="21"/>
                      <w:highlight w:val="none"/>
                    </w:rPr>
                    <w:t>应急组织机构、人员</w:t>
                  </w:r>
                </w:p>
              </w:tc>
              <w:tc>
                <w:tcPr>
                  <w:tcW w:w="3428" w:type="pct"/>
                  <w:vAlign w:val="center"/>
                </w:tcPr>
                <w:p w14:paraId="7687BDE4">
                  <w:pPr>
                    <w:spacing w:line="276" w:lineRule="auto"/>
                    <w:rPr>
                      <w:color w:val="auto"/>
                      <w:sz w:val="21"/>
                      <w:szCs w:val="21"/>
                      <w:highlight w:val="none"/>
                    </w:rPr>
                  </w:pPr>
                  <w:r>
                    <w:rPr>
                      <w:color w:val="auto"/>
                      <w:sz w:val="21"/>
                      <w:szCs w:val="21"/>
                      <w:highlight w:val="none"/>
                    </w:rPr>
                    <w:t>设立事故应急机构、人员由企业主要领导、安全负责人、环保负责人等主要人员组成</w:t>
                  </w:r>
                </w:p>
              </w:tc>
            </w:tr>
            <w:tr w14:paraId="62FD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360" w:type="pct"/>
                  <w:vAlign w:val="center"/>
                </w:tcPr>
                <w:p w14:paraId="65DAF7AD">
                  <w:pPr>
                    <w:spacing w:line="276" w:lineRule="auto"/>
                    <w:jc w:val="center"/>
                    <w:rPr>
                      <w:color w:val="auto"/>
                      <w:sz w:val="21"/>
                      <w:szCs w:val="21"/>
                      <w:highlight w:val="none"/>
                    </w:rPr>
                  </w:pPr>
                  <w:r>
                    <w:rPr>
                      <w:color w:val="auto"/>
                      <w:sz w:val="21"/>
                      <w:szCs w:val="21"/>
                      <w:highlight w:val="none"/>
                    </w:rPr>
                    <w:t>2</w:t>
                  </w:r>
                </w:p>
              </w:tc>
              <w:tc>
                <w:tcPr>
                  <w:tcW w:w="1211" w:type="pct"/>
                  <w:vAlign w:val="center"/>
                </w:tcPr>
                <w:p w14:paraId="37614172">
                  <w:pPr>
                    <w:spacing w:line="276" w:lineRule="auto"/>
                    <w:jc w:val="center"/>
                    <w:rPr>
                      <w:color w:val="auto"/>
                      <w:sz w:val="21"/>
                      <w:szCs w:val="21"/>
                      <w:highlight w:val="none"/>
                    </w:rPr>
                  </w:pPr>
                  <w:r>
                    <w:rPr>
                      <w:color w:val="auto"/>
                      <w:sz w:val="21"/>
                      <w:szCs w:val="21"/>
                      <w:highlight w:val="none"/>
                    </w:rPr>
                    <w:t>预案分级响应条件</w:t>
                  </w:r>
                </w:p>
              </w:tc>
              <w:tc>
                <w:tcPr>
                  <w:tcW w:w="3428" w:type="pct"/>
                  <w:vAlign w:val="center"/>
                </w:tcPr>
                <w:p w14:paraId="6D7A6B3B">
                  <w:pPr>
                    <w:spacing w:line="276" w:lineRule="auto"/>
                    <w:rPr>
                      <w:color w:val="auto"/>
                      <w:sz w:val="21"/>
                      <w:szCs w:val="21"/>
                      <w:highlight w:val="none"/>
                    </w:rPr>
                  </w:pPr>
                  <w:r>
                    <w:rPr>
                      <w:color w:val="auto"/>
                      <w:sz w:val="21"/>
                      <w:szCs w:val="21"/>
                      <w:highlight w:val="none"/>
                    </w:rPr>
                    <w:t>规定预案的级别及分级响应程序</w:t>
                  </w:r>
                </w:p>
              </w:tc>
            </w:tr>
            <w:tr w14:paraId="5673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0" w:type="pct"/>
                  <w:vAlign w:val="center"/>
                </w:tcPr>
                <w:p w14:paraId="414893E5">
                  <w:pPr>
                    <w:spacing w:line="276" w:lineRule="auto"/>
                    <w:jc w:val="center"/>
                    <w:rPr>
                      <w:color w:val="auto"/>
                      <w:sz w:val="21"/>
                      <w:szCs w:val="21"/>
                      <w:highlight w:val="none"/>
                    </w:rPr>
                  </w:pPr>
                  <w:r>
                    <w:rPr>
                      <w:color w:val="auto"/>
                      <w:sz w:val="21"/>
                      <w:szCs w:val="21"/>
                      <w:highlight w:val="none"/>
                    </w:rPr>
                    <w:t>3</w:t>
                  </w:r>
                </w:p>
              </w:tc>
              <w:tc>
                <w:tcPr>
                  <w:tcW w:w="1211" w:type="pct"/>
                  <w:vAlign w:val="center"/>
                </w:tcPr>
                <w:p w14:paraId="367BA8CA">
                  <w:pPr>
                    <w:spacing w:line="276" w:lineRule="auto"/>
                    <w:jc w:val="center"/>
                    <w:rPr>
                      <w:color w:val="auto"/>
                      <w:sz w:val="21"/>
                      <w:szCs w:val="21"/>
                      <w:highlight w:val="none"/>
                    </w:rPr>
                  </w:pPr>
                  <w:r>
                    <w:rPr>
                      <w:color w:val="auto"/>
                      <w:sz w:val="21"/>
                      <w:szCs w:val="21"/>
                      <w:highlight w:val="none"/>
                    </w:rPr>
                    <w:t>应急救援保障</w:t>
                  </w:r>
                </w:p>
              </w:tc>
              <w:tc>
                <w:tcPr>
                  <w:tcW w:w="3428" w:type="pct"/>
                  <w:vAlign w:val="center"/>
                </w:tcPr>
                <w:p w14:paraId="5C778ED4">
                  <w:pPr>
                    <w:spacing w:line="276" w:lineRule="auto"/>
                    <w:rPr>
                      <w:color w:val="auto"/>
                      <w:sz w:val="21"/>
                      <w:szCs w:val="21"/>
                      <w:highlight w:val="none"/>
                    </w:rPr>
                  </w:pPr>
                  <w:r>
                    <w:rPr>
                      <w:color w:val="auto"/>
                      <w:sz w:val="21"/>
                      <w:szCs w:val="21"/>
                      <w:highlight w:val="none"/>
                    </w:rPr>
                    <w:t>企业应配备必要的应急设施设备器材：事故易发的工作岗位配备必需的防护用品等</w:t>
                  </w:r>
                </w:p>
              </w:tc>
            </w:tr>
            <w:tr w14:paraId="06F4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360" w:type="pct"/>
                  <w:vAlign w:val="center"/>
                </w:tcPr>
                <w:p w14:paraId="0C7DEBCD">
                  <w:pPr>
                    <w:spacing w:line="276" w:lineRule="auto"/>
                    <w:jc w:val="center"/>
                    <w:rPr>
                      <w:color w:val="auto"/>
                      <w:sz w:val="21"/>
                      <w:szCs w:val="21"/>
                      <w:highlight w:val="none"/>
                    </w:rPr>
                  </w:pPr>
                  <w:r>
                    <w:rPr>
                      <w:color w:val="auto"/>
                      <w:sz w:val="21"/>
                      <w:szCs w:val="21"/>
                      <w:highlight w:val="none"/>
                    </w:rPr>
                    <w:t>4</w:t>
                  </w:r>
                </w:p>
              </w:tc>
              <w:tc>
                <w:tcPr>
                  <w:tcW w:w="1211" w:type="pct"/>
                  <w:vAlign w:val="center"/>
                </w:tcPr>
                <w:p w14:paraId="0DFB67FE">
                  <w:pPr>
                    <w:spacing w:line="276" w:lineRule="auto"/>
                    <w:jc w:val="center"/>
                    <w:rPr>
                      <w:color w:val="auto"/>
                      <w:sz w:val="21"/>
                      <w:szCs w:val="21"/>
                      <w:highlight w:val="none"/>
                    </w:rPr>
                  </w:pPr>
                  <w:r>
                    <w:rPr>
                      <w:color w:val="auto"/>
                      <w:sz w:val="21"/>
                      <w:szCs w:val="21"/>
                      <w:highlight w:val="none"/>
                    </w:rPr>
                    <w:t>报警、通讯联络方式</w:t>
                  </w:r>
                </w:p>
              </w:tc>
              <w:tc>
                <w:tcPr>
                  <w:tcW w:w="3428" w:type="pct"/>
                  <w:vAlign w:val="center"/>
                </w:tcPr>
                <w:p w14:paraId="0B7889FF">
                  <w:pPr>
                    <w:spacing w:line="276" w:lineRule="auto"/>
                    <w:rPr>
                      <w:color w:val="auto"/>
                      <w:sz w:val="21"/>
                      <w:szCs w:val="21"/>
                      <w:highlight w:val="none"/>
                    </w:rPr>
                  </w:pPr>
                  <w:r>
                    <w:rPr>
                      <w:color w:val="auto"/>
                      <w:sz w:val="21"/>
                      <w:szCs w:val="21"/>
                      <w:highlight w:val="none"/>
                    </w:rPr>
                    <w:t>建立专用的报警和通讯线路，保证指挥部人员与现场人员手机与信息交流的渠道畅通</w:t>
                  </w:r>
                </w:p>
              </w:tc>
            </w:tr>
            <w:tr w14:paraId="7BB8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360" w:type="pct"/>
                  <w:vAlign w:val="center"/>
                </w:tcPr>
                <w:p w14:paraId="38C14DFD">
                  <w:pPr>
                    <w:spacing w:line="276" w:lineRule="auto"/>
                    <w:jc w:val="center"/>
                    <w:rPr>
                      <w:color w:val="auto"/>
                      <w:sz w:val="21"/>
                      <w:szCs w:val="21"/>
                      <w:highlight w:val="none"/>
                    </w:rPr>
                  </w:pPr>
                  <w:r>
                    <w:rPr>
                      <w:color w:val="auto"/>
                      <w:sz w:val="21"/>
                      <w:szCs w:val="21"/>
                      <w:highlight w:val="none"/>
                    </w:rPr>
                    <w:t>5</w:t>
                  </w:r>
                </w:p>
              </w:tc>
              <w:tc>
                <w:tcPr>
                  <w:tcW w:w="1211" w:type="pct"/>
                  <w:vAlign w:val="center"/>
                </w:tcPr>
                <w:p w14:paraId="7AC83C56">
                  <w:pPr>
                    <w:spacing w:line="276" w:lineRule="auto"/>
                    <w:jc w:val="center"/>
                    <w:rPr>
                      <w:color w:val="auto"/>
                      <w:sz w:val="21"/>
                      <w:szCs w:val="21"/>
                      <w:highlight w:val="none"/>
                    </w:rPr>
                  </w:pPr>
                  <w:r>
                    <w:rPr>
                      <w:color w:val="auto"/>
                      <w:sz w:val="21"/>
                      <w:szCs w:val="21"/>
                      <w:highlight w:val="none"/>
                    </w:rPr>
                    <w:t>应急监测、抢险救援及控制措施</w:t>
                  </w:r>
                </w:p>
              </w:tc>
              <w:tc>
                <w:tcPr>
                  <w:tcW w:w="3428" w:type="pct"/>
                  <w:vAlign w:val="center"/>
                </w:tcPr>
                <w:p w14:paraId="6596FC80">
                  <w:pPr>
                    <w:spacing w:line="276" w:lineRule="auto"/>
                    <w:rPr>
                      <w:color w:val="auto"/>
                      <w:sz w:val="21"/>
                      <w:szCs w:val="21"/>
                      <w:highlight w:val="none"/>
                    </w:rPr>
                  </w:pPr>
                  <w:r>
                    <w:rPr>
                      <w:color w:val="auto"/>
                      <w:sz w:val="21"/>
                      <w:szCs w:val="21"/>
                      <w:highlight w:val="none"/>
                    </w:rPr>
                    <w:t>发生事故时，要保证现场的事故处理设施和全厂的应急处理系统能够紧急启动，并对事故产生的污染物进行有效的控制，同时启动当地的环境应急监测系统</w:t>
                  </w:r>
                </w:p>
              </w:tc>
            </w:tr>
            <w:tr w14:paraId="6541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360" w:type="pct"/>
                  <w:vAlign w:val="center"/>
                </w:tcPr>
                <w:p w14:paraId="18B72971">
                  <w:pPr>
                    <w:spacing w:line="276" w:lineRule="auto"/>
                    <w:jc w:val="center"/>
                    <w:rPr>
                      <w:color w:val="auto"/>
                      <w:sz w:val="21"/>
                      <w:szCs w:val="21"/>
                      <w:highlight w:val="none"/>
                    </w:rPr>
                  </w:pPr>
                  <w:r>
                    <w:rPr>
                      <w:color w:val="auto"/>
                      <w:sz w:val="21"/>
                      <w:szCs w:val="21"/>
                      <w:highlight w:val="none"/>
                    </w:rPr>
                    <w:t>6</w:t>
                  </w:r>
                </w:p>
              </w:tc>
              <w:tc>
                <w:tcPr>
                  <w:tcW w:w="1211" w:type="pct"/>
                  <w:vAlign w:val="center"/>
                </w:tcPr>
                <w:p w14:paraId="12500E1C">
                  <w:pPr>
                    <w:spacing w:line="276" w:lineRule="auto"/>
                    <w:jc w:val="center"/>
                    <w:rPr>
                      <w:color w:val="auto"/>
                      <w:sz w:val="21"/>
                      <w:szCs w:val="21"/>
                      <w:highlight w:val="none"/>
                    </w:rPr>
                  </w:pPr>
                  <w:r>
                    <w:rPr>
                      <w:color w:val="auto"/>
                      <w:sz w:val="21"/>
                      <w:szCs w:val="21"/>
                      <w:highlight w:val="none"/>
                    </w:rPr>
                    <w:t>应急监测、防护措施、泄漏措施和器材</w:t>
                  </w:r>
                </w:p>
              </w:tc>
              <w:tc>
                <w:tcPr>
                  <w:tcW w:w="3428" w:type="pct"/>
                  <w:vAlign w:val="center"/>
                </w:tcPr>
                <w:p w14:paraId="72B50A5D">
                  <w:pPr>
                    <w:spacing w:line="276" w:lineRule="auto"/>
                    <w:rPr>
                      <w:color w:val="auto"/>
                      <w:sz w:val="21"/>
                      <w:szCs w:val="21"/>
                      <w:highlight w:val="none"/>
                    </w:rPr>
                  </w:pPr>
                  <w:r>
                    <w:rPr>
                      <w:color w:val="auto"/>
                      <w:sz w:val="21"/>
                      <w:szCs w:val="21"/>
                      <w:highlight w:val="none"/>
                    </w:rPr>
                    <w:t>设立必要的控制和清除污染的相应措施。事故发生时，要及时发现事故发生地点和环节，并利用已有的防护措施减少污染物的排放</w:t>
                  </w:r>
                </w:p>
              </w:tc>
            </w:tr>
            <w:tr w14:paraId="5036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360" w:type="pct"/>
                  <w:vAlign w:val="center"/>
                </w:tcPr>
                <w:p w14:paraId="0FE2D77E">
                  <w:pPr>
                    <w:spacing w:line="276" w:lineRule="auto"/>
                    <w:jc w:val="center"/>
                    <w:rPr>
                      <w:color w:val="auto"/>
                      <w:sz w:val="21"/>
                      <w:szCs w:val="21"/>
                      <w:highlight w:val="none"/>
                    </w:rPr>
                  </w:pPr>
                  <w:r>
                    <w:rPr>
                      <w:color w:val="auto"/>
                      <w:sz w:val="21"/>
                      <w:szCs w:val="21"/>
                      <w:highlight w:val="none"/>
                    </w:rPr>
                    <w:t>7</w:t>
                  </w:r>
                </w:p>
              </w:tc>
              <w:tc>
                <w:tcPr>
                  <w:tcW w:w="1211" w:type="pct"/>
                  <w:vAlign w:val="center"/>
                </w:tcPr>
                <w:p w14:paraId="2AF5879B">
                  <w:pPr>
                    <w:spacing w:line="276" w:lineRule="auto"/>
                    <w:jc w:val="center"/>
                    <w:rPr>
                      <w:color w:val="auto"/>
                      <w:sz w:val="21"/>
                      <w:szCs w:val="21"/>
                      <w:highlight w:val="none"/>
                    </w:rPr>
                  </w:pPr>
                  <w:r>
                    <w:rPr>
                      <w:color w:val="auto"/>
                      <w:sz w:val="21"/>
                      <w:szCs w:val="21"/>
                      <w:highlight w:val="none"/>
                    </w:rPr>
                    <w:t>人员紧急撤离、疏散组织计划</w:t>
                  </w:r>
                </w:p>
              </w:tc>
              <w:tc>
                <w:tcPr>
                  <w:tcW w:w="3428" w:type="pct"/>
                  <w:vAlign w:val="center"/>
                </w:tcPr>
                <w:p w14:paraId="1E8190CF">
                  <w:pPr>
                    <w:spacing w:line="276" w:lineRule="auto"/>
                    <w:rPr>
                      <w:color w:val="auto"/>
                      <w:sz w:val="21"/>
                      <w:szCs w:val="21"/>
                      <w:highlight w:val="none"/>
                    </w:rPr>
                  </w:pPr>
                  <w:r>
                    <w:rPr>
                      <w:color w:val="auto"/>
                      <w:sz w:val="21"/>
                      <w:szCs w:val="21"/>
                      <w:highlight w:val="none"/>
                    </w:rPr>
                    <w:t>由事故应急现场指挥部负责及时向上级各有关部门及周边邻近单位和居民点告知事故的危险程度及严重性，指派人员协助邻近单位、村民疏散、撤离至安全地带。</w:t>
                  </w:r>
                </w:p>
              </w:tc>
            </w:tr>
            <w:tr w14:paraId="2C36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0" w:type="pct"/>
                  <w:vAlign w:val="center"/>
                </w:tcPr>
                <w:p w14:paraId="102E4347">
                  <w:pPr>
                    <w:spacing w:line="276" w:lineRule="auto"/>
                    <w:jc w:val="center"/>
                    <w:rPr>
                      <w:color w:val="auto"/>
                      <w:sz w:val="21"/>
                      <w:szCs w:val="21"/>
                      <w:highlight w:val="none"/>
                    </w:rPr>
                  </w:pPr>
                  <w:r>
                    <w:rPr>
                      <w:color w:val="auto"/>
                      <w:sz w:val="21"/>
                      <w:szCs w:val="21"/>
                      <w:highlight w:val="none"/>
                    </w:rPr>
                    <w:t>8</w:t>
                  </w:r>
                </w:p>
              </w:tc>
              <w:tc>
                <w:tcPr>
                  <w:tcW w:w="1211" w:type="pct"/>
                  <w:vAlign w:val="center"/>
                </w:tcPr>
                <w:p w14:paraId="47D54F70">
                  <w:pPr>
                    <w:spacing w:line="276" w:lineRule="auto"/>
                    <w:jc w:val="center"/>
                    <w:rPr>
                      <w:color w:val="auto"/>
                      <w:sz w:val="21"/>
                      <w:szCs w:val="21"/>
                      <w:highlight w:val="none"/>
                    </w:rPr>
                  </w:pPr>
                  <w:r>
                    <w:rPr>
                      <w:color w:val="auto"/>
                      <w:sz w:val="21"/>
                      <w:szCs w:val="21"/>
                      <w:highlight w:val="none"/>
                    </w:rPr>
                    <w:t>事故应急救援关闭程序与恢复措施</w:t>
                  </w:r>
                </w:p>
              </w:tc>
              <w:tc>
                <w:tcPr>
                  <w:tcW w:w="3428" w:type="pct"/>
                  <w:vAlign w:val="center"/>
                </w:tcPr>
                <w:p w14:paraId="469E3224">
                  <w:pPr>
                    <w:spacing w:line="276" w:lineRule="auto"/>
                    <w:rPr>
                      <w:color w:val="auto"/>
                      <w:sz w:val="21"/>
                      <w:szCs w:val="21"/>
                      <w:highlight w:val="none"/>
                    </w:rPr>
                  </w:pPr>
                  <w:r>
                    <w:rPr>
                      <w:color w:val="auto"/>
                      <w:sz w:val="21"/>
                      <w:szCs w:val="21"/>
                      <w:highlight w:val="none"/>
                    </w:rPr>
                    <w:t>规定应急状态终止程序、事故现场善后处理、邻近区域解除事故警戒及善后恢复措施</w:t>
                  </w:r>
                </w:p>
              </w:tc>
            </w:tr>
            <w:tr w14:paraId="0FB7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0" w:type="pct"/>
                  <w:vAlign w:val="center"/>
                </w:tcPr>
                <w:p w14:paraId="0D691620">
                  <w:pPr>
                    <w:spacing w:line="276" w:lineRule="auto"/>
                    <w:jc w:val="center"/>
                    <w:rPr>
                      <w:color w:val="auto"/>
                      <w:sz w:val="21"/>
                      <w:szCs w:val="21"/>
                      <w:highlight w:val="none"/>
                    </w:rPr>
                  </w:pPr>
                  <w:r>
                    <w:rPr>
                      <w:color w:val="auto"/>
                      <w:sz w:val="21"/>
                      <w:szCs w:val="21"/>
                      <w:highlight w:val="none"/>
                    </w:rPr>
                    <w:t>9</w:t>
                  </w:r>
                </w:p>
              </w:tc>
              <w:tc>
                <w:tcPr>
                  <w:tcW w:w="1211" w:type="pct"/>
                  <w:vAlign w:val="center"/>
                </w:tcPr>
                <w:p w14:paraId="1C2F9DEA">
                  <w:pPr>
                    <w:spacing w:line="276" w:lineRule="auto"/>
                    <w:jc w:val="center"/>
                    <w:rPr>
                      <w:color w:val="auto"/>
                      <w:sz w:val="21"/>
                      <w:szCs w:val="21"/>
                      <w:highlight w:val="none"/>
                    </w:rPr>
                  </w:pPr>
                  <w:r>
                    <w:rPr>
                      <w:color w:val="auto"/>
                      <w:sz w:val="21"/>
                      <w:szCs w:val="21"/>
                      <w:highlight w:val="none"/>
                    </w:rPr>
                    <w:t>应急培训计划</w:t>
                  </w:r>
                </w:p>
              </w:tc>
              <w:tc>
                <w:tcPr>
                  <w:tcW w:w="3428" w:type="pct"/>
                  <w:vAlign w:val="center"/>
                </w:tcPr>
                <w:p w14:paraId="26293644">
                  <w:pPr>
                    <w:spacing w:line="276" w:lineRule="auto"/>
                    <w:rPr>
                      <w:color w:val="auto"/>
                      <w:sz w:val="21"/>
                      <w:szCs w:val="21"/>
                      <w:highlight w:val="none"/>
                    </w:rPr>
                  </w:pPr>
                  <w:r>
                    <w:rPr>
                      <w:color w:val="auto"/>
                      <w:sz w:val="21"/>
                      <w:szCs w:val="21"/>
                      <w:highlight w:val="none"/>
                    </w:rPr>
                    <w:t>企业要注意日常工作中对事故应急处理的培训，以提高职工的安全防范意识</w:t>
                  </w:r>
                </w:p>
              </w:tc>
            </w:tr>
            <w:tr w14:paraId="68C2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360" w:type="pct"/>
                  <w:vAlign w:val="center"/>
                </w:tcPr>
                <w:p w14:paraId="13710267">
                  <w:pPr>
                    <w:spacing w:line="276" w:lineRule="auto"/>
                    <w:jc w:val="center"/>
                    <w:rPr>
                      <w:color w:val="auto"/>
                      <w:sz w:val="21"/>
                      <w:szCs w:val="21"/>
                      <w:highlight w:val="none"/>
                    </w:rPr>
                  </w:pPr>
                  <w:r>
                    <w:rPr>
                      <w:color w:val="auto"/>
                      <w:sz w:val="21"/>
                      <w:szCs w:val="21"/>
                      <w:highlight w:val="none"/>
                    </w:rPr>
                    <w:t>10</w:t>
                  </w:r>
                </w:p>
              </w:tc>
              <w:tc>
                <w:tcPr>
                  <w:tcW w:w="1211" w:type="pct"/>
                  <w:vAlign w:val="center"/>
                </w:tcPr>
                <w:p w14:paraId="5D3E4A08">
                  <w:pPr>
                    <w:spacing w:line="276" w:lineRule="auto"/>
                    <w:jc w:val="center"/>
                    <w:rPr>
                      <w:color w:val="auto"/>
                      <w:sz w:val="21"/>
                      <w:szCs w:val="21"/>
                      <w:highlight w:val="none"/>
                    </w:rPr>
                  </w:pPr>
                  <w:r>
                    <w:rPr>
                      <w:color w:val="auto"/>
                      <w:sz w:val="21"/>
                      <w:szCs w:val="21"/>
                      <w:highlight w:val="none"/>
                    </w:rPr>
                    <w:t>公众教育和信息</w:t>
                  </w:r>
                </w:p>
              </w:tc>
              <w:tc>
                <w:tcPr>
                  <w:tcW w:w="3428" w:type="pct"/>
                  <w:vAlign w:val="center"/>
                </w:tcPr>
                <w:p w14:paraId="10EBDE0B">
                  <w:pPr>
                    <w:spacing w:line="276" w:lineRule="auto"/>
                    <w:rPr>
                      <w:color w:val="auto"/>
                      <w:sz w:val="21"/>
                      <w:szCs w:val="21"/>
                      <w:highlight w:val="none"/>
                    </w:rPr>
                  </w:pPr>
                  <w:r>
                    <w:rPr>
                      <w:color w:val="auto"/>
                      <w:sz w:val="21"/>
                      <w:szCs w:val="21"/>
                      <w:highlight w:val="none"/>
                    </w:rPr>
                    <w:t>通过各种方式，对周围居民等进行事故防范宣传</w:t>
                  </w:r>
                </w:p>
              </w:tc>
            </w:tr>
          </w:tbl>
          <w:p w14:paraId="4A284616">
            <w:pPr>
              <w:pStyle w:val="20"/>
              <w:numPr>
                <w:ilvl w:val="3"/>
                <w:numId w:val="0"/>
              </w:numPr>
              <w:ind w:left="480" w:leftChars="200"/>
              <w:rPr>
                <w:color w:val="auto"/>
                <w:highlight w:val="none"/>
              </w:rPr>
            </w:pPr>
            <w:r>
              <w:rPr>
                <w:color w:val="auto"/>
                <w:highlight w:val="none"/>
              </w:rPr>
              <w:t>7、环境风险分析小结与建议</w:t>
            </w:r>
          </w:p>
          <w:p w14:paraId="0720F387">
            <w:pPr>
              <w:ind w:firstLine="480" w:firstLineChars="200"/>
              <w:rPr>
                <w:color w:val="auto"/>
                <w:highlight w:val="none"/>
              </w:rPr>
            </w:pPr>
            <w:r>
              <w:rPr>
                <w:color w:val="auto"/>
                <w:highlight w:val="none"/>
              </w:rPr>
              <w:t>本项目无风险物质，泄漏、火灾、爆炸等事故发生概率较低，物质泄漏、火灾、爆炸等事故下引发的伴生/次生污染物排放的风险隐患较低，在落实上述防范措施后，生产过程的环境风险总体可控。</w:t>
            </w:r>
          </w:p>
          <w:p w14:paraId="01B0927E">
            <w:pPr>
              <w:ind w:firstLine="480" w:firstLineChars="200"/>
              <w:jc w:val="left"/>
              <w:rPr>
                <w:b/>
                <w:bCs/>
                <w:color w:val="auto"/>
                <w:kern w:val="0"/>
                <w:highlight w:val="none"/>
              </w:rPr>
            </w:pPr>
            <w:r>
              <w:rPr>
                <w:b/>
                <w:bCs/>
                <w:color w:val="auto"/>
                <w:kern w:val="0"/>
                <w:highlight w:val="none"/>
              </w:rPr>
              <w:t>8、环保验收“三同时”</w:t>
            </w:r>
          </w:p>
          <w:p w14:paraId="7F96B5A1">
            <w:pPr>
              <w:ind w:firstLine="480" w:firstLineChars="200"/>
              <w:jc w:val="left"/>
              <w:rPr>
                <w:color w:val="auto"/>
                <w:kern w:val="0"/>
                <w:highlight w:val="none"/>
              </w:rPr>
            </w:pPr>
            <w:r>
              <w:rPr>
                <w:color w:val="auto"/>
                <w:kern w:val="0"/>
                <w:highlight w:val="none"/>
              </w:rPr>
              <w:t>建设单位应严格按照国家“三同时”政策及时做好有关工作，保证环保工程与主体工程同时设计、同时施工、同时投入使用，切实履行本评价所提出的各项污染防治对策与建议，保证做到各污染物达标排放。项目“三同时”环境保护验收情况见下表：</w:t>
            </w:r>
          </w:p>
          <w:p w14:paraId="041FC6B7">
            <w:pPr>
              <w:tabs>
                <w:tab w:val="left" w:pos="0"/>
              </w:tabs>
              <w:spacing w:line="276" w:lineRule="auto"/>
              <w:ind w:firstLine="40"/>
              <w:jc w:val="center"/>
              <w:rPr>
                <w:b/>
                <w:color w:val="auto"/>
                <w:sz w:val="21"/>
                <w:szCs w:val="20"/>
                <w:highlight w:val="none"/>
              </w:rPr>
            </w:pPr>
            <w:r>
              <w:rPr>
                <w:b/>
                <w:color w:val="auto"/>
                <w:sz w:val="21"/>
                <w:szCs w:val="21"/>
                <w:highlight w:val="none"/>
              </w:rPr>
              <w:t>表4-</w:t>
            </w:r>
            <w:r>
              <w:rPr>
                <w:rFonts w:hint="eastAsia"/>
                <w:b/>
                <w:color w:val="auto"/>
                <w:sz w:val="21"/>
                <w:szCs w:val="21"/>
                <w:highlight w:val="none"/>
              </w:rPr>
              <w:t>3</w:t>
            </w:r>
            <w:r>
              <w:rPr>
                <w:rFonts w:hint="eastAsia"/>
                <w:b/>
                <w:color w:val="auto"/>
                <w:sz w:val="21"/>
                <w:szCs w:val="21"/>
                <w:highlight w:val="none"/>
                <w:lang w:val="en-US" w:eastAsia="zh-CN"/>
              </w:rPr>
              <w:t>3</w:t>
            </w:r>
            <w:r>
              <w:rPr>
                <w:rFonts w:hint="eastAsia"/>
                <w:b/>
                <w:color w:val="auto"/>
                <w:sz w:val="21"/>
                <w:szCs w:val="21"/>
                <w:highlight w:val="none"/>
              </w:rPr>
              <w:t xml:space="preserve"> </w:t>
            </w:r>
            <w:r>
              <w:rPr>
                <w:b/>
                <w:bCs/>
                <w:color w:val="auto"/>
                <w:sz w:val="21"/>
                <w:szCs w:val="21"/>
                <w:highlight w:val="none"/>
              </w:rPr>
              <w:t>项目环境保护“三同时”验收一览表</w:t>
            </w:r>
          </w:p>
          <w:tbl>
            <w:tblPr>
              <w:tblStyle w:val="49"/>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93"/>
              <w:gridCol w:w="1377"/>
              <w:gridCol w:w="1254"/>
              <w:gridCol w:w="1368"/>
              <w:gridCol w:w="3141"/>
            </w:tblGrid>
            <w:tr w14:paraId="168A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61ADEBE0">
                  <w:pPr>
                    <w:spacing w:line="240" w:lineRule="auto"/>
                    <w:jc w:val="center"/>
                    <w:rPr>
                      <w:b/>
                      <w:bCs/>
                      <w:color w:val="auto"/>
                      <w:sz w:val="21"/>
                      <w:szCs w:val="21"/>
                      <w:highlight w:val="none"/>
                    </w:rPr>
                  </w:pPr>
                  <w:r>
                    <w:rPr>
                      <w:b/>
                      <w:bCs/>
                      <w:color w:val="auto"/>
                      <w:sz w:val="21"/>
                      <w:szCs w:val="21"/>
                      <w:highlight w:val="none"/>
                    </w:rPr>
                    <w:t>类别</w:t>
                  </w:r>
                </w:p>
              </w:tc>
              <w:tc>
                <w:tcPr>
                  <w:tcW w:w="661" w:type="pct"/>
                  <w:vAlign w:val="center"/>
                </w:tcPr>
                <w:p w14:paraId="1DE099B7">
                  <w:pPr>
                    <w:spacing w:line="240" w:lineRule="auto"/>
                    <w:jc w:val="center"/>
                    <w:rPr>
                      <w:b/>
                      <w:bCs/>
                      <w:color w:val="auto"/>
                      <w:sz w:val="21"/>
                      <w:szCs w:val="21"/>
                      <w:highlight w:val="none"/>
                    </w:rPr>
                  </w:pPr>
                  <w:r>
                    <w:rPr>
                      <w:b/>
                      <w:bCs/>
                      <w:color w:val="auto"/>
                      <w:sz w:val="21"/>
                      <w:szCs w:val="21"/>
                      <w:highlight w:val="none"/>
                    </w:rPr>
                    <w:t>污染源</w:t>
                  </w:r>
                </w:p>
              </w:tc>
              <w:tc>
                <w:tcPr>
                  <w:tcW w:w="763" w:type="pct"/>
                  <w:vAlign w:val="center"/>
                </w:tcPr>
                <w:p w14:paraId="3903D782">
                  <w:pPr>
                    <w:spacing w:line="240" w:lineRule="auto"/>
                    <w:jc w:val="center"/>
                    <w:rPr>
                      <w:b/>
                      <w:bCs/>
                      <w:color w:val="auto"/>
                      <w:sz w:val="21"/>
                      <w:szCs w:val="21"/>
                      <w:highlight w:val="none"/>
                    </w:rPr>
                  </w:pPr>
                  <w:r>
                    <w:rPr>
                      <w:b/>
                      <w:bCs/>
                      <w:color w:val="auto"/>
                      <w:sz w:val="21"/>
                      <w:szCs w:val="21"/>
                      <w:highlight w:val="none"/>
                    </w:rPr>
                    <w:t>污染物</w:t>
                  </w:r>
                </w:p>
              </w:tc>
              <w:tc>
                <w:tcPr>
                  <w:tcW w:w="695" w:type="pct"/>
                  <w:vAlign w:val="center"/>
                </w:tcPr>
                <w:p w14:paraId="58966634">
                  <w:pPr>
                    <w:spacing w:line="240" w:lineRule="auto"/>
                    <w:jc w:val="center"/>
                    <w:rPr>
                      <w:b/>
                      <w:bCs/>
                      <w:color w:val="auto"/>
                      <w:sz w:val="21"/>
                      <w:szCs w:val="21"/>
                      <w:highlight w:val="none"/>
                    </w:rPr>
                  </w:pPr>
                  <w:r>
                    <w:rPr>
                      <w:b/>
                      <w:bCs/>
                      <w:color w:val="auto"/>
                      <w:sz w:val="21"/>
                      <w:szCs w:val="21"/>
                      <w:highlight w:val="none"/>
                    </w:rPr>
                    <w:t>污染防</w:t>
                  </w:r>
                </w:p>
                <w:p w14:paraId="3A099518">
                  <w:pPr>
                    <w:spacing w:line="240" w:lineRule="auto"/>
                    <w:jc w:val="center"/>
                    <w:rPr>
                      <w:b/>
                      <w:bCs/>
                      <w:color w:val="auto"/>
                      <w:sz w:val="21"/>
                      <w:szCs w:val="21"/>
                      <w:highlight w:val="none"/>
                    </w:rPr>
                  </w:pPr>
                  <w:r>
                    <w:rPr>
                      <w:b/>
                      <w:bCs/>
                      <w:color w:val="auto"/>
                      <w:sz w:val="21"/>
                      <w:szCs w:val="21"/>
                      <w:highlight w:val="none"/>
                    </w:rPr>
                    <w:t>治措施</w:t>
                  </w:r>
                </w:p>
              </w:tc>
              <w:tc>
                <w:tcPr>
                  <w:tcW w:w="758" w:type="pct"/>
                  <w:vAlign w:val="center"/>
                </w:tcPr>
                <w:p w14:paraId="75190DFD">
                  <w:pPr>
                    <w:spacing w:line="240" w:lineRule="auto"/>
                    <w:jc w:val="center"/>
                    <w:rPr>
                      <w:b/>
                      <w:bCs/>
                      <w:color w:val="auto"/>
                      <w:sz w:val="21"/>
                      <w:szCs w:val="21"/>
                      <w:highlight w:val="none"/>
                    </w:rPr>
                  </w:pPr>
                  <w:r>
                    <w:rPr>
                      <w:b/>
                      <w:bCs/>
                      <w:color w:val="auto"/>
                      <w:sz w:val="21"/>
                      <w:szCs w:val="21"/>
                      <w:highlight w:val="none"/>
                    </w:rPr>
                    <w:t>验收及监测内容</w:t>
                  </w:r>
                </w:p>
              </w:tc>
              <w:tc>
                <w:tcPr>
                  <w:tcW w:w="1740" w:type="pct"/>
                  <w:vAlign w:val="center"/>
                </w:tcPr>
                <w:p w14:paraId="41804893">
                  <w:pPr>
                    <w:spacing w:line="240" w:lineRule="auto"/>
                    <w:jc w:val="center"/>
                    <w:rPr>
                      <w:b/>
                      <w:bCs/>
                      <w:color w:val="auto"/>
                      <w:sz w:val="21"/>
                      <w:szCs w:val="21"/>
                      <w:highlight w:val="none"/>
                    </w:rPr>
                  </w:pPr>
                  <w:r>
                    <w:rPr>
                      <w:b/>
                      <w:bCs/>
                      <w:color w:val="auto"/>
                      <w:sz w:val="21"/>
                      <w:szCs w:val="21"/>
                      <w:highlight w:val="none"/>
                    </w:rPr>
                    <w:t>预期效果</w:t>
                  </w:r>
                </w:p>
              </w:tc>
            </w:tr>
            <w:tr w14:paraId="4650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restart"/>
                  <w:vAlign w:val="center"/>
                </w:tcPr>
                <w:p w14:paraId="1D9FB68B">
                  <w:pPr>
                    <w:spacing w:line="240" w:lineRule="auto"/>
                    <w:jc w:val="center"/>
                    <w:rPr>
                      <w:color w:val="auto"/>
                      <w:sz w:val="21"/>
                      <w:szCs w:val="21"/>
                      <w:highlight w:val="none"/>
                    </w:rPr>
                  </w:pPr>
                  <w:r>
                    <w:rPr>
                      <w:color w:val="auto"/>
                      <w:sz w:val="21"/>
                      <w:szCs w:val="21"/>
                      <w:highlight w:val="none"/>
                    </w:rPr>
                    <w:t>废水</w:t>
                  </w:r>
                </w:p>
              </w:tc>
              <w:tc>
                <w:tcPr>
                  <w:tcW w:w="661" w:type="pct"/>
                  <w:vAlign w:val="center"/>
                </w:tcPr>
                <w:p w14:paraId="524E27F7">
                  <w:pPr>
                    <w:spacing w:line="240" w:lineRule="auto"/>
                    <w:jc w:val="center"/>
                    <w:rPr>
                      <w:color w:val="auto"/>
                      <w:sz w:val="21"/>
                      <w:szCs w:val="21"/>
                      <w:highlight w:val="none"/>
                    </w:rPr>
                  </w:pPr>
                  <w:r>
                    <w:rPr>
                      <w:rFonts w:hint="eastAsia"/>
                      <w:color w:val="auto"/>
                      <w:sz w:val="21"/>
                      <w:szCs w:val="21"/>
                      <w:highlight w:val="none"/>
                    </w:rPr>
                    <w:t>生活污水</w:t>
                  </w:r>
                </w:p>
              </w:tc>
              <w:tc>
                <w:tcPr>
                  <w:tcW w:w="763" w:type="pct"/>
                  <w:vAlign w:val="center"/>
                </w:tcPr>
                <w:p w14:paraId="3800E565">
                  <w:pPr>
                    <w:spacing w:line="240" w:lineRule="auto"/>
                    <w:jc w:val="center"/>
                    <w:rPr>
                      <w:color w:val="auto"/>
                      <w:sz w:val="21"/>
                      <w:szCs w:val="21"/>
                      <w:highlight w:val="none"/>
                    </w:rPr>
                  </w:pPr>
                  <w:r>
                    <w:rPr>
                      <w:color w:val="auto"/>
                      <w:sz w:val="21"/>
                      <w:szCs w:val="21"/>
                      <w:highlight w:val="none"/>
                    </w:rPr>
                    <w:t>COD</w:t>
                  </w:r>
                  <w:r>
                    <w:rPr>
                      <w:color w:val="auto"/>
                      <w:sz w:val="21"/>
                      <w:szCs w:val="21"/>
                      <w:highlight w:val="none"/>
                      <w:vertAlign w:val="subscript"/>
                    </w:rPr>
                    <w:t>Cr</w:t>
                  </w:r>
                  <w:r>
                    <w:rPr>
                      <w:color w:val="auto"/>
                      <w:sz w:val="21"/>
                      <w:szCs w:val="21"/>
                      <w:highlight w:val="none"/>
                    </w:rPr>
                    <w:t>、BOD</w:t>
                  </w:r>
                  <w:r>
                    <w:rPr>
                      <w:color w:val="auto"/>
                      <w:sz w:val="21"/>
                      <w:szCs w:val="21"/>
                      <w:highlight w:val="none"/>
                      <w:vertAlign w:val="subscript"/>
                    </w:rPr>
                    <w:t>5</w:t>
                  </w:r>
                  <w:r>
                    <w:rPr>
                      <w:color w:val="auto"/>
                      <w:sz w:val="21"/>
                      <w:szCs w:val="21"/>
                      <w:highlight w:val="none"/>
                    </w:rPr>
                    <w:t>、SS、NH</w:t>
                  </w:r>
                  <w:r>
                    <w:rPr>
                      <w:color w:val="auto"/>
                      <w:sz w:val="21"/>
                      <w:szCs w:val="21"/>
                      <w:highlight w:val="none"/>
                      <w:vertAlign w:val="subscript"/>
                    </w:rPr>
                    <w:t>3</w:t>
                  </w:r>
                  <w:r>
                    <w:rPr>
                      <w:color w:val="auto"/>
                      <w:sz w:val="21"/>
                      <w:szCs w:val="21"/>
                      <w:highlight w:val="none"/>
                    </w:rPr>
                    <w:t>-N、总磷、</w:t>
                  </w:r>
                  <w:r>
                    <w:rPr>
                      <w:rFonts w:hint="eastAsia"/>
                      <w:color w:val="auto"/>
                      <w:sz w:val="21"/>
                      <w:szCs w:val="21"/>
                      <w:highlight w:val="none"/>
                    </w:rPr>
                    <w:t>动植物油</w:t>
                  </w:r>
                </w:p>
              </w:tc>
              <w:tc>
                <w:tcPr>
                  <w:tcW w:w="695" w:type="pct"/>
                  <w:vAlign w:val="center"/>
                </w:tcPr>
                <w:p w14:paraId="4D32644A">
                  <w:pPr>
                    <w:spacing w:line="240" w:lineRule="auto"/>
                    <w:jc w:val="center"/>
                    <w:rPr>
                      <w:color w:val="auto"/>
                      <w:sz w:val="21"/>
                      <w:szCs w:val="21"/>
                      <w:highlight w:val="none"/>
                    </w:rPr>
                  </w:pPr>
                  <w:r>
                    <w:rPr>
                      <w:color w:val="auto"/>
                      <w:sz w:val="21"/>
                      <w:szCs w:val="21"/>
                      <w:highlight w:val="none"/>
                    </w:rPr>
                    <w:t>三级化粪池、隔油隔渣池</w:t>
                  </w:r>
                </w:p>
              </w:tc>
              <w:tc>
                <w:tcPr>
                  <w:tcW w:w="758" w:type="pct"/>
                  <w:vAlign w:val="center"/>
                </w:tcPr>
                <w:p w14:paraId="0482EE37">
                  <w:pPr>
                    <w:spacing w:line="240" w:lineRule="auto"/>
                    <w:jc w:val="center"/>
                    <w:rPr>
                      <w:color w:val="auto"/>
                      <w:sz w:val="21"/>
                      <w:szCs w:val="21"/>
                      <w:highlight w:val="none"/>
                    </w:rPr>
                  </w:pPr>
                  <w:r>
                    <w:rPr>
                      <w:color w:val="auto"/>
                      <w:sz w:val="21"/>
                      <w:szCs w:val="21"/>
                      <w:highlight w:val="none"/>
                    </w:rPr>
                    <w:t>污水处理设施、出水管道设置情况；污染物实际排放浓度</w:t>
                  </w:r>
                </w:p>
              </w:tc>
              <w:tc>
                <w:tcPr>
                  <w:tcW w:w="1740" w:type="pct"/>
                  <w:vAlign w:val="center"/>
                </w:tcPr>
                <w:p w14:paraId="5F791CD0">
                  <w:pPr>
                    <w:spacing w:line="240" w:lineRule="auto"/>
                    <w:jc w:val="center"/>
                    <w:rPr>
                      <w:color w:val="auto"/>
                      <w:sz w:val="21"/>
                      <w:szCs w:val="21"/>
                      <w:highlight w:val="none"/>
                    </w:rPr>
                  </w:pPr>
                  <w:r>
                    <w:rPr>
                      <w:color w:val="auto"/>
                      <w:sz w:val="21"/>
                      <w:szCs w:val="21"/>
                      <w:highlight w:val="none"/>
                    </w:rPr>
                    <w:t>园区污水处理厂接管水质要求及广东省《水污染物排放限值》（DB44/26-2001）第二时段三级标准两者较严值</w:t>
                  </w:r>
                </w:p>
              </w:tc>
            </w:tr>
            <w:tr w14:paraId="214D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0CAC0367">
                  <w:pPr>
                    <w:spacing w:line="240" w:lineRule="auto"/>
                    <w:jc w:val="center"/>
                    <w:rPr>
                      <w:color w:val="auto"/>
                      <w:sz w:val="21"/>
                      <w:szCs w:val="21"/>
                      <w:highlight w:val="none"/>
                    </w:rPr>
                  </w:pPr>
                </w:p>
              </w:tc>
              <w:tc>
                <w:tcPr>
                  <w:tcW w:w="661" w:type="pct"/>
                  <w:vAlign w:val="center"/>
                </w:tcPr>
                <w:p w14:paraId="04A7C5E8">
                  <w:pPr>
                    <w:spacing w:line="240" w:lineRule="auto"/>
                    <w:jc w:val="center"/>
                    <w:rPr>
                      <w:color w:val="auto"/>
                      <w:sz w:val="21"/>
                      <w:szCs w:val="21"/>
                      <w:highlight w:val="none"/>
                    </w:rPr>
                  </w:pPr>
                  <w:r>
                    <w:rPr>
                      <w:rFonts w:hint="eastAsia"/>
                      <w:color w:val="auto"/>
                      <w:sz w:val="21"/>
                      <w:szCs w:val="21"/>
                      <w:highlight w:val="none"/>
                    </w:rPr>
                    <w:t>生产废水</w:t>
                  </w:r>
                </w:p>
              </w:tc>
              <w:tc>
                <w:tcPr>
                  <w:tcW w:w="763" w:type="pct"/>
                  <w:vAlign w:val="center"/>
                </w:tcPr>
                <w:p w14:paraId="70382325">
                  <w:pPr>
                    <w:spacing w:line="240" w:lineRule="auto"/>
                    <w:jc w:val="center"/>
                    <w:rPr>
                      <w:color w:val="auto"/>
                      <w:sz w:val="21"/>
                      <w:szCs w:val="21"/>
                      <w:highlight w:val="none"/>
                    </w:rPr>
                  </w:pPr>
                  <w:r>
                    <w:rPr>
                      <w:color w:val="auto"/>
                      <w:sz w:val="21"/>
                      <w:szCs w:val="21"/>
                      <w:highlight w:val="none"/>
                    </w:rPr>
                    <w:t>COD</w:t>
                  </w:r>
                  <w:r>
                    <w:rPr>
                      <w:color w:val="auto"/>
                      <w:sz w:val="21"/>
                      <w:szCs w:val="21"/>
                      <w:highlight w:val="none"/>
                      <w:vertAlign w:val="subscript"/>
                    </w:rPr>
                    <w:t>Cr</w:t>
                  </w:r>
                  <w:r>
                    <w:rPr>
                      <w:color w:val="auto"/>
                      <w:sz w:val="21"/>
                      <w:szCs w:val="21"/>
                      <w:highlight w:val="none"/>
                    </w:rPr>
                    <w:t>、NH</w:t>
                  </w:r>
                  <w:r>
                    <w:rPr>
                      <w:color w:val="auto"/>
                      <w:sz w:val="21"/>
                      <w:szCs w:val="21"/>
                      <w:highlight w:val="none"/>
                      <w:vertAlign w:val="subscript"/>
                    </w:rPr>
                    <w:t>3</w:t>
                  </w:r>
                  <w:r>
                    <w:rPr>
                      <w:color w:val="auto"/>
                      <w:sz w:val="21"/>
                      <w:szCs w:val="21"/>
                      <w:highlight w:val="none"/>
                    </w:rPr>
                    <w:t>-N、</w:t>
                  </w:r>
                  <w:r>
                    <w:rPr>
                      <w:rFonts w:hint="eastAsia"/>
                      <w:color w:val="auto"/>
                      <w:sz w:val="21"/>
                      <w:szCs w:val="21"/>
                      <w:highlight w:val="none"/>
                    </w:rPr>
                    <w:t>总氮、</w:t>
                  </w:r>
                  <w:r>
                    <w:rPr>
                      <w:color w:val="auto"/>
                      <w:sz w:val="21"/>
                      <w:szCs w:val="21"/>
                      <w:highlight w:val="none"/>
                    </w:rPr>
                    <w:t>总磷、</w:t>
                  </w:r>
                  <w:r>
                    <w:rPr>
                      <w:rFonts w:hint="eastAsia"/>
                      <w:color w:val="auto"/>
                      <w:sz w:val="21"/>
                      <w:szCs w:val="21"/>
                      <w:highlight w:val="none"/>
                    </w:rPr>
                    <w:t>石油类</w:t>
                  </w:r>
                </w:p>
              </w:tc>
              <w:tc>
                <w:tcPr>
                  <w:tcW w:w="695" w:type="pct"/>
                  <w:vAlign w:val="center"/>
                </w:tcPr>
                <w:p w14:paraId="2A94418B">
                  <w:pPr>
                    <w:spacing w:line="240" w:lineRule="auto"/>
                    <w:jc w:val="center"/>
                    <w:rPr>
                      <w:color w:val="auto"/>
                      <w:sz w:val="21"/>
                      <w:szCs w:val="21"/>
                      <w:highlight w:val="none"/>
                    </w:rPr>
                  </w:pPr>
                  <w:r>
                    <w:rPr>
                      <w:color w:val="auto"/>
                      <w:sz w:val="21"/>
                      <w:szCs w:val="21"/>
                      <w:highlight w:val="none"/>
                    </w:rPr>
                    <w:t>“</w:t>
                  </w:r>
                  <w:r>
                    <w:rPr>
                      <w:rFonts w:hint="eastAsia"/>
                      <w:color w:val="auto"/>
                      <w:sz w:val="21"/>
                      <w:szCs w:val="21"/>
                      <w:highlight w:val="none"/>
                    </w:rPr>
                    <w:t>中和调节+絮凝沉淀+A/O+二沉池+消毒</w:t>
                  </w:r>
                  <w:r>
                    <w:rPr>
                      <w:color w:val="auto"/>
                      <w:sz w:val="21"/>
                      <w:szCs w:val="21"/>
                      <w:highlight w:val="none"/>
                    </w:rPr>
                    <w:t>”</w:t>
                  </w:r>
                </w:p>
              </w:tc>
              <w:tc>
                <w:tcPr>
                  <w:tcW w:w="758" w:type="pct"/>
                  <w:vAlign w:val="center"/>
                </w:tcPr>
                <w:p w14:paraId="79B18BD6">
                  <w:pPr>
                    <w:spacing w:line="240" w:lineRule="auto"/>
                    <w:jc w:val="center"/>
                    <w:rPr>
                      <w:color w:val="auto"/>
                      <w:sz w:val="21"/>
                      <w:szCs w:val="21"/>
                      <w:highlight w:val="none"/>
                    </w:rPr>
                  </w:pPr>
                  <w:r>
                    <w:rPr>
                      <w:color w:val="auto"/>
                      <w:sz w:val="21"/>
                      <w:szCs w:val="21"/>
                      <w:highlight w:val="none"/>
                    </w:rPr>
                    <w:t>污水处理设施、出水管道设置情况</w:t>
                  </w:r>
                </w:p>
              </w:tc>
              <w:tc>
                <w:tcPr>
                  <w:tcW w:w="1740" w:type="pct"/>
                  <w:vAlign w:val="center"/>
                </w:tcPr>
                <w:p w14:paraId="08B654E1">
                  <w:pPr>
                    <w:spacing w:line="240" w:lineRule="auto"/>
                    <w:jc w:val="center"/>
                    <w:rPr>
                      <w:color w:val="auto"/>
                      <w:sz w:val="21"/>
                      <w:szCs w:val="21"/>
                      <w:highlight w:val="none"/>
                    </w:rPr>
                  </w:pPr>
                  <w:r>
                    <w:rPr>
                      <w:rFonts w:hint="eastAsia"/>
                      <w:color w:val="auto"/>
                      <w:sz w:val="21"/>
                      <w:szCs w:val="21"/>
                      <w:highlight w:val="none"/>
                    </w:rPr>
                    <w:t>回用水执行《城市污水再生利用 工业用水水质》《GB/T19923-2024》要求，外排水执行</w:t>
                  </w:r>
                  <w:r>
                    <w:rPr>
                      <w:color w:val="auto"/>
                      <w:sz w:val="21"/>
                      <w:szCs w:val="21"/>
                      <w:highlight w:val="none"/>
                    </w:rPr>
                    <w:t>园区污水处理厂接管水质要求及广东省《水污染物排放限值》（DB44/26-2001）第二时段三级标准两者较严值</w:t>
                  </w:r>
                </w:p>
              </w:tc>
            </w:tr>
            <w:tr w14:paraId="6981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restart"/>
                  <w:vAlign w:val="center"/>
                </w:tcPr>
                <w:p w14:paraId="7D9E0180">
                  <w:pPr>
                    <w:spacing w:line="240" w:lineRule="auto"/>
                    <w:jc w:val="center"/>
                    <w:rPr>
                      <w:color w:val="auto"/>
                      <w:sz w:val="21"/>
                      <w:szCs w:val="21"/>
                      <w:highlight w:val="none"/>
                    </w:rPr>
                  </w:pPr>
                  <w:r>
                    <w:rPr>
                      <w:color w:val="auto"/>
                      <w:sz w:val="21"/>
                      <w:szCs w:val="21"/>
                      <w:highlight w:val="none"/>
                    </w:rPr>
                    <w:t>废气</w:t>
                  </w:r>
                </w:p>
              </w:tc>
              <w:tc>
                <w:tcPr>
                  <w:tcW w:w="661" w:type="pct"/>
                  <w:vAlign w:val="center"/>
                </w:tcPr>
                <w:p w14:paraId="0843511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破碎</w:t>
                  </w:r>
                  <w:r>
                    <w:rPr>
                      <w:rFonts w:hint="default" w:ascii="Times New Roman" w:hAnsi="Times New Roman" w:cs="Times New Roman"/>
                      <w:color w:val="auto"/>
                      <w:sz w:val="21"/>
                      <w:szCs w:val="21"/>
                      <w:highlight w:val="none"/>
                    </w:rPr>
                    <w:t>废气</w:t>
                  </w:r>
                  <w:r>
                    <w:rPr>
                      <w:rFonts w:hint="default" w:ascii="Times New Roman" w:hAnsi="Times New Roman" w:cs="Times New Roman"/>
                      <w:color w:val="auto"/>
                      <w:sz w:val="21"/>
                      <w:szCs w:val="21"/>
                      <w:highlight w:val="none"/>
                    </w:rPr>
                    <w:br w:type="textWrapping"/>
                  </w:r>
                  <w:r>
                    <w:rPr>
                      <w:rFonts w:hint="default" w:ascii="Times New Roman" w:hAnsi="Times New Roman" w:cs="Times New Roman"/>
                      <w:color w:val="auto"/>
                      <w:sz w:val="21"/>
                      <w:szCs w:val="21"/>
                      <w:highlight w:val="none"/>
                    </w:rPr>
                    <w:t>DA001</w:t>
                  </w:r>
                </w:p>
              </w:tc>
              <w:tc>
                <w:tcPr>
                  <w:tcW w:w="763" w:type="pct"/>
                  <w:vAlign w:val="center"/>
                </w:tcPr>
                <w:p w14:paraId="7E93FA3A">
                  <w:pPr>
                    <w:pStyle w:val="64"/>
                    <w:rPr>
                      <w:color w:val="auto"/>
                      <w:kern w:val="2"/>
                      <w:highlight w:val="none"/>
                    </w:rPr>
                  </w:pPr>
                  <w:r>
                    <w:rPr>
                      <w:color w:val="auto"/>
                      <w:kern w:val="2"/>
                      <w:highlight w:val="none"/>
                    </w:rPr>
                    <w:t>颗粒物</w:t>
                  </w:r>
                </w:p>
              </w:tc>
              <w:tc>
                <w:tcPr>
                  <w:tcW w:w="695" w:type="pct"/>
                  <w:vAlign w:val="center"/>
                </w:tcPr>
                <w:p w14:paraId="342B6181">
                  <w:pPr>
                    <w:spacing w:line="240" w:lineRule="auto"/>
                    <w:jc w:val="center"/>
                    <w:rPr>
                      <w:color w:val="auto"/>
                      <w:sz w:val="21"/>
                      <w:szCs w:val="21"/>
                      <w:highlight w:val="none"/>
                    </w:rPr>
                  </w:pPr>
                  <w:r>
                    <w:rPr>
                      <w:rFonts w:hint="eastAsia"/>
                      <w:color w:val="auto"/>
                      <w:sz w:val="21"/>
                      <w:szCs w:val="21"/>
                      <w:highlight w:val="none"/>
                    </w:rPr>
                    <w:t>布袋除尘后</w:t>
                  </w:r>
                  <w:r>
                    <w:rPr>
                      <w:color w:val="auto"/>
                      <w:sz w:val="21"/>
                      <w:szCs w:val="21"/>
                      <w:highlight w:val="none"/>
                    </w:rPr>
                    <w:t>经</w:t>
                  </w:r>
                  <w:r>
                    <w:rPr>
                      <w:rFonts w:hint="eastAsia"/>
                      <w:color w:val="auto"/>
                      <w:sz w:val="21"/>
                      <w:szCs w:val="21"/>
                      <w:highlight w:val="none"/>
                      <w:lang w:eastAsia="zh-CN"/>
                    </w:rPr>
                    <w:t>15m</w:t>
                  </w:r>
                  <w:r>
                    <w:rPr>
                      <w:color w:val="auto"/>
                      <w:sz w:val="21"/>
                      <w:szCs w:val="21"/>
                      <w:highlight w:val="none"/>
                    </w:rPr>
                    <w:t>高排气筒排放</w:t>
                  </w:r>
                </w:p>
              </w:tc>
              <w:tc>
                <w:tcPr>
                  <w:tcW w:w="758" w:type="pct"/>
                  <w:vAlign w:val="center"/>
                </w:tcPr>
                <w:p w14:paraId="23EDC64F">
                  <w:pPr>
                    <w:spacing w:line="240" w:lineRule="auto"/>
                    <w:jc w:val="center"/>
                    <w:rPr>
                      <w:color w:val="auto"/>
                      <w:sz w:val="21"/>
                      <w:szCs w:val="21"/>
                      <w:highlight w:val="none"/>
                    </w:rPr>
                  </w:pPr>
                  <w:r>
                    <w:rPr>
                      <w:color w:val="auto"/>
                      <w:sz w:val="21"/>
                      <w:szCs w:val="21"/>
                      <w:highlight w:val="none"/>
                    </w:rPr>
                    <w:t>排气筒设置情况；污染物实际排放浓度</w:t>
                  </w:r>
                </w:p>
              </w:tc>
              <w:tc>
                <w:tcPr>
                  <w:tcW w:w="1740" w:type="pct"/>
                  <w:vAlign w:val="center"/>
                </w:tcPr>
                <w:p w14:paraId="67664235">
                  <w:pPr>
                    <w:spacing w:line="240" w:lineRule="auto"/>
                    <w:jc w:val="center"/>
                    <w:rPr>
                      <w:color w:val="auto"/>
                      <w:sz w:val="21"/>
                      <w:szCs w:val="21"/>
                      <w:highlight w:val="none"/>
                    </w:rPr>
                  </w:pPr>
                  <w:r>
                    <w:rPr>
                      <w:color w:val="auto"/>
                      <w:sz w:val="21"/>
                      <w:szCs w:val="21"/>
                      <w:highlight w:val="none"/>
                    </w:rPr>
                    <w:t xml:space="preserve">《合成树脂工业污染物排放标准》(GB31572-2015) 及其 2024 年修改单中表 5 </w:t>
                  </w:r>
                  <w:r>
                    <w:rPr>
                      <w:rFonts w:hint="eastAsia"/>
                      <w:color w:val="auto"/>
                      <w:sz w:val="21"/>
                      <w:szCs w:val="21"/>
                      <w:highlight w:val="none"/>
                    </w:rPr>
                    <w:t>和表9企业边界大气污染物浓度限值</w:t>
                  </w:r>
                </w:p>
              </w:tc>
            </w:tr>
            <w:tr w14:paraId="0FA2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1047E314">
                  <w:pPr>
                    <w:spacing w:line="240" w:lineRule="auto"/>
                    <w:jc w:val="center"/>
                    <w:rPr>
                      <w:color w:val="auto"/>
                      <w:sz w:val="21"/>
                      <w:szCs w:val="21"/>
                      <w:highlight w:val="none"/>
                    </w:rPr>
                  </w:pPr>
                </w:p>
              </w:tc>
              <w:tc>
                <w:tcPr>
                  <w:tcW w:w="661" w:type="pct"/>
                  <w:vMerge w:val="restart"/>
                  <w:vAlign w:val="center"/>
                </w:tcPr>
                <w:p w14:paraId="4E65BDC3">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造粒废气</w:t>
                  </w:r>
                </w:p>
                <w:p w14:paraId="6BB7F691">
                  <w:pPr>
                    <w:pStyle w:val="2"/>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1"/>
                      <w:szCs w:val="21"/>
                      <w:highlight w:val="none"/>
                      <w:lang w:val="en-US" w:eastAsia="zh-CN"/>
                    </w:rPr>
                    <w:t>DA002</w:t>
                  </w:r>
                </w:p>
              </w:tc>
              <w:tc>
                <w:tcPr>
                  <w:tcW w:w="763" w:type="pct"/>
                  <w:vAlign w:val="center"/>
                </w:tcPr>
                <w:p w14:paraId="6D55DC3C">
                  <w:pPr>
                    <w:pStyle w:val="64"/>
                    <w:rPr>
                      <w:rFonts w:hint="default" w:eastAsia="宋体"/>
                      <w:color w:val="auto"/>
                      <w:kern w:val="2"/>
                      <w:highlight w:val="none"/>
                      <w:lang w:val="en-US" w:eastAsia="zh-CN"/>
                    </w:rPr>
                  </w:pPr>
                  <w:r>
                    <w:rPr>
                      <w:rFonts w:hint="eastAsia"/>
                      <w:color w:val="auto"/>
                      <w:kern w:val="2"/>
                      <w:highlight w:val="none"/>
                      <w:lang w:val="en-US" w:eastAsia="zh-CN"/>
                    </w:rPr>
                    <w:t>颗粒物、非甲烷总烃</w:t>
                  </w:r>
                </w:p>
              </w:tc>
              <w:tc>
                <w:tcPr>
                  <w:tcW w:w="695" w:type="pct"/>
                  <w:vMerge w:val="restart"/>
                  <w:vAlign w:val="center"/>
                </w:tcPr>
                <w:p w14:paraId="6B5BB1B8">
                  <w:pPr>
                    <w:spacing w:line="240" w:lineRule="auto"/>
                    <w:jc w:val="center"/>
                    <w:rPr>
                      <w:rFonts w:hint="eastAsia"/>
                      <w:color w:val="auto"/>
                      <w:sz w:val="21"/>
                      <w:szCs w:val="21"/>
                      <w:highlight w:val="none"/>
                    </w:rPr>
                  </w:pPr>
                  <w:r>
                    <w:rPr>
                      <w:rFonts w:hint="eastAsia"/>
                      <w:color w:val="auto"/>
                      <w:sz w:val="21"/>
                      <w:szCs w:val="21"/>
                      <w:highlight w:val="none"/>
                    </w:rPr>
                    <w:t>采取</w:t>
                  </w:r>
                  <w:r>
                    <w:rPr>
                      <w:rFonts w:hint="eastAsia"/>
                      <w:color w:val="auto"/>
                      <w:sz w:val="21"/>
                      <w:szCs w:val="21"/>
                      <w:highlight w:val="none"/>
                      <w:lang w:eastAsia="zh-CN"/>
                    </w:rPr>
                    <w:t>电捕焦油+气旋混动喷淋+干式过滤+活性炭吸附脱附+催化燃烧+活性炭吸附</w:t>
                  </w:r>
                  <w:r>
                    <w:rPr>
                      <w:rFonts w:hint="eastAsia"/>
                      <w:color w:val="auto"/>
                      <w:sz w:val="21"/>
                      <w:szCs w:val="21"/>
                      <w:highlight w:val="none"/>
                    </w:rPr>
                    <w:t>处理后经</w:t>
                  </w:r>
                  <w:r>
                    <w:rPr>
                      <w:rFonts w:hint="eastAsia"/>
                      <w:color w:val="auto"/>
                      <w:sz w:val="21"/>
                      <w:szCs w:val="21"/>
                      <w:highlight w:val="none"/>
                      <w:lang w:eastAsia="zh-CN"/>
                    </w:rPr>
                    <w:t>15m</w:t>
                  </w:r>
                  <w:r>
                    <w:rPr>
                      <w:rFonts w:hint="eastAsia"/>
                      <w:color w:val="auto"/>
                      <w:sz w:val="21"/>
                      <w:szCs w:val="21"/>
                      <w:highlight w:val="none"/>
                    </w:rPr>
                    <w:t>高排气筒排放</w:t>
                  </w:r>
                </w:p>
              </w:tc>
              <w:tc>
                <w:tcPr>
                  <w:tcW w:w="758" w:type="pct"/>
                  <w:vMerge w:val="restart"/>
                  <w:vAlign w:val="center"/>
                </w:tcPr>
                <w:p w14:paraId="310C915E">
                  <w:pPr>
                    <w:spacing w:line="240" w:lineRule="auto"/>
                    <w:jc w:val="center"/>
                    <w:rPr>
                      <w:color w:val="auto"/>
                      <w:sz w:val="21"/>
                      <w:szCs w:val="21"/>
                      <w:highlight w:val="none"/>
                    </w:rPr>
                  </w:pPr>
                  <w:r>
                    <w:rPr>
                      <w:color w:val="auto"/>
                      <w:sz w:val="21"/>
                      <w:szCs w:val="21"/>
                      <w:highlight w:val="none"/>
                    </w:rPr>
                    <w:t>排气筒设置情况；污染物实际排放浓度</w:t>
                  </w:r>
                </w:p>
              </w:tc>
              <w:tc>
                <w:tcPr>
                  <w:tcW w:w="1740" w:type="pct"/>
                  <w:vAlign w:val="center"/>
                </w:tcPr>
                <w:p w14:paraId="7C381D10">
                  <w:pPr>
                    <w:spacing w:line="24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《合成树脂工业污染物排放标准》(GB31572-2015) 及其 2024 年修改单中表 5 大气污染物特别排放限值</w:t>
                  </w:r>
                </w:p>
              </w:tc>
            </w:tr>
            <w:tr w14:paraId="1BBC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2D8C0710">
                  <w:pPr>
                    <w:spacing w:line="240" w:lineRule="auto"/>
                    <w:jc w:val="center"/>
                    <w:rPr>
                      <w:color w:val="auto"/>
                      <w:sz w:val="21"/>
                      <w:szCs w:val="21"/>
                      <w:highlight w:val="none"/>
                    </w:rPr>
                  </w:pPr>
                </w:p>
              </w:tc>
              <w:tc>
                <w:tcPr>
                  <w:tcW w:w="661" w:type="pct"/>
                  <w:vMerge w:val="continue"/>
                  <w:vAlign w:val="center"/>
                </w:tcPr>
                <w:p w14:paraId="351089F4">
                  <w:pPr>
                    <w:pStyle w:val="2"/>
                    <w:rPr>
                      <w:rFonts w:hint="eastAsia"/>
                      <w:color w:val="auto"/>
                      <w:sz w:val="21"/>
                      <w:szCs w:val="21"/>
                      <w:highlight w:val="none"/>
                      <w:lang w:val="en-US" w:eastAsia="zh-CN"/>
                    </w:rPr>
                  </w:pPr>
                </w:p>
              </w:tc>
              <w:tc>
                <w:tcPr>
                  <w:tcW w:w="763" w:type="pct"/>
                  <w:vAlign w:val="center"/>
                </w:tcPr>
                <w:p w14:paraId="5D1AA80C">
                  <w:pPr>
                    <w:pStyle w:val="64"/>
                    <w:rPr>
                      <w:rFonts w:hint="eastAsia"/>
                      <w:color w:val="auto"/>
                      <w:kern w:val="2"/>
                      <w:highlight w:val="none"/>
                      <w:lang w:val="en-US" w:eastAsia="zh-CN"/>
                    </w:rPr>
                  </w:pPr>
                  <w:r>
                    <w:rPr>
                      <w:rFonts w:hint="eastAsia"/>
                      <w:color w:val="auto"/>
                      <w:kern w:val="2"/>
                      <w:highlight w:val="none"/>
                      <w:lang w:val="en-US" w:eastAsia="zh-CN"/>
                    </w:rPr>
                    <w:t>臭气浓度</w:t>
                  </w:r>
                </w:p>
              </w:tc>
              <w:tc>
                <w:tcPr>
                  <w:tcW w:w="695" w:type="pct"/>
                  <w:vMerge w:val="continue"/>
                  <w:vAlign w:val="center"/>
                </w:tcPr>
                <w:p w14:paraId="479211E9">
                  <w:pPr>
                    <w:spacing w:line="240" w:lineRule="auto"/>
                    <w:jc w:val="center"/>
                    <w:rPr>
                      <w:rFonts w:hint="eastAsia"/>
                      <w:color w:val="auto"/>
                      <w:sz w:val="21"/>
                      <w:szCs w:val="21"/>
                      <w:highlight w:val="none"/>
                    </w:rPr>
                  </w:pPr>
                </w:p>
              </w:tc>
              <w:tc>
                <w:tcPr>
                  <w:tcW w:w="758" w:type="pct"/>
                  <w:vMerge w:val="continue"/>
                  <w:vAlign w:val="center"/>
                </w:tcPr>
                <w:p w14:paraId="3BA55741">
                  <w:pPr>
                    <w:spacing w:line="240" w:lineRule="auto"/>
                    <w:jc w:val="center"/>
                    <w:rPr>
                      <w:color w:val="auto"/>
                      <w:sz w:val="21"/>
                      <w:szCs w:val="21"/>
                      <w:highlight w:val="none"/>
                    </w:rPr>
                  </w:pPr>
                </w:p>
              </w:tc>
              <w:tc>
                <w:tcPr>
                  <w:tcW w:w="1740" w:type="pct"/>
                  <w:vAlign w:val="center"/>
                </w:tcPr>
                <w:p w14:paraId="5FEC72A4">
                  <w:pPr>
                    <w:spacing w:line="240" w:lineRule="auto"/>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《恶臭污染物排放标准》（GB14554-93）表2污染物排放标准值</w:t>
                  </w:r>
                </w:p>
              </w:tc>
            </w:tr>
            <w:tr w14:paraId="168A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613FBAAD">
                  <w:pPr>
                    <w:spacing w:line="240" w:lineRule="auto"/>
                    <w:jc w:val="center"/>
                    <w:rPr>
                      <w:color w:val="auto"/>
                      <w:sz w:val="21"/>
                      <w:szCs w:val="21"/>
                      <w:highlight w:val="none"/>
                    </w:rPr>
                  </w:pPr>
                </w:p>
              </w:tc>
              <w:tc>
                <w:tcPr>
                  <w:tcW w:w="661" w:type="pct"/>
                  <w:vAlign w:val="center"/>
                </w:tcPr>
                <w:p w14:paraId="52E97A7C">
                  <w:pPr>
                    <w:spacing w:line="240" w:lineRule="auto"/>
                    <w:jc w:val="center"/>
                    <w:rPr>
                      <w:rFonts w:hint="eastAsia" w:eastAsia="宋体"/>
                      <w:color w:val="auto"/>
                      <w:sz w:val="21"/>
                      <w:szCs w:val="21"/>
                      <w:highlight w:val="none"/>
                      <w:lang w:eastAsia="zh-CN"/>
                    </w:rPr>
                  </w:pPr>
                  <w:r>
                    <w:rPr>
                      <w:rFonts w:hint="eastAsia"/>
                      <w:color w:val="auto"/>
                      <w:sz w:val="21"/>
                      <w:szCs w:val="21"/>
                      <w:highlight w:val="none"/>
                    </w:rPr>
                    <w:t>油烟DA00</w:t>
                  </w:r>
                  <w:r>
                    <w:rPr>
                      <w:rFonts w:hint="eastAsia"/>
                      <w:color w:val="auto"/>
                      <w:sz w:val="21"/>
                      <w:szCs w:val="21"/>
                      <w:highlight w:val="none"/>
                      <w:lang w:val="en-US" w:eastAsia="zh-CN"/>
                    </w:rPr>
                    <w:t>3</w:t>
                  </w:r>
                </w:p>
              </w:tc>
              <w:tc>
                <w:tcPr>
                  <w:tcW w:w="763" w:type="pct"/>
                  <w:vAlign w:val="center"/>
                </w:tcPr>
                <w:p w14:paraId="33AEC4ED">
                  <w:pPr>
                    <w:pStyle w:val="64"/>
                    <w:rPr>
                      <w:color w:val="auto"/>
                      <w:kern w:val="2"/>
                      <w:highlight w:val="none"/>
                    </w:rPr>
                  </w:pPr>
                  <w:r>
                    <w:rPr>
                      <w:rFonts w:hint="eastAsia"/>
                      <w:color w:val="auto"/>
                      <w:kern w:val="2"/>
                      <w:highlight w:val="none"/>
                    </w:rPr>
                    <w:t>油烟</w:t>
                  </w:r>
                </w:p>
              </w:tc>
              <w:tc>
                <w:tcPr>
                  <w:tcW w:w="695" w:type="pct"/>
                  <w:vAlign w:val="center"/>
                </w:tcPr>
                <w:p w14:paraId="736ECE98">
                  <w:pPr>
                    <w:spacing w:line="240" w:lineRule="auto"/>
                    <w:jc w:val="center"/>
                    <w:rPr>
                      <w:color w:val="auto"/>
                      <w:sz w:val="21"/>
                      <w:szCs w:val="21"/>
                      <w:highlight w:val="none"/>
                    </w:rPr>
                  </w:pPr>
                  <w:r>
                    <w:rPr>
                      <w:rFonts w:hint="eastAsia"/>
                      <w:color w:val="auto"/>
                      <w:sz w:val="21"/>
                      <w:szCs w:val="21"/>
                      <w:highlight w:val="none"/>
                    </w:rPr>
                    <w:t>油烟净化器</w:t>
                  </w:r>
                </w:p>
              </w:tc>
              <w:tc>
                <w:tcPr>
                  <w:tcW w:w="758" w:type="pct"/>
                  <w:vAlign w:val="center"/>
                </w:tcPr>
                <w:p w14:paraId="130FD784">
                  <w:pPr>
                    <w:spacing w:line="240" w:lineRule="auto"/>
                    <w:jc w:val="center"/>
                    <w:rPr>
                      <w:color w:val="auto"/>
                      <w:sz w:val="21"/>
                      <w:szCs w:val="21"/>
                      <w:highlight w:val="none"/>
                    </w:rPr>
                  </w:pPr>
                  <w:r>
                    <w:rPr>
                      <w:color w:val="auto"/>
                      <w:sz w:val="21"/>
                      <w:szCs w:val="21"/>
                      <w:highlight w:val="none"/>
                    </w:rPr>
                    <w:t>排气筒设置情况；污染物实际排放浓度</w:t>
                  </w:r>
                </w:p>
              </w:tc>
              <w:tc>
                <w:tcPr>
                  <w:tcW w:w="1740" w:type="pct"/>
                  <w:vAlign w:val="center"/>
                </w:tcPr>
                <w:p w14:paraId="565342D6">
                  <w:pPr>
                    <w:spacing w:line="240" w:lineRule="auto"/>
                    <w:jc w:val="center"/>
                    <w:rPr>
                      <w:color w:val="auto"/>
                      <w:sz w:val="21"/>
                      <w:szCs w:val="21"/>
                      <w:highlight w:val="none"/>
                    </w:rPr>
                  </w:pPr>
                  <w:r>
                    <w:rPr>
                      <w:color w:val="auto"/>
                      <w:sz w:val="21"/>
                      <w:szCs w:val="21"/>
                      <w:highlight w:val="none"/>
                    </w:rPr>
                    <w:t>《饮食业油烟排放标准</w:t>
                  </w:r>
                  <w:r>
                    <w:rPr>
                      <w:rFonts w:hint="eastAsia"/>
                      <w:color w:val="auto"/>
                      <w:sz w:val="21"/>
                      <w:szCs w:val="21"/>
                      <w:highlight w:val="none"/>
                      <w:lang w:eastAsia="zh-CN"/>
                    </w:rPr>
                    <w:t>（</w:t>
                  </w:r>
                  <w:r>
                    <w:rPr>
                      <w:color w:val="auto"/>
                      <w:sz w:val="21"/>
                      <w:szCs w:val="21"/>
                      <w:highlight w:val="none"/>
                    </w:rPr>
                    <w:t>试行</w:t>
                  </w:r>
                  <w:r>
                    <w:rPr>
                      <w:rFonts w:hint="eastAsia"/>
                      <w:color w:val="auto"/>
                      <w:sz w:val="21"/>
                      <w:szCs w:val="21"/>
                      <w:highlight w:val="none"/>
                      <w:lang w:eastAsia="zh-CN"/>
                    </w:rPr>
                    <w:t>）</w:t>
                  </w:r>
                  <w:r>
                    <w:rPr>
                      <w:color w:val="auto"/>
                      <w:sz w:val="21"/>
                      <w:szCs w:val="21"/>
                      <w:highlight w:val="none"/>
                    </w:rPr>
                    <w:t>》（GB18483-2001）</w:t>
                  </w:r>
                  <w:r>
                    <w:rPr>
                      <w:rFonts w:hint="eastAsia"/>
                      <w:color w:val="auto"/>
                      <w:sz w:val="21"/>
                      <w:szCs w:val="21"/>
                      <w:highlight w:val="none"/>
                    </w:rPr>
                    <w:t>中</w:t>
                  </w:r>
                  <w:r>
                    <w:rPr>
                      <w:color w:val="auto"/>
                      <w:sz w:val="21"/>
                      <w:szCs w:val="21"/>
                      <w:highlight w:val="none"/>
                    </w:rPr>
                    <w:t>型规模标准</w:t>
                  </w:r>
                </w:p>
              </w:tc>
            </w:tr>
            <w:tr w14:paraId="4A9E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F07B72B">
                  <w:pPr>
                    <w:spacing w:line="240" w:lineRule="auto"/>
                    <w:jc w:val="center"/>
                    <w:rPr>
                      <w:color w:val="auto"/>
                      <w:sz w:val="21"/>
                      <w:szCs w:val="21"/>
                      <w:highlight w:val="none"/>
                    </w:rPr>
                  </w:pPr>
                </w:p>
              </w:tc>
              <w:tc>
                <w:tcPr>
                  <w:tcW w:w="661" w:type="pct"/>
                  <w:vMerge w:val="restart"/>
                  <w:vAlign w:val="center"/>
                </w:tcPr>
                <w:p w14:paraId="34D28996">
                  <w:pPr>
                    <w:spacing w:line="240" w:lineRule="auto"/>
                    <w:jc w:val="center"/>
                    <w:rPr>
                      <w:color w:val="auto"/>
                      <w:sz w:val="21"/>
                      <w:szCs w:val="21"/>
                      <w:highlight w:val="none"/>
                    </w:rPr>
                  </w:pPr>
                  <w:r>
                    <w:rPr>
                      <w:color w:val="auto"/>
                      <w:sz w:val="21"/>
                      <w:szCs w:val="21"/>
                      <w:highlight w:val="none"/>
                    </w:rPr>
                    <w:t>污水处理站恶臭</w:t>
                  </w:r>
                </w:p>
              </w:tc>
              <w:tc>
                <w:tcPr>
                  <w:tcW w:w="763" w:type="pct"/>
                  <w:vAlign w:val="center"/>
                </w:tcPr>
                <w:p w14:paraId="0BE614E0">
                  <w:pPr>
                    <w:spacing w:line="240" w:lineRule="auto"/>
                    <w:jc w:val="center"/>
                    <w:rPr>
                      <w:color w:val="auto"/>
                      <w:sz w:val="21"/>
                      <w:szCs w:val="21"/>
                      <w:highlight w:val="none"/>
                    </w:rPr>
                  </w:pPr>
                  <w:r>
                    <w:rPr>
                      <w:color w:val="auto"/>
                      <w:sz w:val="21"/>
                      <w:szCs w:val="21"/>
                      <w:highlight w:val="none"/>
                    </w:rPr>
                    <w:t>臭气浓度</w:t>
                  </w:r>
                </w:p>
              </w:tc>
              <w:tc>
                <w:tcPr>
                  <w:tcW w:w="695" w:type="pct"/>
                  <w:vMerge w:val="restart"/>
                  <w:vAlign w:val="center"/>
                </w:tcPr>
                <w:p w14:paraId="714D7685">
                  <w:pPr>
                    <w:spacing w:line="240" w:lineRule="auto"/>
                    <w:jc w:val="center"/>
                    <w:rPr>
                      <w:color w:val="auto"/>
                      <w:sz w:val="21"/>
                      <w:szCs w:val="21"/>
                      <w:highlight w:val="none"/>
                    </w:rPr>
                  </w:pPr>
                  <w:r>
                    <w:rPr>
                      <w:color w:val="auto"/>
                      <w:sz w:val="21"/>
                      <w:szCs w:val="21"/>
                      <w:highlight w:val="none"/>
                    </w:rPr>
                    <w:t>采取加盖密闭、加强</w:t>
                  </w:r>
                </w:p>
              </w:tc>
              <w:tc>
                <w:tcPr>
                  <w:tcW w:w="758" w:type="pct"/>
                  <w:vMerge w:val="restart"/>
                  <w:vAlign w:val="center"/>
                </w:tcPr>
                <w:p w14:paraId="442EA2C4">
                  <w:pPr>
                    <w:spacing w:line="240" w:lineRule="auto"/>
                    <w:jc w:val="center"/>
                    <w:rPr>
                      <w:color w:val="auto"/>
                      <w:sz w:val="21"/>
                      <w:szCs w:val="21"/>
                      <w:highlight w:val="none"/>
                    </w:rPr>
                  </w:pPr>
                  <w:r>
                    <w:rPr>
                      <w:color w:val="auto"/>
                      <w:sz w:val="21"/>
                      <w:szCs w:val="21"/>
                      <w:highlight w:val="none"/>
                    </w:rPr>
                    <w:t>废气防治措施；厂界浓度监测</w:t>
                  </w:r>
                </w:p>
              </w:tc>
              <w:tc>
                <w:tcPr>
                  <w:tcW w:w="1740" w:type="pct"/>
                  <w:vMerge w:val="restart"/>
                  <w:vAlign w:val="center"/>
                </w:tcPr>
                <w:p w14:paraId="7633F939">
                  <w:pPr>
                    <w:spacing w:line="240" w:lineRule="auto"/>
                    <w:jc w:val="center"/>
                    <w:rPr>
                      <w:color w:val="auto"/>
                      <w:sz w:val="21"/>
                      <w:szCs w:val="21"/>
                      <w:highlight w:val="none"/>
                    </w:rPr>
                  </w:pPr>
                  <w:r>
                    <w:rPr>
                      <w:color w:val="auto"/>
                      <w:sz w:val="21"/>
                      <w:szCs w:val="21"/>
                      <w:highlight w:val="none"/>
                    </w:rPr>
                    <w:t>《恶臭污染物排放标准》(GB14554-93)表1二级标准中“新改扩建”限值要求</w:t>
                  </w:r>
                </w:p>
              </w:tc>
            </w:tr>
            <w:tr w14:paraId="7FED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37528904">
                  <w:pPr>
                    <w:spacing w:line="240" w:lineRule="auto"/>
                    <w:jc w:val="center"/>
                    <w:rPr>
                      <w:color w:val="auto"/>
                      <w:sz w:val="21"/>
                      <w:szCs w:val="21"/>
                      <w:highlight w:val="none"/>
                    </w:rPr>
                  </w:pPr>
                </w:p>
              </w:tc>
              <w:tc>
                <w:tcPr>
                  <w:tcW w:w="661" w:type="pct"/>
                  <w:vMerge w:val="continue"/>
                  <w:vAlign w:val="center"/>
                </w:tcPr>
                <w:p w14:paraId="14E4E4F1">
                  <w:pPr>
                    <w:spacing w:line="240" w:lineRule="auto"/>
                    <w:jc w:val="center"/>
                    <w:rPr>
                      <w:color w:val="auto"/>
                      <w:sz w:val="21"/>
                      <w:szCs w:val="21"/>
                      <w:highlight w:val="none"/>
                    </w:rPr>
                  </w:pPr>
                </w:p>
              </w:tc>
              <w:tc>
                <w:tcPr>
                  <w:tcW w:w="763" w:type="pct"/>
                  <w:vAlign w:val="center"/>
                </w:tcPr>
                <w:p w14:paraId="28E55D0F">
                  <w:pPr>
                    <w:spacing w:line="240" w:lineRule="auto"/>
                    <w:jc w:val="center"/>
                    <w:rPr>
                      <w:color w:val="auto"/>
                      <w:sz w:val="21"/>
                      <w:szCs w:val="21"/>
                      <w:highlight w:val="none"/>
                    </w:rPr>
                  </w:pPr>
                  <w:r>
                    <w:rPr>
                      <w:color w:val="auto"/>
                      <w:sz w:val="21"/>
                      <w:szCs w:val="21"/>
                      <w:highlight w:val="none"/>
                    </w:rPr>
                    <w:t>氨气</w:t>
                  </w:r>
                </w:p>
              </w:tc>
              <w:tc>
                <w:tcPr>
                  <w:tcW w:w="695" w:type="pct"/>
                  <w:vMerge w:val="continue"/>
                  <w:vAlign w:val="center"/>
                </w:tcPr>
                <w:p w14:paraId="256F5EDC">
                  <w:pPr>
                    <w:spacing w:line="240" w:lineRule="auto"/>
                    <w:jc w:val="center"/>
                    <w:rPr>
                      <w:color w:val="auto"/>
                      <w:sz w:val="21"/>
                      <w:szCs w:val="21"/>
                      <w:highlight w:val="none"/>
                    </w:rPr>
                  </w:pPr>
                </w:p>
              </w:tc>
              <w:tc>
                <w:tcPr>
                  <w:tcW w:w="758" w:type="pct"/>
                  <w:vMerge w:val="continue"/>
                  <w:vAlign w:val="center"/>
                </w:tcPr>
                <w:p w14:paraId="47254018">
                  <w:pPr>
                    <w:spacing w:line="240" w:lineRule="auto"/>
                    <w:jc w:val="center"/>
                    <w:rPr>
                      <w:color w:val="auto"/>
                      <w:sz w:val="21"/>
                      <w:szCs w:val="21"/>
                      <w:highlight w:val="none"/>
                    </w:rPr>
                  </w:pPr>
                </w:p>
              </w:tc>
              <w:tc>
                <w:tcPr>
                  <w:tcW w:w="1740" w:type="pct"/>
                  <w:vMerge w:val="continue"/>
                  <w:vAlign w:val="center"/>
                </w:tcPr>
                <w:p w14:paraId="3E87E696">
                  <w:pPr>
                    <w:spacing w:line="240" w:lineRule="auto"/>
                    <w:jc w:val="center"/>
                    <w:rPr>
                      <w:color w:val="auto"/>
                      <w:sz w:val="21"/>
                      <w:szCs w:val="21"/>
                      <w:highlight w:val="none"/>
                    </w:rPr>
                  </w:pPr>
                </w:p>
              </w:tc>
            </w:tr>
            <w:tr w14:paraId="0456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5CB3C63E">
                  <w:pPr>
                    <w:spacing w:line="240" w:lineRule="auto"/>
                    <w:jc w:val="center"/>
                    <w:rPr>
                      <w:color w:val="auto"/>
                      <w:sz w:val="21"/>
                      <w:szCs w:val="21"/>
                      <w:highlight w:val="none"/>
                    </w:rPr>
                  </w:pPr>
                </w:p>
              </w:tc>
              <w:tc>
                <w:tcPr>
                  <w:tcW w:w="661" w:type="pct"/>
                  <w:vMerge w:val="continue"/>
                  <w:vAlign w:val="center"/>
                </w:tcPr>
                <w:p w14:paraId="4C5ABA8A">
                  <w:pPr>
                    <w:spacing w:line="240" w:lineRule="auto"/>
                    <w:jc w:val="center"/>
                    <w:rPr>
                      <w:color w:val="auto"/>
                      <w:sz w:val="21"/>
                      <w:szCs w:val="21"/>
                      <w:highlight w:val="none"/>
                    </w:rPr>
                  </w:pPr>
                </w:p>
              </w:tc>
              <w:tc>
                <w:tcPr>
                  <w:tcW w:w="763" w:type="pct"/>
                  <w:vAlign w:val="center"/>
                </w:tcPr>
                <w:p w14:paraId="2D4D096D">
                  <w:pPr>
                    <w:spacing w:line="240" w:lineRule="auto"/>
                    <w:jc w:val="center"/>
                    <w:rPr>
                      <w:color w:val="auto"/>
                      <w:sz w:val="21"/>
                      <w:szCs w:val="21"/>
                      <w:highlight w:val="none"/>
                    </w:rPr>
                  </w:pPr>
                  <w:r>
                    <w:rPr>
                      <w:color w:val="auto"/>
                      <w:sz w:val="21"/>
                      <w:szCs w:val="21"/>
                      <w:highlight w:val="none"/>
                    </w:rPr>
                    <w:t>硫化氢</w:t>
                  </w:r>
                </w:p>
              </w:tc>
              <w:tc>
                <w:tcPr>
                  <w:tcW w:w="695" w:type="pct"/>
                  <w:vMerge w:val="continue"/>
                  <w:vAlign w:val="center"/>
                </w:tcPr>
                <w:p w14:paraId="41513E56">
                  <w:pPr>
                    <w:spacing w:line="240" w:lineRule="auto"/>
                    <w:jc w:val="center"/>
                    <w:rPr>
                      <w:color w:val="auto"/>
                      <w:sz w:val="21"/>
                      <w:szCs w:val="21"/>
                      <w:highlight w:val="none"/>
                    </w:rPr>
                  </w:pPr>
                </w:p>
              </w:tc>
              <w:tc>
                <w:tcPr>
                  <w:tcW w:w="758" w:type="pct"/>
                  <w:vMerge w:val="continue"/>
                  <w:vAlign w:val="center"/>
                </w:tcPr>
                <w:p w14:paraId="637D1557">
                  <w:pPr>
                    <w:spacing w:line="240" w:lineRule="auto"/>
                    <w:jc w:val="center"/>
                    <w:rPr>
                      <w:color w:val="auto"/>
                      <w:sz w:val="21"/>
                      <w:szCs w:val="21"/>
                      <w:highlight w:val="none"/>
                    </w:rPr>
                  </w:pPr>
                </w:p>
              </w:tc>
              <w:tc>
                <w:tcPr>
                  <w:tcW w:w="1740" w:type="pct"/>
                  <w:vMerge w:val="continue"/>
                  <w:vAlign w:val="center"/>
                </w:tcPr>
                <w:p w14:paraId="5FB45B44">
                  <w:pPr>
                    <w:spacing w:line="240" w:lineRule="auto"/>
                    <w:jc w:val="center"/>
                    <w:rPr>
                      <w:color w:val="auto"/>
                      <w:sz w:val="21"/>
                      <w:szCs w:val="21"/>
                      <w:highlight w:val="none"/>
                    </w:rPr>
                  </w:pPr>
                </w:p>
              </w:tc>
            </w:tr>
            <w:tr w14:paraId="4565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325CF2BD">
                  <w:pPr>
                    <w:spacing w:line="240" w:lineRule="auto"/>
                    <w:jc w:val="center"/>
                    <w:rPr>
                      <w:color w:val="auto"/>
                      <w:sz w:val="21"/>
                      <w:szCs w:val="21"/>
                      <w:highlight w:val="none"/>
                    </w:rPr>
                  </w:pPr>
                  <w:r>
                    <w:rPr>
                      <w:color w:val="auto"/>
                      <w:sz w:val="21"/>
                      <w:szCs w:val="21"/>
                      <w:highlight w:val="none"/>
                    </w:rPr>
                    <w:t>噪声</w:t>
                  </w:r>
                </w:p>
              </w:tc>
              <w:tc>
                <w:tcPr>
                  <w:tcW w:w="661" w:type="pct"/>
                  <w:vAlign w:val="center"/>
                </w:tcPr>
                <w:p w14:paraId="5B92707B">
                  <w:pPr>
                    <w:spacing w:line="240" w:lineRule="auto"/>
                    <w:jc w:val="center"/>
                    <w:rPr>
                      <w:color w:val="auto"/>
                      <w:sz w:val="21"/>
                      <w:szCs w:val="21"/>
                      <w:highlight w:val="none"/>
                    </w:rPr>
                  </w:pPr>
                  <w:r>
                    <w:rPr>
                      <w:color w:val="auto"/>
                      <w:sz w:val="21"/>
                      <w:szCs w:val="21"/>
                      <w:highlight w:val="none"/>
                    </w:rPr>
                    <w:t>设备噪声</w:t>
                  </w:r>
                </w:p>
              </w:tc>
              <w:tc>
                <w:tcPr>
                  <w:tcW w:w="763" w:type="pct"/>
                  <w:vAlign w:val="center"/>
                </w:tcPr>
                <w:p w14:paraId="0F365A24">
                  <w:pPr>
                    <w:spacing w:line="240" w:lineRule="auto"/>
                    <w:jc w:val="center"/>
                    <w:rPr>
                      <w:color w:val="auto"/>
                      <w:sz w:val="21"/>
                      <w:szCs w:val="21"/>
                      <w:highlight w:val="none"/>
                    </w:rPr>
                  </w:pPr>
                  <w:r>
                    <w:rPr>
                      <w:color w:val="auto"/>
                      <w:sz w:val="21"/>
                      <w:szCs w:val="21"/>
                      <w:highlight w:val="none"/>
                    </w:rPr>
                    <w:t>边界等效声级</w:t>
                  </w:r>
                </w:p>
              </w:tc>
              <w:tc>
                <w:tcPr>
                  <w:tcW w:w="695" w:type="pct"/>
                  <w:vAlign w:val="center"/>
                </w:tcPr>
                <w:p w14:paraId="2B8D1DAE">
                  <w:pPr>
                    <w:spacing w:line="240" w:lineRule="auto"/>
                    <w:jc w:val="center"/>
                    <w:rPr>
                      <w:color w:val="auto"/>
                      <w:sz w:val="21"/>
                      <w:szCs w:val="21"/>
                      <w:highlight w:val="none"/>
                    </w:rPr>
                  </w:pPr>
                  <w:r>
                    <w:rPr>
                      <w:color w:val="auto"/>
                      <w:sz w:val="21"/>
                      <w:szCs w:val="21"/>
                      <w:highlight w:val="none"/>
                    </w:rPr>
                    <w:t>减振、隔声、吸声、消声等</w:t>
                  </w:r>
                </w:p>
              </w:tc>
              <w:tc>
                <w:tcPr>
                  <w:tcW w:w="758" w:type="pct"/>
                  <w:vAlign w:val="center"/>
                </w:tcPr>
                <w:p w14:paraId="37E746FE">
                  <w:pPr>
                    <w:spacing w:line="240" w:lineRule="auto"/>
                    <w:jc w:val="center"/>
                    <w:rPr>
                      <w:color w:val="auto"/>
                      <w:sz w:val="21"/>
                      <w:szCs w:val="21"/>
                      <w:highlight w:val="none"/>
                    </w:rPr>
                  </w:pPr>
                  <w:r>
                    <w:rPr>
                      <w:color w:val="auto"/>
                      <w:sz w:val="21"/>
                      <w:szCs w:val="21"/>
                      <w:highlight w:val="none"/>
                    </w:rPr>
                    <w:t>厂界噪声</w:t>
                  </w:r>
                </w:p>
              </w:tc>
              <w:tc>
                <w:tcPr>
                  <w:tcW w:w="1740" w:type="pct"/>
                  <w:vAlign w:val="center"/>
                </w:tcPr>
                <w:p w14:paraId="34DBCF2B">
                  <w:pPr>
                    <w:spacing w:line="240" w:lineRule="auto"/>
                    <w:jc w:val="center"/>
                    <w:rPr>
                      <w:color w:val="auto"/>
                      <w:sz w:val="21"/>
                      <w:szCs w:val="21"/>
                      <w:highlight w:val="none"/>
                    </w:rPr>
                  </w:pPr>
                  <w:r>
                    <w:rPr>
                      <w:rFonts w:hint="eastAsia"/>
                      <w:color w:val="auto"/>
                      <w:sz w:val="21"/>
                      <w:szCs w:val="21"/>
                      <w:highlight w:val="none"/>
                    </w:rPr>
                    <w:t>东</w:t>
                  </w:r>
                  <w:r>
                    <w:rPr>
                      <w:rFonts w:hint="eastAsia"/>
                      <w:color w:val="auto"/>
                      <w:sz w:val="21"/>
                      <w:szCs w:val="21"/>
                      <w:highlight w:val="none"/>
                      <w:lang w:eastAsia="zh-CN"/>
                    </w:rPr>
                    <w:t>、</w:t>
                  </w:r>
                  <w:r>
                    <w:rPr>
                      <w:rFonts w:hint="eastAsia"/>
                      <w:color w:val="auto"/>
                      <w:sz w:val="21"/>
                      <w:szCs w:val="21"/>
                      <w:highlight w:val="none"/>
                    </w:rPr>
                    <w:t>北厂界外1米处可达到《工业企业场界环境噪声排放标准》（GB12348-2008）中的4a类标准，</w:t>
                  </w:r>
                  <w:r>
                    <w:rPr>
                      <w:rFonts w:hint="eastAsia"/>
                      <w:color w:val="auto"/>
                      <w:sz w:val="21"/>
                      <w:szCs w:val="21"/>
                      <w:highlight w:val="none"/>
                      <w:lang w:val="en-US" w:eastAsia="zh-CN"/>
                    </w:rPr>
                    <w:t>南、西</w:t>
                  </w:r>
                  <w:r>
                    <w:rPr>
                      <w:rFonts w:hint="eastAsia"/>
                      <w:color w:val="auto"/>
                      <w:sz w:val="21"/>
                      <w:szCs w:val="21"/>
                      <w:highlight w:val="none"/>
                    </w:rPr>
                    <w:t>厂界外1米处可达到《工业企业场界环境噪声排放标准》（GB12348-2008）中的</w:t>
                  </w:r>
                  <w:r>
                    <w:rPr>
                      <w:rFonts w:hint="eastAsia"/>
                      <w:color w:val="auto"/>
                      <w:sz w:val="21"/>
                      <w:szCs w:val="21"/>
                      <w:highlight w:val="none"/>
                      <w:lang w:val="en-US" w:eastAsia="zh-CN"/>
                    </w:rPr>
                    <w:t>3</w:t>
                  </w:r>
                  <w:r>
                    <w:rPr>
                      <w:rFonts w:hint="eastAsia"/>
                      <w:color w:val="auto"/>
                      <w:sz w:val="21"/>
                      <w:szCs w:val="21"/>
                      <w:highlight w:val="none"/>
                    </w:rPr>
                    <w:t>类标准</w:t>
                  </w:r>
                </w:p>
              </w:tc>
            </w:tr>
            <w:tr w14:paraId="5A00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restart"/>
                  <w:vAlign w:val="center"/>
                </w:tcPr>
                <w:p w14:paraId="540B170C">
                  <w:pPr>
                    <w:spacing w:line="240" w:lineRule="auto"/>
                    <w:jc w:val="center"/>
                    <w:rPr>
                      <w:color w:val="auto"/>
                      <w:sz w:val="21"/>
                      <w:szCs w:val="21"/>
                      <w:highlight w:val="none"/>
                    </w:rPr>
                  </w:pPr>
                  <w:r>
                    <w:rPr>
                      <w:color w:val="auto"/>
                      <w:sz w:val="21"/>
                      <w:szCs w:val="21"/>
                      <w:highlight w:val="none"/>
                    </w:rPr>
                    <w:t>固体</w:t>
                  </w:r>
                </w:p>
                <w:p w14:paraId="0D8B65F4">
                  <w:pPr>
                    <w:spacing w:line="240" w:lineRule="auto"/>
                    <w:jc w:val="center"/>
                    <w:rPr>
                      <w:color w:val="auto"/>
                      <w:sz w:val="21"/>
                      <w:szCs w:val="21"/>
                      <w:highlight w:val="none"/>
                    </w:rPr>
                  </w:pPr>
                  <w:r>
                    <w:rPr>
                      <w:color w:val="auto"/>
                      <w:sz w:val="21"/>
                      <w:szCs w:val="21"/>
                      <w:highlight w:val="none"/>
                    </w:rPr>
                    <w:t>废物</w:t>
                  </w:r>
                </w:p>
              </w:tc>
              <w:tc>
                <w:tcPr>
                  <w:tcW w:w="661" w:type="pct"/>
                  <w:vAlign w:val="center"/>
                </w:tcPr>
                <w:p w14:paraId="37F186A8">
                  <w:pPr>
                    <w:spacing w:line="240" w:lineRule="auto"/>
                    <w:jc w:val="center"/>
                    <w:rPr>
                      <w:color w:val="auto"/>
                      <w:sz w:val="21"/>
                      <w:szCs w:val="21"/>
                      <w:highlight w:val="none"/>
                    </w:rPr>
                  </w:pPr>
                  <w:r>
                    <w:rPr>
                      <w:color w:val="auto"/>
                      <w:sz w:val="21"/>
                      <w:szCs w:val="21"/>
                      <w:highlight w:val="none"/>
                    </w:rPr>
                    <w:t>生活垃圾</w:t>
                  </w:r>
                </w:p>
              </w:tc>
              <w:tc>
                <w:tcPr>
                  <w:tcW w:w="763" w:type="pct"/>
                  <w:vAlign w:val="center"/>
                </w:tcPr>
                <w:p w14:paraId="0B5B2585">
                  <w:pPr>
                    <w:spacing w:line="240" w:lineRule="auto"/>
                    <w:jc w:val="center"/>
                    <w:rPr>
                      <w:color w:val="auto"/>
                      <w:sz w:val="21"/>
                      <w:szCs w:val="21"/>
                      <w:highlight w:val="none"/>
                    </w:rPr>
                  </w:pPr>
                  <w:r>
                    <w:rPr>
                      <w:color w:val="auto"/>
                      <w:sz w:val="21"/>
                      <w:szCs w:val="21"/>
                      <w:highlight w:val="none"/>
                    </w:rPr>
                    <w:t>/</w:t>
                  </w:r>
                </w:p>
              </w:tc>
              <w:tc>
                <w:tcPr>
                  <w:tcW w:w="695" w:type="pct"/>
                  <w:vAlign w:val="center"/>
                </w:tcPr>
                <w:p w14:paraId="03A4DC7B">
                  <w:pPr>
                    <w:spacing w:line="240" w:lineRule="auto"/>
                    <w:jc w:val="center"/>
                    <w:rPr>
                      <w:color w:val="auto"/>
                      <w:sz w:val="21"/>
                      <w:szCs w:val="21"/>
                      <w:highlight w:val="none"/>
                    </w:rPr>
                  </w:pPr>
                  <w:r>
                    <w:rPr>
                      <w:color w:val="auto"/>
                      <w:sz w:val="21"/>
                      <w:szCs w:val="21"/>
                      <w:highlight w:val="none"/>
                    </w:rPr>
                    <w:t>交由环卫部门定期清理</w:t>
                  </w:r>
                </w:p>
              </w:tc>
              <w:tc>
                <w:tcPr>
                  <w:tcW w:w="758" w:type="pct"/>
                  <w:vMerge w:val="restart"/>
                  <w:vAlign w:val="center"/>
                </w:tcPr>
                <w:p w14:paraId="421AAAF7">
                  <w:pPr>
                    <w:spacing w:line="240" w:lineRule="auto"/>
                    <w:jc w:val="center"/>
                    <w:rPr>
                      <w:color w:val="auto"/>
                      <w:sz w:val="21"/>
                      <w:szCs w:val="21"/>
                      <w:highlight w:val="none"/>
                    </w:rPr>
                  </w:pPr>
                  <w:r>
                    <w:rPr>
                      <w:color w:val="auto"/>
                      <w:sz w:val="21"/>
                      <w:szCs w:val="21"/>
                      <w:highlight w:val="none"/>
                    </w:rPr>
                    <w:t>检查固废收集、储存、处置方式</w:t>
                  </w:r>
                </w:p>
              </w:tc>
              <w:tc>
                <w:tcPr>
                  <w:tcW w:w="1740" w:type="pct"/>
                  <w:vMerge w:val="restart"/>
                  <w:vAlign w:val="center"/>
                </w:tcPr>
                <w:p w14:paraId="646599B3">
                  <w:pPr>
                    <w:spacing w:line="240" w:lineRule="auto"/>
                    <w:jc w:val="center"/>
                    <w:rPr>
                      <w:color w:val="auto"/>
                      <w:sz w:val="21"/>
                      <w:szCs w:val="21"/>
                      <w:highlight w:val="none"/>
                    </w:rPr>
                  </w:pPr>
                  <w:r>
                    <w:rPr>
                      <w:color w:val="auto"/>
                      <w:sz w:val="21"/>
                      <w:szCs w:val="21"/>
                      <w:highlight w:val="none"/>
                    </w:rPr>
                    <w:t>对项目所在地环境无不良影响</w:t>
                  </w:r>
                </w:p>
              </w:tc>
            </w:tr>
            <w:tr w14:paraId="16EE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574A196A">
                  <w:pPr>
                    <w:spacing w:line="240" w:lineRule="auto"/>
                    <w:jc w:val="center"/>
                    <w:rPr>
                      <w:color w:val="auto"/>
                      <w:sz w:val="21"/>
                      <w:szCs w:val="21"/>
                      <w:highlight w:val="none"/>
                    </w:rPr>
                  </w:pPr>
                </w:p>
              </w:tc>
              <w:tc>
                <w:tcPr>
                  <w:tcW w:w="661" w:type="pct"/>
                  <w:vAlign w:val="center"/>
                </w:tcPr>
                <w:p w14:paraId="4F54E4BE">
                  <w:pPr>
                    <w:spacing w:line="240" w:lineRule="auto"/>
                    <w:jc w:val="center"/>
                    <w:rPr>
                      <w:color w:val="auto"/>
                      <w:sz w:val="21"/>
                      <w:szCs w:val="21"/>
                      <w:highlight w:val="none"/>
                    </w:rPr>
                  </w:pPr>
                  <w:r>
                    <w:rPr>
                      <w:color w:val="auto"/>
                      <w:sz w:val="21"/>
                      <w:szCs w:val="21"/>
                      <w:highlight w:val="none"/>
                    </w:rPr>
                    <w:t>包装废料</w:t>
                  </w:r>
                </w:p>
              </w:tc>
              <w:tc>
                <w:tcPr>
                  <w:tcW w:w="763" w:type="pct"/>
                  <w:vAlign w:val="center"/>
                </w:tcPr>
                <w:p w14:paraId="3B245B4E">
                  <w:pPr>
                    <w:spacing w:line="240" w:lineRule="auto"/>
                    <w:jc w:val="center"/>
                    <w:rPr>
                      <w:color w:val="auto"/>
                      <w:sz w:val="21"/>
                      <w:szCs w:val="21"/>
                      <w:highlight w:val="none"/>
                    </w:rPr>
                  </w:pPr>
                  <w:r>
                    <w:rPr>
                      <w:color w:val="auto"/>
                      <w:sz w:val="21"/>
                      <w:szCs w:val="21"/>
                      <w:highlight w:val="none"/>
                    </w:rPr>
                    <w:t>/</w:t>
                  </w:r>
                </w:p>
              </w:tc>
              <w:tc>
                <w:tcPr>
                  <w:tcW w:w="695" w:type="pct"/>
                  <w:vMerge w:val="restart"/>
                  <w:vAlign w:val="center"/>
                </w:tcPr>
                <w:p w14:paraId="3A42EAF0">
                  <w:pPr>
                    <w:spacing w:line="240" w:lineRule="auto"/>
                    <w:jc w:val="center"/>
                    <w:rPr>
                      <w:color w:val="auto"/>
                      <w:sz w:val="21"/>
                      <w:szCs w:val="21"/>
                      <w:highlight w:val="none"/>
                    </w:rPr>
                  </w:pPr>
                  <w:r>
                    <w:rPr>
                      <w:color w:val="auto"/>
                      <w:sz w:val="21"/>
                      <w:szCs w:val="21"/>
                      <w:highlight w:val="none"/>
                    </w:rPr>
                    <w:t>交由有资质单位统一清运处理</w:t>
                  </w:r>
                </w:p>
              </w:tc>
              <w:tc>
                <w:tcPr>
                  <w:tcW w:w="758" w:type="pct"/>
                  <w:vMerge w:val="continue"/>
                  <w:vAlign w:val="center"/>
                </w:tcPr>
                <w:p w14:paraId="60A4F09B">
                  <w:pPr>
                    <w:spacing w:line="240" w:lineRule="auto"/>
                    <w:jc w:val="center"/>
                    <w:rPr>
                      <w:color w:val="auto"/>
                      <w:sz w:val="21"/>
                      <w:szCs w:val="21"/>
                      <w:highlight w:val="none"/>
                    </w:rPr>
                  </w:pPr>
                </w:p>
              </w:tc>
              <w:tc>
                <w:tcPr>
                  <w:tcW w:w="1740" w:type="pct"/>
                  <w:vMerge w:val="continue"/>
                  <w:vAlign w:val="center"/>
                </w:tcPr>
                <w:p w14:paraId="3E1FEC9B">
                  <w:pPr>
                    <w:spacing w:line="240" w:lineRule="auto"/>
                    <w:jc w:val="center"/>
                    <w:rPr>
                      <w:color w:val="auto"/>
                      <w:sz w:val="21"/>
                      <w:szCs w:val="21"/>
                      <w:highlight w:val="none"/>
                    </w:rPr>
                  </w:pPr>
                </w:p>
              </w:tc>
            </w:tr>
            <w:tr w14:paraId="3049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3F58987A">
                  <w:pPr>
                    <w:spacing w:line="240" w:lineRule="auto"/>
                    <w:jc w:val="center"/>
                    <w:rPr>
                      <w:color w:val="auto"/>
                      <w:sz w:val="21"/>
                      <w:szCs w:val="21"/>
                      <w:highlight w:val="none"/>
                    </w:rPr>
                  </w:pPr>
                </w:p>
              </w:tc>
              <w:tc>
                <w:tcPr>
                  <w:tcW w:w="661" w:type="pct"/>
                  <w:vAlign w:val="center"/>
                </w:tcPr>
                <w:p w14:paraId="22094FE3">
                  <w:pPr>
                    <w:spacing w:line="240" w:lineRule="auto"/>
                    <w:jc w:val="center"/>
                    <w:rPr>
                      <w:color w:val="auto"/>
                      <w:sz w:val="21"/>
                      <w:szCs w:val="21"/>
                      <w:highlight w:val="none"/>
                    </w:rPr>
                  </w:pPr>
                  <w:r>
                    <w:rPr>
                      <w:color w:val="auto"/>
                      <w:sz w:val="21"/>
                      <w:szCs w:val="21"/>
                      <w:highlight w:val="none"/>
                    </w:rPr>
                    <w:t>废</w:t>
                  </w:r>
                  <w:r>
                    <w:rPr>
                      <w:rFonts w:hint="eastAsia"/>
                      <w:color w:val="auto"/>
                      <w:sz w:val="21"/>
                      <w:szCs w:val="21"/>
                      <w:highlight w:val="none"/>
                    </w:rPr>
                    <w:t>布袋</w:t>
                  </w:r>
                </w:p>
              </w:tc>
              <w:tc>
                <w:tcPr>
                  <w:tcW w:w="763" w:type="pct"/>
                  <w:vAlign w:val="center"/>
                </w:tcPr>
                <w:p w14:paraId="41179FA4">
                  <w:pPr>
                    <w:spacing w:line="240" w:lineRule="auto"/>
                    <w:jc w:val="center"/>
                    <w:rPr>
                      <w:color w:val="auto"/>
                      <w:sz w:val="21"/>
                      <w:szCs w:val="21"/>
                      <w:highlight w:val="none"/>
                    </w:rPr>
                  </w:pPr>
                  <w:r>
                    <w:rPr>
                      <w:color w:val="auto"/>
                      <w:sz w:val="21"/>
                      <w:szCs w:val="21"/>
                      <w:highlight w:val="none"/>
                    </w:rPr>
                    <w:t>/</w:t>
                  </w:r>
                </w:p>
              </w:tc>
              <w:tc>
                <w:tcPr>
                  <w:tcW w:w="695" w:type="pct"/>
                  <w:vMerge w:val="continue"/>
                  <w:vAlign w:val="center"/>
                </w:tcPr>
                <w:p w14:paraId="12EEAABD">
                  <w:pPr>
                    <w:spacing w:line="240" w:lineRule="auto"/>
                    <w:jc w:val="center"/>
                    <w:rPr>
                      <w:color w:val="auto"/>
                      <w:sz w:val="21"/>
                      <w:szCs w:val="21"/>
                      <w:highlight w:val="none"/>
                    </w:rPr>
                  </w:pPr>
                </w:p>
              </w:tc>
              <w:tc>
                <w:tcPr>
                  <w:tcW w:w="758" w:type="pct"/>
                  <w:vMerge w:val="continue"/>
                  <w:vAlign w:val="center"/>
                </w:tcPr>
                <w:p w14:paraId="3B28880F">
                  <w:pPr>
                    <w:spacing w:line="240" w:lineRule="auto"/>
                    <w:jc w:val="center"/>
                    <w:rPr>
                      <w:color w:val="auto"/>
                      <w:sz w:val="21"/>
                      <w:szCs w:val="21"/>
                      <w:highlight w:val="none"/>
                    </w:rPr>
                  </w:pPr>
                </w:p>
              </w:tc>
              <w:tc>
                <w:tcPr>
                  <w:tcW w:w="1740" w:type="pct"/>
                  <w:vMerge w:val="continue"/>
                  <w:vAlign w:val="center"/>
                </w:tcPr>
                <w:p w14:paraId="5CBEE17D">
                  <w:pPr>
                    <w:spacing w:line="240" w:lineRule="auto"/>
                    <w:jc w:val="center"/>
                    <w:rPr>
                      <w:color w:val="auto"/>
                      <w:sz w:val="21"/>
                      <w:szCs w:val="21"/>
                      <w:highlight w:val="none"/>
                    </w:rPr>
                  </w:pPr>
                </w:p>
              </w:tc>
            </w:tr>
            <w:tr w14:paraId="1A01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81" w:type="pct"/>
                  <w:vMerge w:val="continue"/>
                  <w:vAlign w:val="center"/>
                </w:tcPr>
                <w:p w14:paraId="691C65C3">
                  <w:pPr>
                    <w:spacing w:line="240" w:lineRule="auto"/>
                    <w:jc w:val="center"/>
                    <w:rPr>
                      <w:color w:val="auto"/>
                      <w:sz w:val="21"/>
                      <w:szCs w:val="21"/>
                      <w:highlight w:val="none"/>
                    </w:rPr>
                  </w:pPr>
                </w:p>
              </w:tc>
              <w:tc>
                <w:tcPr>
                  <w:tcW w:w="661" w:type="pct"/>
                  <w:vAlign w:val="center"/>
                </w:tcPr>
                <w:p w14:paraId="58549679">
                  <w:pPr>
                    <w:spacing w:line="240" w:lineRule="auto"/>
                    <w:jc w:val="center"/>
                    <w:rPr>
                      <w:color w:val="auto"/>
                      <w:sz w:val="21"/>
                      <w:szCs w:val="21"/>
                      <w:highlight w:val="none"/>
                    </w:rPr>
                  </w:pPr>
                  <w:r>
                    <w:rPr>
                      <w:rFonts w:hint="eastAsia"/>
                      <w:color w:val="auto"/>
                      <w:sz w:val="21"/>
                      <w:szCs w:val="21"/>
                      <w:highlight w:val="none"/>
                    </w:rPr>
                    <w:t>废橡胶</w:t>
                  </w:r>
                </w:p>
              </w:tc>
              <w:tc>
                <w:tcPr>
                  <w:tcW w:w="763" w:type="pct"/>
                  <w:vAlign w:val="center"/>
                </w:tcPr>
                <w:p w14:paraId="764E5E6F">
                  <w:pPr>
                    <w:spacing w:line="240" w:lineRule="auto"/>
                    <w:jc w:val="center"/>
                    <w:rPr>
                      <w:color w:val="auto"/>
                      <w:sz w:val="21"/>
                      <w:szCs w:val="21"/>
                      <w:highlight w:val="none"/>
                    </w:rPr>
                  </w:pPr>
                  <w:r>
                    <w:rPr>
                      <w:color w:val="auto"/>
                      <w:sz w:val="21"/>
                      <w:szCs w:val="21"/>
                      <w:highlight w:val="none"/>
                    </w:rPr>
                    <w:t>/</w:t>
                  </w:r>
                </w:p>
              </w:tc>
              <w:tc>
                <w:tcPr>
                  <w:tcW w:w="695" w:type="pct"/>
                  <w:vMerge w:val="continue"/>
                  <w:vAlign w:val="center"/>
                </w:tcPr>
                <w:p w14:paraId="43A43DAD">
                  <w:pPr>
                    <w:spacing w:line="240" w:lineRule="auto"/>
                    <w:jc w:val="center"/>
                    <w:rPr>
                      <w:color w:val="auto"/>
                      <w:sz w:val="21"/>
                      <w:szCs w:val="21"/>
                      <w:highlight w:val="none"/>
                    </w:rPr>
                  </w:pPr>
                </w:p>
              </w:tc>
              <w:tc>
                <w:tcPr>
                  <w:tcW w:w="758" w:type="pct"/>
                  <w:vMerge w:val="continue"/>
                  <w:vAlign w:val="center"/>
                </w:tcPr>
                <w:p w14:paraId="41950CC9">
                  <w:pPr>
                    <w:spacing w:line="240" w:lineRule="auto"/>
                    <w:jc w:val="center"/>
                    <w:rPr>
                      <w:color w:val="auto"/>
                      <w:sz w:val="21"/>
                      <w:szCs w:val="21"/>
                      <w:highlight w:val="none"/>
                    </w:rPr>
                  </w:pPr>
                </w:p>
              </w:tc>
              <w:tc>
                <w:tcPr>
                  <w:tcW w:w="1740" w:type="pct"/>
                  <w:vMerge w:val="continue"/>
                  <w:vAlign w:val="center"/>
                </w:tcPr>
                <w:p w14:paraId="168F5E9C">
                  <w:pPr>
                    <w:spacing w:line="240" w:lineRule="auto"/>
                    <w:jc w:val="center"/>
                    <w:rPr>
                      <w:color w:val="auto"/>
                      <w:sz w:val="21"/>
                      <w:szCs w:val="21"/>
                      <w:highlight w:val="none"/>
                    </w:rPr>
                  </w:pPr>
                </w:p>
              </w:tc>
            </w:tr>
            <w:tr w14:paraId="7FC4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73C8E2EC">
                  <w:pPr>
                    <w:spacing w:line="240" w:lineRule="auto"/>
                    <w:jc w:val="center"/>
                    <w:rPr>
                      <w:color w:val="auto"/>
                      <w:sz w:val="21"/>
                      <w:szCs w:val="21"/>
                      <w:highlight w:val="none"/>
                    </w:rPr>
                  </w:pPr>
                </w:p>
              </w:tc>
              <w:tc>
                <w:tcPr>
                  <w:tcW w:w="661" w:type="pct"/>
                  <w:vAlign w:val="center"/>
                </w:tcPr>
                <w:p w14:paraId="5E500AF7">
                  <w:pPr>
                    <w:spacing w:line="240" w:lineRule="auto"/>
                    <w:jc w:val="center"/>
                    <w:rPr>
                      <w:color w:val="auto"/>
                      <w:sz w:val="21"/>
                      <w:szCs w:val="21"/>
                      <w:highlight w:val="none"/>
                    </w:rPr>
                  </w:pPr>
                  <w:r>
                    <w:rPr>
                      <w:color w:val="auto"/>
                      <w:sz w:val="21"/>
                      <w:szCs w:val="21"/>
                      <w:highlight w:val="none"/>
                    </w:rPr>
                    <w:t>除尘器收集粉尘</w:t>
                  </w:r>
                </w:p>
              </w:tc>
              <w:tc>
                <w:tcPr>
                  <w:tcW w:w="763" w:type="pct"/>
                  <w:vAlign w:val="center"/>
                </w:tcPr>
                <w:p w14:paraId="715E0247">
                  <w:pPr>
                    <w:spacing w:line="240" w:lineRule="auto"/>
                    <w:jc w:val="center"/>
                    <w:rPr>
                      <w:color w:val="auto"/>
                      <w:sz w:val="21"/>
                      <w:szCs w:val="21"/>
                      <w:highlight w:val="none"/>
                    </w:rPr>
                  </w:pPr>
                  <w:r>
                    <w:rPr>
                      <w:color w:val="auto"/>
                      <w:sz w:val="21"/>
                      <w:szCs w:val="21"/>
                      <w:highlight w:val="none"/>
                    </w:rPr>
                    <w:t>/</w:t>
                  </w:r>
                </w:p>
              </w:tc>
              <w:tc>
                <w:tcPr>
                  <w:tcW w:w="695" w:type="pct"/>
                  <w:vMerge w:val="continue"/>
                  <w:vAlign w:val="center"/>
                </w:tcPr>
                <w:p w14:paraId="403B14DA">
                  <w:pPr>
                    <w:spacing w:line="240" w:lineRule="auto"/>
                    <w:jc w:val="center"/>
                    <w:rPr>
                      <w:color w:val="auto"/>
                      <w:sz w:val="21"/>
                      <w:szCs w:val="21"/>
                      <w:highlight w:val="none"/>
                    </w:rPr>
                  </w:pPr>
                </w:p>
              </w:tc>
              <w:tc>
                <w:tcPr>
                  <w:tcW w:w="758" w:type="pct"/>
                  <w:vMerge w:val="continue"/>
                  <w:vAlign w:val="center"/>
                </w:tcPr>
                <w:p w14:paraId="6D68239B">
                  <w:pPr>
                    <w:spacing w:line="240" w:lineRule="auto"/>
                    <w:jc w:val="center"/>
                    <w:rPr>
                      <w:color w:val="auto"/>
                      <w:sz w:val="21"/>
                      <w:szCs w:val="21"/>
                      <w:highlight w:val="none"/>
                    </w:rPr>
                  </w:pPr>
                </w:p>
              </w:tc>
              <w:tc>
                <w:tcPr>
                  <w:tcW w:w="1740" w:type="pct"/>
                  <w:vMerge w:val="continue"/>
                  <w:vAlign w:val="center"/>
                </w:tcPr>
                <w:p w14:paraId="1409A5DF">
                  <w:pPr>
                    <w:spacing w:line="240" w:lineRule="auto"/>
                    <w:jc w:val="center"/>
                    <w:rPr>
                      <w:color w:val="auto"/>
                      <w:sz w:val="21"/>
                      <w:szCs w:val="21"/>
                      <w:highlight w:val="none"/>
                    </w:rPr>
                  </w:pPr>
                </w:p>
              </w:tc>
            </w:tr>
            <w:tr w14:paraId="4401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6AB17F9">
                  <w:pPr>
                    <w:spacing w:line="240" w:lineRule="auto"/>
                    <w:jc w:val="center"/>
                    <w:rPr>
                      <w:color w:val="auto"/>
                      <w:sz w:val="21"/>
                      <w:szCs w:val="21"/>
                      <w:highlight w:val="none"/>
                    </w:rPr>
                  </w:pPr>
                </w:p>
              </w:tc>
              <w:tc>
                <w:tcPr>
                  <w:tcW w:w="661" w:type="pct"/>
                  <w:vAlign w:val="center"/>
                </w:tcPr>
                <w:p w14:paraId="3A6AD2D8">
                  <w:pPr>
                    <w:spacing w:line="240" w:lineRule="auto"/>
                    <w:jc w:val="center"/>
                    <w:rPr>
                      <w:color w:val="auto"/>
                      <w:sz w:val="21"/>
                      <w:szCs w:val="21"/>
                      <w:highlight w:val="none"/>
                    </w:rPr>
                  </w:pPr>
                  <w:r>
                    <w:rPr>
                      <w:rFonts w:hint="eastAsia"/>
                      <w:color w:val="auto"/>
                      <w:sz w:val="21"/>
                      <w:szCs w:val="21"/>
                      <w:highlight w:val="none"/>
                    </w:rPr>
                    <w:t>木屑杂物</w:t>
                  </w:r>
                </w:p>
              </w:tc>
              <w:tc>
                <w:tcPr>
                  <w:tcW w:w="763" w:type="pct"/>
                  <w:vAlign w:val="center"/>
                </w:tcPr>
                <w:p w14:paraId="569558AE">
                  <w:pPr>
                    <w:spacing w:line="240" w:lineRule="auto"/>
                    <w:jc w:val="center"/>
                    <w:rPr>
                      <w:color w:val="auto"/>
                      <w:sz w:val="21"/>
                      <w:szCs w:val="21"/>
                      <w:highlight w:val="none"/>
                    </w:rPr>
                  </w:pPr>
                  <w:r>
                    <w:rPr>
                      <w:color w:val="auto"/>
                      <w:sz w:val="21"/>
                      <w:szCs w:val="21"/>
                      <w:highlight w:val="none"/>
                    </w:rPr>
                    <w:t>/</w:t>
                  </w:r>
                </w:p>
              </w:tc>
              <w:tc>
                <w:tcPr>
                  <w:tcW w:w="695" w:type="pct"/>
                  <w:vMerge w:val="continue"/>
                  <w:vAlign w:val="center"/>
                </w:tcPr>
                <w:p w14:paraId="12D38B1A">
                  <w:pPr>
                    <w:spacing w:line="240" w:lineRule="auto"/>
                    <w:jc w:val="center"/>
                    <w:rPr>
                      <w:color w:val="auto"/>
                      <w:sz w:val="21"/>
                      <w:szCs w:val="21"/>
                      <w:highlight w:val="none"/>
                    </w:rPr>
                  </w:pPr>
                </w:p>
              </w:tc>
              <w:tc>
                <w:tcPr>
                  <w:tcW w:w="758" w:type="pct"/>
                  <w:vMerge w:val="continue"/>
                  <w:vAlign w:val="center"/>
                </w:tcPr>
                <w:p w14:paraId="2F8B1FAE">
                  <w:pPr>
                    <w:spacing w:line="240" w:lineRule="auto"/>
                    <w:jc w:val="center"/>
                    <w:rPr>
                      <w:color w:val="auto"/>
                      <w:sz w:val="21"/>
                      <w:szCs w:val="21"/>
                      <w:highlight w:val="none"/>
                    </w:rPr>
                  </w:pPr>
                </w:p>
              </w:tc>
              <w:tc>
                <w:tcPr>
                  <w:tcW w:w="1740" w:type="pct"/>
                  <w:vMerge w:val="continue"/>
                  <w:vAlign w:val="center"/>
                </w:tcPr>
                <w:p w14:paraId="19A68D5E">
                  <w:pPr>
                    <w:spacing w:line="240" w:lineRule="auto"/>
                    <w:jc w:val="center"/>
                    <w:rPr>
                      <w:color w:val="auto"/>
                      <w:sz w:val="21"/>
                      <w:szCs w:val="21"/>
                      <w:highlight w:val="none"/>
                    </w:rPr>
                  </w:pPr>
                </w:p>
              </w:tc>
            </w:tr>
            <w:tr w14:paraId="65E6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BA2D228">
                  <w:pPr>
                    <w:spacing w:line="240" w:lineRule="auto"/>
                    <w:jc w:val="center"/>
                    <w:rPr>
                      <w:color w:val="auto"/>
                      <w:sz w:val="21"/>
                      <w:szCs w:val="21"/>
                      <w:highlight w:val="none"/>
                    </w:rPr>
                  </w:pPr>
                </w:p>
              </w:tc>
              <w:tc>
                <w:tcPr>
                  <w:tcW w:w="661" w:type="pct"/>
                  <w:shd w:val="clear" w:color="auto" w:fill="auto"/>
                  <w:vAlign w:val="center"/>
                </w:tcPr>
                <w:p w14:paraId="67F382A5">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废水处理站污泥</w:t>
                  </w:r>
                </w:p>
              </w:tc>
              <w:tc>
                <w:tcPr>
                  <w:tcW w:w="763" w:type="pct"/>
                  <w:shd w:val="clear" w:color="auto" w:fill="auto"/>
                  <w:vAlign w:val="center"/>
                </w:tcPr>
                <w:p w14:paraId="3372698D">
                  <w:pPr>
                    <w:spacing w:line="240" w:lineRule="auto"/>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695" w:type="pct"/>
                  <w:vMerge w:val="continue"/>
                  <w:vAlign w:val="center"/>
                </w:tcPr>
                <w:p w14:paraId="61F1D145">
                  <w:pPr>
                    <w:spacing w:line="240" w:lineRule="auto"/>
                    <w:jc w:val="center"/>
                    <w:rPr>
                      <w:color w:val="auto"/>
                      <w:sz w:val="21"/>
                      <w:szCs w:val="21"/>
                      <w:highlight w:val="none"/>
                    </w:rPr>
                  </w:pPr>
                </w:p>
              </w:tc>
              <w:tc>
                <w:tcPr>
                  <w:tcW w:w="758" w:type="pct"/>
                  <w:vMerge w:val="continue"/>
                  <w:vAlign w:val="center"/>
                </w:tcPr>
                <w:p w14:paraId="172DF424">
                  <w:pPr>
                    <w:spacing w:line="240" w:lineRule="auto"/>
                    <w:jc w:val="center"/>
                    <w:rPr>
                      <w:color w:val="auto"/>
                      <w:sz w:val="21"/>
                      <w:szCs w:val="21"/>
                      <w:highlight w:val="none"/>
                    </w:rPr>
                  </w:pPr>
                </w:p>
              </w:tc>
              <w:tc>
                <w:tcPr>
                  <w:tcW w:w="1740" w:type="pct"/>
                  <w:vMerge w:val="continue"/>
                  <w:vAlign w:val="center"/>
                </w:tcPr>
                <w:p w14:paraId="650AC15A">
                  <w:pPr>
                    <w:spacing w:line="240" w:lineRule="auto"/>
                    <w:jc w:val="center"/>
                    <w:rPr>
                      <w:color w:val="auto"/>
                      <w:sz w:val="21"/>
                      <w:szCs w:val="21"/>
                      <w:highlight w:val="none"/>
                    </w:rPr>
                  </w:pPr>
                </w:p>
              </w:tc>
            </w:tr>
            <w:tr w14:paraId="0DDA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8EC471A">
                  <w:pPr>
                    <w:spacing w:line="240" w:lineRule="auto"/>
                    <w:jc w:val="center"/>
                    <w:rPr>
                      <w:color w:val="auto"/>
                      <w:sz w:val="21"/>
                      <w:szCs w:val="21"/>
                      <w:highlight w:val="none"/>
                    </w:rPr>
                  </w:pPr>
                </w:p>
              </w:tc>
              <w:tc>
                <w:tcPr>
                  <w:tcW w:w="661" w:type="pct"/>
                  <w:vAlign w:val="center"/>
                </w:tcPr>
                <w:p w14:paraId="0E0FA099">
                  <w:pPr>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废滤料</w:t>
                  </w:r>
                </w:p>
              </w:tc>
              <w:tc>
                <w:tcPr>
                  <w:tcW w:w="763" w:type="pct"/>
                  <w:vAlign w:val="center"/>
                </w:tcPr>
                <w:p w14:paraId="619FF3C0">
                  <w:pPr>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95" w:type="pct"/>
                  <w:vMerge w:val="continue"/>
                  <w:vAlign w:val="center"/>
                </w:tcPr>
                <w:p w14:paraId="1D34B73C">
                  <w:pPr>
                    <w:widowControl/>
                    <w:autoSpaceDE w:val="0"/>
                    <w:autoSpaceDN w:val="0"/>
                    <w:spacing w:line="240" w:lineRule="auto"/>
                    <w:contextualSpacing/>
                    <w:jc w:val="center"/>
                    <w:textAlignment w:val="baseline"/>
                    <w:rPr>
                      <w:bCs/>
                      <w:color w:val="auto"/>
                      <w:sz w:val="21"/>
                      <w:szCs w:val="21"/>
                      <w:highlight w:val="none"/>
                    </w:rPr>
                  </w:pPr>
                </w:p>
              </w:tc>
              <w:tc>
                <w:tcPr>
                  <w:tcW w:w="758" w:type="pct"/>
                  <w:vMerge w:val="continue"/>
                  <w:vAlign w:val="center"/>
                </w:tcPr>
                <w:p w14:paraId="59CB9F6B">
                  <w:pPr>
                    <w:widowControl/>
                    <w:autoSpaceDE w:val="0"/>
                    <w:autoSpaceDN w:val="0"/>
                    <w:spacing w:line="240" w:lineRule="auto"/>
                    <w:contextualSpacing/>
                    <w:jc w:val="center"/>
                    <w:textAlignment w:val="baseline"/>
                    <w:rPr>
                      <w:bCs/>
                      <w:color w:val="auto"/>
                      <w:sz w:val="21"/>
                      <w:szCs w:val="21"/>
                      <w:highlight w:val="none"/>
                    </w:rPr>
                  </w:pPr>
                </w:p>
              </w:tc>
              <w:tc>
                <w:tcPr>
                  <w:tcW w:w="1740" w:type="pct"/>
                  <w:vMerge w:val="continue"/>
                  <w:vAlign w:val="center"/>
                </w:tcPr>
                <w:p w14:paraId="4B57E39B">
                  <w:pPr>
                    <w:autoSpaceDE w:val="0"/>
                    <w:autoSpaceDN w:val="0"/>
                    <w:spacing w:line="240" w:lineRule="auto"/>
                    <w:ind w:firstLine="567"/>
                    <w:contextualSpacing/>
                    <w:jc w:val="center"/>
                    <w:textAlignment w:val="baseline"/>
                    <w:rPr>
                      <w:bCs/>
                      <w:color w:val="auto"/>
                      <w:sz w:val="21"/>
                      <w:szCs w:val="21"/>
                      <w:highlight w:val="none"/>
                    </w:rPr>
                  </w:pPr>
                </w:p>
              </w:tc>
            </w:tr>
            <w:tr w14:paraId="29CA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3ABB5F41">
                  <w:pPr>
                    <w:spacing w:line="240" w:lineRule="auto"/>
                    <w:jc w:val="center"/>
                    <w:rPr>
                      <w:color w:val="auto"/>
                      <w:sz w:val="21"/>
                      <w:szCs w:val="21"/>
                      <w:highlight w:val="none"/>
                    </w:rPr>
                  </w:pPr>
                </w:p>
              </w:tc>
              <w:tc>
                <w:tcPr>
                  <w:tcW w:w="661" w:type="pct"/>
                  <w:vAlign w:val="center"/>
                </w:tcPr>
                <w:p w14:paraId="273C7DA6">
                  <w:pPr>
                    <w:spacing w:line="240" w:lineRule="auto"/>
                    <w:jc w:val="center"/>
                    <w:rPr>
                      <w:color w:val="auto"/>
                      <w:sz w:val="21"/>
                      <w:szCs w:val="21"/>
                      <w:highlight w:val="none"/>
                    </w:rPr>
                  </w:pPr>
                  <w:r>
                    <w:rPr>
                      <w:color w:val="auto"/>
                      <w:sz w:val="21"/>
                      <w:szCs w:val="21"/>
                      <w:highlight w:val="none"/>
                    </w:rPr>
                    <w:t>废机油桶、废机油、含</w:t>
                  </w:r>
                  <w:r>
                    <w:rPr>
                      <w:rFonts w:hint="eastAsia"/>
                      <w:color w:val="auto"/>
                      <w:sz w:val="21"/>
                      <w:szCs w:val="21"/>
                      <w:highlight w:val="none"/>
                    </w:rPr>
                    <w:t>油</w:t>
                  </w:r>
                  <w:r>
                    <w:rPr>
                      <w:color w:val="auto"/>
                      <w:sz w:val="21"/>
                      <w:szCs w:val="21"/>
                      <w:highlight w:val="none"/>
                    </w:rPr>
                    <w:t>废抹布</w:t>
                  </w:r>
                </w:p>
              </w:tc>
              <w:tc>
                <w:tcPr>
                  <w:tcW w:w="763" w:type="pct"/>
                  <w:vAlign w:val="center"/>
                </w:tcPr>
                <w:p w14:paraId="5EB7195D">
                  <w:pPr>
                    <w:spacing w:line="240" w:lineRule="auto"/>
                    <w:jc w:val="center"/>
                    <w:rPr>
                      <w:color w:val="auto"/>
                      <w:sz w:val="21"/>
                      <w:szCs w:val="21"/>
                      <w:highlight w:val="none"/>
                    </w:rPr>
                  </w:pPr>
                  <w:r>
                    <w:rPr>
                      <w:color w:val="auto"/>
                      <w:sz w:val="21"/>
                      <w:szCs w:val="21"/>
                      <w:highlight w:val="none"/>
                    </w:rPr>
                    <w:t>/</w:t>
                  </w:r>
                </w:p>
              </w:tc>
              <w:tc>
                <w:tcPr>
                  <w:tcW w:w="695" w:type="pct"/>
                  <w:vMerge w:val="restart"/>
                  <w:vAlign w:val="center"/>
                </w:tcPr>
                <w:p w14:paraId="7943A54E">
                  <w:pPr>
                    <w:widowControl/>
                    <w:autoSpaceDE w:val="0"/>
                    <w:autoSpaceDN w:val="0"/>
                    <w:spacing w:line="240" w:lineRule="auto"/>
                    <w:contextualSpacing/>
                    <w:jc w:val="center"/>
                    <w:textAlignment w:val="baseline"/>
                    <w:rPr>
                      <w:bCs/>
                      <w:color w:val="auto"/>
                      <w:sz w:val="21"/>
                      <w:szCs w:val="21"/>
                      <w:highlight w:val="none"/>
                    </w:rPr>
                  </w:pPr>
                  <w:r>
                    <w:rPr>
                      <w:color w:val="auto"/>
                      <w:sz w:val="21"/>
                      <w:szCs w:val="21"/>
                      <w:highlight w:val="none"/>
                    </w:rPr>
                    <w:t>交由有危险废物处理资质的单位处理</w:t>
                  </w:r>
                </w:p>
              </w:tc>
              <w:tc>
                <w:tcPr>
                  <w:tcW w:w="758" w:type="pct"/>
                  <w:vMerge w:val="restart"/>
                  <w:vAlign w:val="center"/>
                </w:tcPr>
                <w:p w14:paraId="475E3097">
                  <w:pPr>
                    <w:widowControl/>
                    <w:autoSpaceDE w:val="0"/>
                    <w:autoSpaceDN w:val="0"/>
                    <w:spacing w:line="240" w:lineRule="auto"/>
                    <w:contextualSpacing/>
                    <w:jc w:val="center"/>
                    <w:textAlignment w:val="baseline"/>
                    <w:rPr>
                      <w:bCs/>
                      <w:color w:val="auto"/>
                      <w:sz w:val="21"/>
                      <w:szCs w:val="21"/>
                      <w:highlight w:val="none"/>
                    </w:rPr>
                  </w:pPr>
                  <w:r>
                    <w:rPr>
                      <w:color w:val="auto"/>
                      <w:sz w:val="21"/>
                      <w:szCs w:val="21"/>
                      <w:highlight w:val="none"/>
                    </w:rPr>
                    <w:t>检查固废收集、储存、处置方式，危废暂存间做好防渗防漏</w:t>
                  </w:r>
                </w:p>
              </w:tc>
              <w:tc>
                <w:tcPr>
                  <w:tcW w:w="1740" w:type="pct"/>
                  <w:vMerge w:val="restart"/>
                  <w:vAlign w:val="center"/>
                </w:tcPr>
                <w:p w14:paraId="00849E40">
                  <w:pPr>
                    <w:autoSpaceDE w:val="0"/>
                    <w:autoSpaceDN w:val="0"/>
                    <w:spacing w:line="240" w:lineRule="auto"/>
                    <w:ind w:firstLine="567"/>
                    <w:contextualSpacing/>
                    <w:jc w:val="center"/>
                    <w:textAlignment w:val="baseline"/>
                    <w:rPr>
                      <w:bCs/>
                      <w:color w:val="auto"/>
                      <w:sz w:val="21"/>
                      <w:szCs w:val="21"/>
                      <w:highlight w:val="none"/>
                    </w:rPr>
                  </w:pPr>
                  <w:r>
                    <w:rPr>
                      <w:color w:val="auto"/>
                      <w:sz w:val="21"/>
                      <w:szCs w:val="21"/>
                      <w:highlight w:val="none"/>
                    </w:rPr>
                    <w:t>对项目所在地环境无不良影响</w:t>
                  </w:r>
                </w:p>
              </w:tc>
            </w:tr>
            <w:tr w14:paraId="3776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32FC6AEC">
                  <w:pPr>
                    <w:spacing w:line="240" w:lineRule="auto"/>
                    <w:jc w:val="center"/>
                    <w:rPr>
                      <w:color w:val="auto"/>
                      <w:sz w:val="21"/>
                      <w:szCs w:val="21"/>
                      <w:highlight w:val="none"/>
                    </w:rPr>
                  </w:pPr>
                </w:p>
              </w:tc>
              <w:tc>
                <w:tcPr>
                  <w:tcW w:w="661" w:type="pct"/>
                  <w:vAlign w:val="center"/>
                </w:tcPr>
                <w:p w14:paraId="5148ECF5">
                  <w:pPr>
                    <w:spacing w:line="240" w:lineRule="auto"/>
                    <w:jc w:val="center"/>
                    <w:rPr>
                      <w:color w:val="auto"/>
                      <w:sz w:val="21"/>
                      <w:szCs w:val="21"/>
                      <w:highlight w:val="none"/>
                    </w:rPr>
                  </w:pPr>
                  <w:r>
                    <w:rPr>
                      <w:rFonts w:hint="eastAsia"/>
                      <w:color w:val="auto"/>
                      <w:sz w:val="21"/>
                      <w:szCs w:val="21"/>
                      <w:highlight w:val="none"/>
                    </w:rPr>
                    <w:t>废柴油桶</w:t>
                  </w:r>
                </w:p>
              </w:tc>
              <w:tc>
                <w:tcPr>
                  <w:tcW w:w="763" w:type="pct"/>
                  <w:vAlign w:val="center"/>
                </w:tcPr>
                <w:p w14:paraId="01B3DDB8">
                  <w:pPr>
                    <w:spacing w:line="240" w:lineRule="auto"/>
                    <w:jc w:val="center"/>
                    <w:rPr>
                      <w:color w:val="auto"/>
                      <w:sz w:val="21"/>
                      <w:szCs w:val="21"/>
                      <w:highlight w:val="none"/>
                    </w:rPr>
                  </w:pPr>
                  <w:r>
                    <w:rPr>
                      <w:rFonts w:hint="eastAsia"/>
                      <w:color w:val="auto"/>
                      <w:sz w:val="21"/>
                      <w:szCs w:val="21"/>
                      <w:highlight w:val="none"/>
                    </w:rPr>
                    <w:t>/</w:t>
                  </w:r>
                </w:p>
              </w:tc>
              <w:tc>
                <w:tcPr>
                  <w:tcW w:w="695" w:type="pct"/>
                  <w:vMerge w:val="continue"/>
                  <w:vAlign w:val="center"/>
                </w:tcPr>
                <w:p w14:paraId="185BE061">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10F142EC">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7187C841">
                  <w:pPr>
                    <w:autoSpaceDE w:val="0"/>
                    <w:autoSpaceDN w:val="0"/>
                    <w:spacing w:line="240" w:lineRule="auto"/>
                    <w:ind w:firstLine="567"/>
                    <w:contextualSpacing/>
                    <w:jc w:val="center"/>
                    <w:textAlignment w:val="baseline"/>
                    <w:rPr>
                      <w:bCs/>
                      <w:color w:val="auto"/>
                      <w:sz w:val="21"/>
                      <w:szCs w:val="21"/>
                      <w:highlight w:val="none"/>
                    </w:rPr>
                  </w:pPr>
                </w:p>
              </w:tc>
            </w:tr>
            <w:tr w14:paraId="0448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69C69269">
                  <w:pPr>
                    <w:spacing w:line="240" w:lineRule="auto"/>
                    <w:jc w:val="center"/>
                    <w:rPr>
                      <w:color w:val="auto"/>
                      <w:sz w:val="21"/>
                      <w:szCs w:val="21"/>
                      <w:highlight w:val="none"/>
                    </w:rPr>
                  </w:pPr>
                </w:p>
              </w:tc>
              <w:tc>
                <w:tcPr>
                  <w:tcW w:w="661" w:type="pct"/>
                  <w:shd w:val="clear" w:color="auto" w:fill="auto"/>
                  <w:vAlign w:val="center"/>
                </w:tcPr>
                <w:p w14:paraId="50B20F65">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 w:val="21"/>
                      <w:szCs w:val="21"/>
                      <w:highlight w:val="none"/>
                    </w:rPr>
                    <w:t>废pH调整剂包装桶</w:t>
                  </w:r>
                  <w:r>
                    <w:rPr>
                      <w:rFonts w:hint="eastAsia"/>
                      <w:color w:val="auto"/>
                      <w:sz w:val="21"/>
                      <w:szCs w:val="21"/>
                      <w:highlight w:val="none"/>
                      <w:lang w:eastAsia="zh-CN"/>
                    </w:rPr>
                    <w:t>、</w:t>
                  </w:r>
                  <w:r>
                    <w:rPr>
                      <w:rFonts w:hint="eastAsia"/>
                      <w:color w:val="auto"/>
                      <w:sz w:val="21"/>
                      <w:szCs w:val="21"/>
                      <w:highlight w:val="none"/>
                      <w:lang w:val="en-US" w:eastAsia="zh-CN"/>
                    </w:rPr>
                    <w:t>废烧碱包装袋</w:t>
                  </w:r>
                </w:p>
              </w:tc>
              <w:tc>
                <w:tcPr>
                  <w:tcW w:w="763" w:type="pct"/>
                  <w:shd w:val="clear" w:color="auto" w:fill="auto"/>
                  <w:vAlign w:val="center"/>
                </w:tcPr>
                <w:p w14:paraId="5A76EF30">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w:t>
                  </w:r>
                </w:p>
              </w:tc>
              <w:tc>
                <w:tcPr>
                  <w:tcW w:w="695" w:type="pct"/>
                  <w:vMerge w:val="continue"/>
                  <w:vAlign w:val="center"/>
                </w:tcPr>
                <w:p w14:paraId="1FC9F4D5">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0A9C02EE">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5B474680">
                  <w:pPr>
                    <w:autoSpaceDE w:val="0"/>
                    <w:autoSpaceDN w:val="0"/>
                    <w:spacing w:line="240" w:lineRule="auto"/>
                    <w:ind w:firstLine="567"/>
                    <w:contextualSpacing/>
                    <w:jc w:val="center"/>
                    <w:textAlignment w:val="baseline"/>
                    <w:rPr>
                      <w:bCs/>
                      <w:color w:val="auto"/>
                      <w:sz w:val="21"/>
                      <w:szCs w:val="21"/>
                      <w:highlight w:val="none"/>
                    </w:rPr>
                  </w:pPr>
                </w:p>
              </w:tc>
            </w:tr>
            <w:tr w14:paraId="4124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2513334">
                  <w:pPr>
                    <w:spacing w:line="240" w:lineRule="auto"/>
                    <w:jc w:val="center"/>
                    <w:rPr>
                      <w:color w:val="auto"/>
                      <w:sz w:val="21"/>
                      <w:szCs w:val="21"/>
                      <w:highlight w:val="none"/>
                    </w:rPr>
                  </w:pPr>
                </w:p>
              </w:tc>
              <w:tc>
                <w:tcPr>
                  <w:tcW w:w="661" w:type="pct"/>
                  <w:vAlign w:val="center"/>
                </w:tcPr>
                <w:p w14:paraId="44CE4E6A">
                  <w:pPr>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废活性炭</w:t>
                  </w:r>
                </w:p>
              </w:tc>
              <w:tc>
                <w:tcPr>
                  <w:tcW w:w="763" w:type="pct"/>
                  <w:vAlign w:val="center"/>
                </w:tcPr>
                <w:p w14:paraId="6514C83C">
                  <w:pPr>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95" w:type="pct"/>
                  <w:vMerge w:val="continue"/>
                  <w:vAlign w:val="center"/>
                </w:tcPr>
                <w:p w14:paraId="4F4BB2F3">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22E61EF5">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389D5DB9">
                  <w:pPr>
                    <w:autoSpaceDE w:val="0"/>
                    <w:autoSpaceDN w:val="0"/>
                    <w:spacing w:line="240" w:lineRule="auto"/>
                    <w:ind w:firstLine="567"/>
                    <w:contextualSpacing/>
                    <w:jc w:val="center"/>
                    <w:textAlignment w:val="baseline"/>
                    <w:rPr>
                      <w:bCs/>
                      <w:color w:val="auto"/>
                      <w:sz w:val="21"/>
                      <w:szCs w:val="21"/>
                      <w:highlight w:val="none"/>
                    </w:rPr>
                  </w:pPr>
                </w:p>
              </w:tc>
            </w:tr>
            <w:tr w14:paraId="60D3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17538BCA">
                  <w:pPr>
                    <w:spacing w:line="240" w:lineRule="auto"/>
                    <w:jc w:val="center"/>
                    <w:rPr>
                      <w:color w:val="auto"/>
                      <w:sz w:val="21"/>
                      <w:szCs w:val="21"/>
                      <w:highlight w:val="none"/>
                    </w:rPr>
                  </w:pPr>
                </w:p>
              </w:tc>
              <w:tc>
                <w:tcPr>
                  <w:tcW w:w="661" w:type="pct"/>
                  <w:vAlign w:val="center"/>
                </w:tcPr>
                <w:p w14:paraId="30707FAD">
                  <w:pPr>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废催化剂</w:t>
                  </w:r>
                </w:p>
              </w:tc>
              <w:tc>
                <w:tcPr>
                  <w:tcW w:w="763" w:type="pct"/>
                  <w:vAlign w:val="center"/>
                </w:tcPr>
                <w:p w14:paraId="01865FF2">
                  <w:pPr>
                    <w:spacing w:line="240" w:lineRule="auto"/>
                    <w:jc w:val="center"/>
                    <w:rPr>
                      <w:rFonts w:hint="eastAsia"/>
                      <w:color w:val="auto"/>
                      <w:sz w:val="21"/>
                      <w:szCs w:val="21"/>
                      <w:highlight w:val="none"/>
                      <w:lang w:val="en-US" w:eastAsia="zh-CN"/>
                    </w:rPr>
                  </w:pPr>
                </w:p>
              </w:tc>
              <w:tc>
                <w:tcPr>
                  <w:tcW w:w="695" w:type="pct"/>
                  <w:vMerge w:val="continue"/>
                  <w:vAlign w:val="center"/>
                </w:tcPr>
                <w:p w14:paraId="7766A063">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24DDBA50">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2F4EA791">
                  <w:pPr>
                    <w:autoSpaceDE w:val="0"/>
                    <w:autoSpaceDN w:val="0"/>
                    <w:spacing w:line="240" w:lineRule="auto"/>
                    <w:ind w:firstLine="567"/>
                    <w:contextualSpacing/>
                    <w:jc w:val="center"/>
                    <w:textAlignment w:val="baseline"/>
                    <w:rPr>
                      <w:bCs/>
                      <w:color w:val="auto"/>
                      <w:sz w:val="21"/>
                      <w:szCs w:val="21"/>
                      <w:highlight w:val="none"/>
                    </w:rPr>
                  </w:pPr>
                </w:p>
              </w:tc>
            </w:tr>
            <w:tr w14:paraId="7331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4F87A993">
                  <w:pPr>
                    <w:spacing w:line="240" w:lineRule="auto"/>
                    <w:jc w:val="center"/>
                    <w:rPr>
                      <w:color w:val="auto"/>
                      <w:sz w:val="21"/>
                      <w:szCs w:val="21"/>
                      <w:highlight w:val="none"/>
                    </w:rPr>
                  </w:pPr>
                </w:p>
              </w:tc>
              <w:tc>
                <w:tcPr>
                  <w:tcW w:w="661" w:type="pct"/>
                  <w:shd w:val="clear" w:color="auto" w:fill="auto"/>
                  <w:vAlign w:val="center"/>
                </w:tcPr>
                <w:p w14:paraId="23724D2F">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喷淋沉渣</w:t>
                  </w:r>
                </w:p>
              </w:tc>
              <w:tc>
                <w:tcPr>
                  <w:tcW w:w="763" w:type="pct"/>
                  <w:vAlign w:val="center"/>
                </w:tcPr>
                <w:p w14:paraId="0F8AE34E">
                  <w:pPr>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95" w:type="pct"/>
                  <w:vMerge w:val="continue"/>
                  <w:vAlign w:val="center"/>
                </w:tcPr>
                <w:p w14:paraId="4FDEF69E">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49CCFEA3">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33E911E7">
                  <w:pPr>
                    <w:autoSpaceDE w:val="0"/>
                    <w:autoSpaceDN w:val="0"/>
                    <w:spacing w:line="240" w:lineRule="auto"/>
                    <w:ind w:firstLine="567"/>
                    <w:contextualSpacing/>
                    <w:jc w:val="center"/>
                    <w:textAlignment w:val="baseline"/>
                    <w:rPr>
                      <w:bCs/>
                      <w:color w:val="auto"/>
                      <w:sz w:val="21"/>
                      <w:szCs w:val="21"/>
                      <w:highlight w:val="none"/>
                    </w:rPr>
                  </w:pPr>
                </w:p>
              </w:tc>
            </w:tr>
            <w:tr w14:paraId="3D19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650CF4B5">
                  <w:pPr>
                    <w:spacing w:line="240" w:lineRule="auto"/>
                    <w:jc w:val="center"/>
                    <w:rPr>
                      <w:color w:val="auto"/>
                      <w:sz w:val="21"/>
                      <w:szCs w:val="21"/>
                      <w:highlight w:val="none"/>
                    </w:rPr>
                  </w:pPr>
                </w:p>
              </w:tc>
              <w:tc>
                <w:tcPr>
                  <w:tcW w:w="661" w:type="pct"/>
                  <w:shd w:val="clear" w:color="auto" w:fill="auto"/>
                  <w:vAlign w:val="center"/>
                </w:tcPr>
                <w:p w14:paraId="504954A9">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废过滤棉</w:t>
                  </w:r>
                </w:p>
              </w:tc>
              <w:tc>
                <w:tcPr>
                  <w:tcW w:w="763" w:type="pct"/>
                  <w:vAlign w:val="center"/>
                </w:tcPr>
                <w:p w14:paraId="00A8F3E9">
                  <w:pPr>
                    <w:spacing w:line="240" w:lineRule="auto"/>
                    <w:jc w:val="center"/>
                    <w:rPr>
                      <w:rFonts w:hint="eastAsia"/>
                      <w:color w:val="auto"/>
                      <w:sz w:val="21"/>
                      <w:szCs w:val="21"/>
                      <w:highlight w:val="none"/>
                      <w:lang w:val="en-US" w:eastAsia="zh-CN"/>
                    </w:rPr>
                  </w:pPr>
                </w:p>
              </w:tc>
              <w:tc>
                <w:tcPr>
                  <w:tcW w:w="695" w:type="pct"/>
                  <w:vMerge w:val="continue"/>
                  <w:vAlign w:val="center"/>
                </w:tcPr>
                <w:p w14:paraId="387018EC">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77D75A33">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5BE39DA0">
                  <w:pPr>
                    <w:autoSpaceDE w:val="0"/>
                    <w:autoSpaceDN w:val="0"/>
                    <w:spacing w:line="240" w:lineRule="auto"/>
                    <w:ind w:firstLine="567"/>
                    <w:contextualSpacing/>
                    <w:jc w:val="center"/>
                    <w:textAlignment w:val="baseline"/>
                    <w:rPr>
                      <w:bCs/>
                      <w:color w:val="auto"/>
                      <w:sz w:val="21"/>
                      <w:szCs w:val="21"/>
                      <w:highlight w:val="none"/>
                    </w:rPr>
                  </w:pPr>
                </w:p>
              </w:tc>
            </w:tr>
            <w:tr w14:paraId="78AA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11B8E6F0">
                  <w:pPr>
                    <w:spacing w:line="240" w:lineRule="auto"/>
                    <w:jc w:val="center"/>
                    <w:rPr>
                      <w:color w:val="auto"/>
                      <w:sz w:val="21"/>
                      <w:szCs w:val="21"/>
                      <w:highlight w:val="none"/>
                    </w:rPr>
                  </w:pPr>
                </w:p>
              </w:tc>
              <w:tc>
                <w:tcPr>
                  <w:tcW w:w="1193" w:type="dxa"/>
                  <w:shd w:val="clear" w:color="auto" w:fill="auto"/>
                  <w:vAlign w:val="center"/>
                </w:tcPr>
                <w:p w14:paraId="7A053CF5">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电捕废焦油</w:t>
                  </w:r>
                </w:p>
              </w:tc>
              <w:tc>
                <w:tcPr>
                  <w:tcW w:w="763" w:type="pct"/>
                  <w:shd w:val="clear" w:color="auto" w:fill="auto"/>
                  <w:vAlign w:val="center"/>
                </w:tcPr>
                <w:p w14:paraId="5BB6CC64">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w:t>
                  </w:r>
                </w:p>
              </w:tc>
              <w:tc>
                <w:tcPr>
                  <w:tcW w:w="695" w:type="pct"/>
                  <w:vMerge w:val="continue"/>
                  <w:vAlign w:val="center"/>
                </w:tcPr>
                <w:p w14:paraId="6F132536">
                  <w:pPr>
                    <w:widowControl/>
                    <w:autoSpaceDE w:val="0"/>
                    <w:autoSpaceDN w:val="0"/>
                    <w:spacing w:line="240" w:lineRule="auto"/>
                    <w:contextualSpacing/>
                    <w:jc w:val="center"/>
                    <w:textAlignment w:val="baseline"/>
                    <w:rPr>
                      <w:color w:val="auto"/>
                      <w:sz w:val="21"/>
                      <w:szCs w:val="21"/>
                      <w:highlight w:val="none"/>
                    </w:rPr>
                  </w:pPr>
                </w:p>
              </w:tc>
              <w:tc>
                <w:tcPr>
                  <w:tcW w:w="758" w:type="pct"/>
                  <w:vMerge w:val="continue"/>
                  <w:vAlign w:val="center"/>
                </w:tcPr>
                <w:p w14:paraId="23742E76">
                  <w:pPr>
                    <w:widowControl/>
                    <w:autoSpaceDE w:val="0"/>
                    <w:autoSpaceDN w:val="0"/>
                    <w:spacing w:line="240" w:lineRule="auto"/>
                    <w:contextualSpacing/>
                    <w:jc w:val="center"/>
                    <w:textAlignment w:val="baseline"/>
                    <w:rPr>
                      <w:color w:val="auto"/>
                      <w:sz w:val="21"/>
                      <w:szCs w:val="21"/>
                      <w:highlight w:val="none"/>
                    </w:rPr>
                  </w:pPr>
                </w:p>
              </w:tc>
              <w:tc>
                <w:tcPr>
                  <w:tcW w:w="1740" w:type="pct"/>
                  <w:vMerge w:val="continue"/>
                  <w:vAlign w:val="center"/>
                </w:tcPr>
                <w:p w14:paraId="21A272EE">
                  <w:pPr>
                    <w:autoSpaceDE w:val="0"/>
                    <w:autoSpaceDN w:val="0"/>
                    <w:spacing w:line="240" w:lineRule="auto"/>
                    <w:ind w:firstLine="567"/>
                    <w:contextualSpacing/>
                    <w:jc w:val="center"/>
                    <w:textAlignment w:val="baseline"/>
                    <w:rPr>
                      <w:bCs/>
                      <w:color w:val="auto"/>
                      <w:sz w:val="21"/>
                      <w:szCs w:val="21"/>
                      <w:highlight w:val="none"/>
                    </w:rPr>
                  </w:pPr>
                </w:p>
              </w:tc>
            </w:tr>
            <w:tr w14:paraId="12A4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Merge w:val="continue"/>
                  <w:vAlign w:val="center"/>
                </w:tcPr>
                <w:p w14:paraId="6B708301">
                  <w:pPr>
                    <w:spacing w:line="240" w:lineRule="auto"/>
                    <w:jc w:val="center"/>
                    <w:rPr>
                      <w:color w:val="auto"/>
                      <w:sz w:val="21"/>
                      <w:szCs w:val="21"/>
                      <w:highlight w:val="none"/>
                    </w:rPr>
                  </w:pPr>
                </w:p>
              </w:tc>
              <w:tc>
                <w:tcPr>
                  <w:tcW w:w="1193" w:type="dxa"/>
                  <w:vAlign w:val="center"/>
                </w:tcPr>
                <w:p w14:paraId="7B1F94B5">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电捕焦油器冲洗液</w:t>
                  </w:r>
                </w:p>
              </w:tc>
              <w:tc>
                <w:tcPr>
                  <w:tcW w:w="763" w:type="pct"/>
                  <w:vAlign w:val="center"/>
                </w:tcPr>
                <w:p w14:paraId="27EE0495">
                  <w:pPr>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695" w:type="pct"/>
                  <w:vMerge w:val="continue"/>
                  <w:vAlign w:val="center"/>
                </w:tcPr>
                <w:p w14:paraId="139D375F">
                  <w:pPr>
                    <w:widowControl/>
                    <w:autoSpaceDE w:val="0"/>
                    <w:autoSpaceDN w:val="0"/>
                    <w:spacing w:line="240" w:lineRule="auto"/>
                    <w:contextualSpacing/>
                    <w:jc w:val="center"/>
                    <w:textAlignment w:val="baseline"/>
                    <w:rPr>
                      <w:bCs/>
                      <w:color w:val="auto"/>
                      <w:sz w:val="21"/>
                      <w:szCs w:val="21"/>
                      <w:highlight w:val="none"/>
                    </w:rPr>
                  </w:pPr>
                </w:p>
              </w:tc>
              <w:tc>
                <w:tcPr>
                  <w:tcW w:w="758" w:type="pct"/>
                  <w:vMerge w:val="continue"/>
                  <w:vAlign w:val="center"/>
                </w:tcPr>
                <w:p w14:paraId="38DCDC25">
                  <w:pPr>
                    <w:widowControl/>
                    <w:autoSpaceDE w:val="0"/>
                    <w:autoSpaceDN w:val="0"/>
                    <w:spacing w:line="240" w:lineRule="auto"/>
                    <w:contextualSpacing/>
                    <w:jc w:val="center"/>
                    <w:textAlignment w:val="baseline"/>
                    <w:rPr>
                      <w:bCs/>
                      <w:color w:val="auto"/>
                      <w:sz w:val="21"/>
                      <w:szCs w:val="21"/>
                      <w:highlight w:val="none"/>
                    </w:rPr>
                  </w:pPr>
                </w:p>
              </w:tc>
              <w:tc>
                <w:tcPr>
                  <w:tcW w:w="1740" w:type="pct"/>
                  <w:vMerge w:val="continue"/>
                  <w:vAlign w:val="center"/>
                </w:tcPr>
                <w:p w14:paraId="0BAE4EC6">
                  <w:pPr>
                    <w:autoSpaceDE w:val="0"/>
                    <w:autoSpaceDN w:val="0"/>
                    <w:spacing w:line="240" w:lineRule="auto"/>
                    <w:ind w:firstLine="567"/>
                    <w:contextualSpacing/>
                    <w:jc w:val="center"/>
                    <w:textAlignment w:val="baseline"/>
                    <w:rPr>
                      <w:bCs/>
                      <w:color w:val="auto"/>
                      <w:sz w:val="21"/>
                      <w:szCs w:val="21"/>
                      <w:highlight w:val="none"/>
                    </w:rPr>
                  </w:pPr>
                </w:p>
              </w:tc>
            </w:tr>
            <w:tr w14:paraId="554F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vAlign w:val="center"/>
                </w:tcPr>
                <w:p w14:paraId="52E7FF70">
                  <w:pPr>
                    <w:spacing w:line="240" w:lineRule="auto"/>
                    <w:jc w:val="center"/>
                    <w:rPr>
                      <w:color w:val="auto"/>
                      <w:sz w:val="21"/>
                      <w:szCs w:val="21"/>
                      <w:highlight w:val="none"/>
                    </w:rPr>
                  </w:pPr>
                  <w:r>
                    <w:rPr>
                      <w:rFonts w:hint="eastAsia"/>
                      <w:color w:val="auto"/>
                      <w:sz w:val="21"/>
                      <w:szCs w:val="21"/>
                      <w:highlight w:val="none"/>
                    </w:rPr>
                    <w:t>风险防范措施</w:t>
                  </w:r>
                </w:p>
              </w:tc>
              <w:tc>
                <w:tcPr>
                  <w:tcW w:w="661" w:type="pct"/>
                  <w:vAlign w:val="center"/>
                </w:tcPr>
                <w:p w14:paraId="3F2539AD">
                  <w:pPr>
                    <w:spacing w:line="240" w:lineRule="auto"/>
                    <w:jc w:val="center"/>
                    <w:rPr>
                      <w:color w:val="auto"/>
                      <w:sz w:val="21"/>
                      <w:szCs w:val="21"/>
                      <w:highlight w:val="none"/>
                    </w:rPr>
                  </w:pPr>
                  <w:r>
                    <w:rPr>
                      <w:rFonts w:hint="eastAsia"/>
                      <w:color w:val="auto"/>
                      <w:sz w:val="21"/>
                      <w:szCs w:val="21"/>
                      <w:highlight w:val="none"/>
                    </w:rPr>
                    <w:t>事故废水</w:t>
                  </w:r>
                </w:p>
              </w:tc>
              <w:tc>
                <w:tcPr>
                  <w:tcW w:w="763" w:type="pct"/>
                  <w:vAlign w:val="center"/>
                </w:tcPr>
                <w:p w14:paraId="09022255">
                  <w:pPr>
                    <w:spacing w:line="240" w:lineRule="auto"/>
                    <w:jc w:val="center"/>
                    <w:rPr>
                      <w:color w:val="auto"/>
                      <w:sz w:val="21"/>
                      <w:szCs w:val="21"/>
                      <w:highlight w:val="none"/>
                    </w:rPr>
                  </w:pPr>
                  <w:r>
                    <w:rPr>
                      <w:color w:val="auto"/>
                      <w:sz w:val="21"/>
                      <w:szCs w:val="21"/>
                      <w:highlight w:val="none"/>
                    </w:rPr>
                    <w:t>COD</w:t>
                  </w:r>
                  <w:r>
                    <w:rPr>
                      <w:color w:val="auto"/>
                      <w:sz w:val="21"/>
                      <w:szCs w:val="21"/>
                      <w:highlight w:val="none"/>
                      <w:vertAlign w:val="subscript"/>
                    </w:rPr>
                    <w:t>Cr</w:t>
                  </w:r>
                  <w:r>
                    <w:rPr>
                      <w:color w:val="auto"/>
                      <w:sz w:val="21"/>
                      <w:szCs w:val="21"/>
                      <w:highlight w:val="none"/>
                    </w:rPr>
                    <w:t>、BOD</w:t>
                  </w:r>
                  <w:r>
                    <w:rPr>
                      <w:color w:val="auto"/>
                      <w:sz w:val="21"/>
                      <w:szCs w:val="21"/>
                      <w:highlight w:val="none"/>
                      <w:vertAlign w:val="subscript"/>
                    </w:rPr>
                    <w:t>5</w:t>
                  </w:r>
                  <w:r>
                    <w:rPr>
                      <w:color w:val="auto"/>
                      <w:sz w:val="21"/>
                      <w:szCs w:val="21"/>
                      <w:highlight w:val="none"/>
                    </w:rPr>
                    <w:t>、SS、NH</w:t>
                  </w:r>
                  <w:r>
                    <w:rPr>
                      <w:color w:val="auto"/>
                      <w:sz w:val="21"/>
                      <w:szCs w:val="21"/>
                      <w:highlight w:val="none"/>
                      <w:vertAlign w:val="subscript"/>
                    </w:rPr>
                    <w:t>3</w:t>
                  </w:r>
                  <w:r>
                    <w:rPr>
                      <w:color w:val="auto"/>
                      <w:sz w:val="21"/>
                      <w:szCs w:val="21"/>
                      <w:highlight w:val="none"/>
                    </w:rPr>
                    <w:t>-N、总磷、石油类</w:t>
                  </w:r>
                </w:p>
              </w:tc>
              <w:tc>
                <w:tcPr>
                  <w:tcW w:w="695" w:type="pct"/>
                  <w:vAlign w:val="center"/>
                </w:tcPr>
                <w:p w14:paraId="11887BE5">
                  <w:pPr>
                    <w:widowControl/>
                    <w:autoSpaceDE w:val="0"/>
                    <w:autoSpaceDN w:val="0"/>
                    <w:spacing w:line="240" w:lineRule="auto"/>
                    <w:contextualSpacing/>
                    <w:jc w:val="center"/>
                    <w:textAlignment w:val="baseline"/>
                    <w:rPr>
                      <w:bCs/>
                      <w:color w:val="auto"/>
                      <w:sz w:val="21"/>
                      <w:szCs w:val="21"/>
                      <w:highlight w:val="none"/>
                    </w:rPr>
                  </w:pPr>
                  <w:r>
                    <w:rPr>
                      <w:rFonts w:hint="eastAsia"/>
                      <w:color w:val="auto"/>
                      <w:sz w:val="21"/>
                      <w:szCs w:val="21"/>
                      <w:highlight w:val="none"/>
                    </w:rPr>
                    <w:t>事故应急池</w:t>
                  </w:r>
                </w:p>
              </w:tc>
              <w:tc>
                <w:tcPr>
                  <w:tcW w:w="758" w:type="pct"/>
                  <w:vAlign w:val="center"/>
                </w:tcPr>
                <w:p w14:paraId="62E700B3">
                  <w:pPr>
                    <w:widowControl/>
                    <w:autoSpaceDE w:val="0"/>
                    <w:autoSpaceDN w:val="0"/>
                    <w:spacing w:line="240" w:lineRule="auto"/>
                    <w:contextualSpacing/>
                    <w:jc w:val="center"/>
                    <w:textAlignment w:val="baseline"/>
                    <w:rPr>
                      <w:bCs/>
                      <w:color w:val="auto"/>
                      <w:sz w:val="21"/>
                      <w:szCs w:val="21"/>
                      <w:highlight w:val="none"/>
                    </w:rPr>
                  </w:pPr>
                  <w:r>
                    <w:rPr>
                      <w:rFonts w:hint="eastAsia"/>
                      <w:color w:val="auto"/>
                      <w:sz w:val="21"/>
                      <w:szCs w:val="21"/>
                      <w:highlight w:val="none"/>
                    </w:rPr>
                    <w:t>事故应急池</w:t>
                  </w:r>
                  <w:r>
                    <w:rPr>
                      <w:color w:val="auto"/>
                      <w:sz w:val="21"/>
                      <w:szCs w:val="21"/>
                      <w:highlight w:val="none"/>
                    </w:rPr>
                    <w:t>设置情况</w:t>
                  </w:r>
                  <w:r>
                    <w:rPr>
                      <w:rFonts w:hint="eastAsia"/>
                      <w:color w:val="auto"/>
                      <w:sz w:val="21"/>
                      <w:szCs w:val="21"/>
                      <w:highlight w:val="none"/>
                    </w:rPr>
                    <w:t>，事故废水收集管网</w:t>
                  </w:r>
                  <w:r>
                    <w:rPr>
                      <w:color w:val="auto"/>
                      <w:sz w:val="21"/>
                      <w:szCs w:val="21"/>
                      <w:highlight w:val="none"/>
                    </w:rPr>
                    <w:t>设置情况</w:t>
                  </w:r>
                </w:p>
              </w:tc>
              <w:tc>
                <w:tcPr>
                  <w:tcW w:w="1740" w:type="pct"/>
                  <w:vAlign w:val="center"/>
                </w:tcPr>
                <w:p w14:paraId="1BE7BFF6">
                  <w:pPr>
                    <w:autoSpaceDE w:val="0"/>
                    <w:autoSpaceDN w:val="0"/>
                    <w:spacing w:line="240" w:lineRule="auto"/>
                    <w:contextualSpacing/>
                    <w:jc w:val="center"/>
                    <w:textAlignment w:val="baseline"/>
                    <w:rPr>
                      <w:bCs/>
                      <w:color w:val="auto"/>
                      <w:sz w:val="21"/>
                      <w:szCs w:val="21"/>
                      <w:highlight w:val="none"/>
                    </w:rPr>
                  </w:pPr>
                  <w:r>
                    <w:rPr>
                      <w:rFonts w:hint="eastAsia"/>
                      <w:bCs/>
                      <w:color w:val="auto"/>
                      <w:sz w:val="21"/>
                      <w:szCs w:val="21"/>
                      <w:highlight w:val="none"/>
                    </w:rPr>
                    <w:t>满足</w:t>
                  </w:r>
                  <w:r>
                    <w:rPr>
                      <w:bCs/>
                      <w:color w:val="auto"/>
                      <w:sz w:val="21"/>
                      <w:szCs w:val="21"/>
                      <w:highlight w:val="none"/>
                    </w:rPr>
                    <w:t>《事故状态下水体污染的预防与控制技术要求》（Q/SY 1190-2013）的规定</w:t>
                  </w:r>
                  <w:r>
                    <w:rPr>
                      <w:rFonts w:hint="eastAsia"/>
                      <w:bCs/>
                      <w:color w:val="auto"/>
                      <w:sz w:val="21"/>
                      <w:szCs w:val="21"/>
                      <w:highlight w:val="none"/>
                    </w:rPr>
                    <w:t>，发生事故时，泄漏物料、消防废水等事故废水均能截留在厂区内</w:t>
                  </w:r>
                </w:p>
              </w:tc>
            </w:tr>
          </w:tbl>
          <w:p w14:paraId="09D2D4A2">
            <w:pPr>
              <w:keepNext/>
              <w:keepLines/>
              <w:tabs>
                <w:tab w:val="left" w:pos="0"/>
              </w:tabs>
              <w:ind w:left="478"/>
              <w:outlineLvl w:val="2"/>
              <w:rPr>
                <w:b/>
                <w:bCs/>
                <w:color w:val="auto"/>
                <w:highlight w:val="none"/>
              </w:rPr>
            </w:pPr>
            <w:r>
              <w:rPr>
                <w:rFonts w:hint="eastAsia"/>
                <w:b/>
                <w:bCs/>
                <w:color w:val="auto"/>
                <w:highlight w:val="none"/>
                <w:lang w:val="en-US" w:eastAsia="zh-CN"/>
              </w:rPr>
              <w:t>9</w:t>
            </w:r>
            <w:r>
              <w:rPr>
                <w:b/>
                <w:bCs/>
                <w:color w:val="auto"/>
                <w:highlight w:val="none"/>
              </w:rPr>
              <w:t>、电磁辐射环境</w:t>
            </w:r>
          </w:p>
          <w:p w14:paraId="704508BD">
            <w:pPr>
              <w:pStyle w:val="26"/>
              <w:ind w:firstLine="480"/>
              <w:rPr>
                <w:color w:val="auto"/>
                <w:highlight w:val="none"/>
              </w:rPr>
            </w:pPr>
            <w:r>
              <w:rPr>
                <w:color w:val="auto"/>
                <w:highlight w:val="none"/>
              </w:rPr>
              <w:t>本项目不存在电磁辐射影响。</w:t>
            </w:r>
          </w:p>
          <w:p w14:paraId="00CEA8B4">
            <w:pPr>
              <w:rPr>
                <w:color w:val="auto"/>
                <w:highlight w:val="none"/>
              </w:rPr>
            </w:pPr>
          </w:p>
          <w:p w14:paraId="1B35E09B">
            <w:pPr>
              <w:rPr>
                <w:color w:val="auto"/>
                <w:highlight w:val="none"/>
              </w:rPr>
            </w:pPr>
          </w:p>
          <w:p w14:paraId="56912A1C">
            <w:pPr>
              <w:rPr>
                <w:color w:val="auto"/>
                <w:highlight w:val="none"/>
              </w:rPr>
            </w:pPr>
          </w:p>
        </w:tc>
      </w:tr>
    </w:tbl>
    <w:p w14:paraId="538261A3">
      <w:pPr>
        <w:rPr>
          <w:color w:val="auto"/>
          <w:highlight w:val="none"/>
        </w:rPr>
        <w:sectPr>
          <w:pgSz w:w="11906" w:h="16838"/>
          <w:pgMar w:top="1440" w:right="1080" w:bottom="1440" w:left="1080" w:header="851" w:footer="680" w:gutter="0"/>
          <w:pgNumType w:fmt="numberInDash"/>
          <w:cols w:space="720" w:num="1"/>
          <w:docGrid w:type="linesAndChars" w:linePitch="312" w:charSpace="0"/>
        </w:sectPr>
      </w:pPr>
    </w:p>
    <w:p w14:paraId="7132FA12">
      <w:pPr>
        <w:pStyle w:val="18"/>
        <w:numPr>
          <w:ilvl w:val="0"/>
          <w:numId w:val="0"/>
        </w:numPr>
        <w:rPr>
          <w:rFonts w:cs="Times New Roman"/>
          <w:b/>
          <w:bCs/>
          <w:color w:val="auto"/>
          <w:highlight w:val="none"/>
        </w:rPr>
      </w:pPr>
      <w:bookmarkStart w:id="149" w:name="_Toc1296"/>
      <w:bookmarkStart w:id="150" w:name="_Toc23240"/>
      <w:bookmarkStart w:id="151" w:name="_Toc30723"/>
      <w:r>
        <w:rPr>
          <w:rFonts w:hint="eastAsia" w:cs="Times New Roman"/>
          <w:b/>
          <w:bCs/>
          <w:color w:val="auto"/>
          <w:highlight w:val="none"/>
        </w:rPr>
        <w:t>五、</w:t>
      </w:r>
      <w:r>
        <w:rPr>
          <w:rFonts w:cs="Times New Roman"/>
          <w:b/>
          <w:bCs/>
          <w:color w:val="auto"/>
          <w:highlight w:val="none"/>
        </w:rPr>
        <w:t>环境保护措施监督检查清单</w:t>
      </w:r>
      <w:bookmarkEnd w:id="143"/>
      <w:bookmarkEnd w:id="149"/>
      <w:bookmarkEnd w:id="150"/>
      <w:bookmarkEnd w:id="151"/>
    </w:p>
    <w:tbl>
      <w:tblPr>
        <w:tblStyle w:val="49"/>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352"/>
        <w:gridCol w:w="982"/>
        <w:gridCol w:w="1459"/>
        <w:gridCol w:w="1896"/>
        <w:gridCol w:w="2828"/>
      </w:tblGrid>
      <w:tr w14:paraId="0200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18" w:type="pct"/>
            <w:tcBorders>
              <w:tl2br w:val="single" w:color="auto" w:sz="4" w:space="0"/>
            </w:tcBorders>
            <w:vAlign w:val="center"/>
          </w:tcPr>
          <w:p w14:paraId="7CD2E5DC">
            <w:pPr>
              <w:pStyle w:val="64"/>
              <w:spacing w:line="276" w:lineRule="auto"/>
              <w:rPr>
                <w:b/>
                <w:bCs/>
                <w:color w:val="auto"/>
                <w:kern w:val="2"/>
                <w:highlight w:val="none"/>
              </w:rPr>
            </w:pPr>
            <w:r>
              <w:rPr>
                <w:rFonts w:hint="eastAsia"/>
                <w:b/>
                <w:bCs/>
                <w:color w:val="auto"/>
                <w:kern w:val="2"/>
                <w:highlight w:val="none"/>
              </w:rPr>
              <w:t>内容</w:t>
            </w:r>
          </w:p>
          <w:p w14:paraId="1027356C">
            <w:pPr>
              <w:pStyle w:val="64"/>
              <w:spacing w:line="276" w:lineRule="auto"/>
              <w:jc w:val="both"/>
              <w:rPr>
                <w:b/>
                <w:bCs/>
                <w:color w:val="auto"/>
                <w:kern w:val="2"/>
                <w:highlight w:val="none"/>
              </w:rPr>
            </w:pPr>
            <w:r>
              <w:rPr>
                <w:rFonts w:hint="eastAsia"/>
                <w:b/>
                <w:bCs/>
                <w:color w:val="auto"/>
                <w:kern w:val="2"/>
                <w:highlight w:val="none"/>
              </w:rPr>
              <w:t>要素</w:t>
            </w:r>
          </w:p>
        </w:tc>
        <w:tc>
          <w:tcPr>
            <w:tcW w:w="1255" w:type="pct"/>
            <w:gridSpan w:val="2"/>
            <w:vAlign w:val="center"/>
          </w:tcPr>
          <w:p w14:paraId="55DEBB39">
            <w:pPr>
              <w:pStyle w:val="64"/>
              <w:spacing w:line="276" w:lineRule="auto"/>
              <w:rPr>
                <w:b/>
                <w:bCs/>
                <w:color w:val="auto"/>
                <w:kern w:val="2"/>
                <w:highlight w:val="none"/>
              </w:rPr>
            </w:pPr>
            <w:r>
              <w:rPr>
                <w:rFonts w:hint="eastAsia"/>
                <w:b/>
                <w:bCs/>
                <w:color w:val="auto"/>
                <w:kern w:val="2"/>
                <w:highlight w:val="none"/>
              </w:rPr>
              <w:t>排放口（编号、名称）/污染源</w:t>
            </w:r>
          </w:p>
        </w:tc>
        <w:tc>
          <w:tcPr>
            <w:tcW w:w="784" w:type="pct"/>
            <w:vAlign w:val="center"/>
          </w:tcPr>
          <w:p w14:paraId="63F322CE">
            <w:pPr>
              <w:pStyle w:val="64"/>
              <w:spacing w:line="276" w:lineRule="auto"/>
              <w:rPr>
                <w:b/>
                <w:bCs/>
                <w:color w:val="auto"/>
                <w:kern w:val="2"/>
                <w:highlight w:val="none"/>
              </w:rPr>
            </w:pPr>
            <w:r>
              <w:rPr>
                <w:rFonts w:hint="eastAsia"/>
                <w:b/>
                <w:bCs/>
                <w:color w:val="auto"/>
                <w:kern w:val="2"/>
                <w:highlight w:val="none"/>
              </w:rPr>
              <w:t>污染物项目</w:t>
            </w:r>
          </w:p>
        </w:tc>
        <w:tc>
          <w:tcPr>
            <w:tcW w:w="1019" w:type="pct"/>
            <w:vAlign w:val="center"/>
          </w:tcPr>
          <w:p w14:paraId="20AD8E47">
            <w:pPr>
              <w:pStyle w:val="64"/>
              <w:spacing w:line="276" w:lineRule="auto"/>
              <w:rPr>
                <w:b/>
                <w:bCs/>
                <w:color w:val="auto"/>
                <w:kern w:val="2"/>
                <w:highlight w:val="none"/>
              </w:rPr>
            </w:pPr>
            <w:r>
              <w:rPr>
                <w:rFonts w:hint="eastAsia"/>
                <w:b/>
                <w:bCs/>
                <w:color w:val="auto"/>
                <w:kern w:val="2"/>
                <w:highlight w:val="none"/>
              </w:rPr>
              <w:t>环境保护措施</w:t>
            </w:r>
          </w:p>
        </w:tc>
        <w:tc>
          <w:tcPr>
            <w:tcW w:w="1521" w:type="pct"/>
            <w:vAlign w:val="center"/>
          </w:tcPr>
          <w:p w14:paraId="5EC51345">
            <w:pPr>
              <w:pStyle w:val="64"/>
              <w:spacing w:line="276" w:lineRule="auto"/>
              <w:rPr>
                <w:b/>
                <w:bCs/>
                <w:color w:val="auto"/>
                <w:kern w:val="2"/>
                <w:highlight w:val="none"/>
              </w:rPr>
            </w:pPr>
            <w:r>
              <w:rPr>
                <w:rFonts w:hint="eastAsia"/>
                <w:b/>
                <w:bCs/>
                <w:color w:val="auto"/>
                <w:kern w:val="2"/>
                <w:highlight w:val="none"/>
              </w:rPr>
              <w:t>执行标准</w:t>
            </w:r>
          </w:p>
        </w:tc>
      </w:tr>
      <w:tr w14:paraId="5E11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418" w:type="pct"/>
            <w:vMerge w:val="restart"/>
            <w:vAlign w:val="center"/>
          </w:tcPr>
          <w:p w14:paraId="174CA057">
            <w:pPr>
              <w:pStyle w:val="64"/>
              <w:spacing w:line="276" w:lineRule="auto"/>
              <w:rPr>
                <w:color w:val="auto"/>
                <w:kern w:val="2"/>
                <w:highlight w:val="none"/>
              </w:rPr>
            </w:pPr>
            <w:r>
              <w:rPr>
                <w:rFonts w:hint="eastAsia"/>
                <w:color w:val="auto"/>
                <w:kern w:val="2"/>
                <w:highlight w:val="none"/>
              </w:rPr>
              <w:t>大气环境</w:t>
            </w:r>
          </w:p>
        </w:tc>
        <w:tc>
          <w:tcPr>
            <w:tcW w:w="727" w:type="pct"/>
            <w:vAlign w:val="center"/>
          </w:tcPr>
          <w:p w14:paraId="1008E57E">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color w:val="auto"/>
                <w:highlight w:val="none"/>
                <w:lang w:val="en-US" w:eastAsia="zh-CN"/>
              </w:rPr>
            </w:pPr>
            <w:r>
              <w:rPr>
                <w:rFonts w:hint="eastAsia" w:cs="Times New Roman"/>
                <w:i w:val="0"/>
                <w:iCs w:val="0"/>
                <w:color w:val="auto"/>
                <w:kern w:val="0"/>
                <w:sz w:val="21"/>
                <w:szCs w:val="21"/>
                <w:highlight w:val="none"/>
                <w:u w:val="none"/>
                <w:lang w:val="en-US" w:eastAsia="zh-CN"/>
              </w:rPr>
              <w:t>破碎粉尘排气筒</w:t>
            </w:r>
            <w:r>
              <w:rPr>
                <w:rFonts w:hint="eastAsia"/>
                <w:color w:val="auto"/>
                <w:kern w:val="2"/>
                <w:highlight w:val="none"/>
              </w:rPr>
              <w:t>（DA001）</w:t>
            </w:r>
          </w:p>
        </w:tc>
        <w:tc>
          <w:tcPr>
            <w:tcW w:w="528" w:type="pct"/>
            <w:vAlign w:val="center"/>
          </w:tcPr>
          <w:p w14:paraId="0CE093DC">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color w:val="auto"/>
                <w:kern w:val="2"/>
                <w:highlight w:val="none"/>
                <w:lang w:val="en-US" w:eastAsia="zh-CN"/>
              </w:rPr>
            </w:pPr>
            <w:r>
              <w:rPr>
                <w:rFonts w:hint="eastAsia"/>
                <w:color w:val="auto"/>
                <w:kern w:val="2"/>
                <w:highlight w:val="none"/>
                <w:lang w:val="en-US" w:eastAsia="zh-CN"/>
              </w:rPr>
              <w:t>破碎粉尘</w:t>
            </w:r>
          </w:p>
        </w:tc>
        <w:tc>
          <w:tcPr>
            <w:tcW w:w="784" w:type="pct"/>
            <w:vAlign w:val="center"/>
          </w:tcPr>
          <w:p w14:paraId="13115AB1">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color w:val="auto"/>
                <w:kern w:val="2"/>
                <w:highlight w:val="none"/>
              </w:rPr>
            </w:pPr>
            <w:r>
              <w:rPr>
                <w:rFonts w:hint="eastAsia"/>
                <w:color w:val="auto"/>
                <w:kern w:val="2"/>
                <w:highlight w:val="none"/>
              </w:rPr>
              <w:t>颗粒物</w:t>
            </w:r>
          </w:p>
        </w:tc>
        <w:tc>
          <w:tcPr>
            <w:tcW w:w="1019" w:type="pct"/>
            <w:vAlign w:val="center"/>
          </w:tcPr>
          <w:p w14:paraId="1E5AA5AB">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color w:val="auto"/>
                <w:kern w:val="2"/>
                <w:highlight w:val="none"/>
              </w:rPr>
            </w:pPr>
            <w:r>
              <w:rPr>
                <w:rFonts w:hint="eastAsia"/>
                <w:color w:val="auto"/>
                <w:kern w:val="2"/>
                <w:highlight w:val="none"/>
                <w:lang w:val="en-US" w:eastAsia="zh-CN"/>
              </w:rPr>
              <w:t>采取布袋除尘器处理后经</w:t>
            </w:r>
            <w:r>
              <w:rPr>
                <w:rFonts w:hint="eastAsia"/>
                <w:color w:val="auto"/>
                <w:kern w:val="0"/>
                <w:highlight w:val="none"/>
                <w:lang w:val="en-US" w:eastAsia="zh-CN"/>
              </w:rPr>
              <w:t>15m</w:t>
            </w:r>
            <w:r>
              <w:rPr>
                <w:rFonts w:hint="eastAsia"/>
                <w:color w:val="auto"/>
                <w:kern w:val="2"/>
                <w:highlight w:val="none"/>
              </w:rPr>
              <w:t>高排气筒（DA001）排放</w:t>
            </w:r>
          </w:p>
        </w:tc>
        <w:tc>
          <w:tcPr>
            <w:tcW w:w="1521" w:type="pct"/>
            <w:vAlign w:val="center"/>
          </w:tcPr>
          <w:p w14:paraId="00FBC7E9">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color w:val="auto"/>
                <w:kern w:val="2"/>
                <w:highlight w:val="none"/>
              </w:rPr>
            </w:pPr>
            <w:r>
              <w:rPr>
                <w:rFonts w:hint="eastAsia" w:cs="Times New Roman"/>
                <w:b w:val="0"/>
                <w:bCs w:val="0"/>
                <w:color w:val="auto"/>
                <w:kern w:val="2"/>
                <w:highlight w:val="none"/>
                <w:lang w:val="en-US" w:eastAsia="zh-CN"/>
              </w:rPr>
              <w:t>《合成树脂工业污染物排放标准》(GB31572-2015) 及其 2024 年修改单中表 5 大气污染物特别排放限值</w:t>
            </w:r>
          </w:p>
        </w:tc>
      </w:tr>
      <w:tr w14:paraId="4ABD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418" w:type="pct"/>
            <w:vMerge w:val="continue"/>
            <w:vAlign w:val="center"/>
          </w:tcPr>
          <w:p w14:paraId="24178437">
            <w:pPr>
              <w:pStyle w:val="64"/>
              <w:spacing w:line="276" w:lineRule="auto"/>
              <w:rPr>
                <w:color w:val="auto"/>
                <w:kern w:val="2"/>
                <w:highlight w:val="none"/>
              </w:rPr>
            </w:pPr>
          </w:p>
        </w:tc>
        <w:tc>
          <w:tcPr>
            <w:tcW w:w="727" w:type="pct"/>
            <w:vMerge w:val="restart"/>
            <w:vAlign w:val="center"/>
          </w:tcPr>
          <w:p w14:paraId="175B3119">
            <w:pPr>
              <w:pStyle w:val="64"/>
              <w:spacing w:line="276" w:lineRule="auto"/>
              <w:rPr>
                <w:color w:val="auto"/>
                <w:kern w:val="2"/>
                <w:highlight w:val="none"/>
              </w:rPr>
            </w:pPr>
            <w:r>
              <w:rPr>
                <w:rFonts w:hint="eastAsia"/>
                <w:color w:val="auto"/>
                <w:highlight w:val="none"/>
                <w:lang w:val="en-US" w:eastAsia="zh-CN"/>
              </w:rPr>
              <w:t>造粒废气</w:t>
            </w:r>
            <w:r>
              <w:rPr>
                <w:rFonts w:hint="eastAsia"/>
                <w:color w:val="auto"/>
                <w:highlight w:val="none"/>
              </w:rPr>
              <w:t>排气筒</w:t>
            </w:r>
            <w:r>
              <w:rPr>
                <w:rFonts w:hint="eastAsia"/>
                <w:color w:val="auto"/>
                <w:kern w:val="2"/>
                <w:highlight w:val="none"/>
              </w:rPr>
              <w:t>（DA00</w:t>
            </w:r>
            <w:r>
              <w:rPr>
                <w:rFonts w:hint="eastAsia"/>
                <w:color w:val="auto"/>
                <w:kern w:val="2"/>
                <w:highlight w:val="none"/>
                <w:lang w:val="en-US" w:eastAsia="zh-CN"/>
              </w:rPr>
              <w:t>2</w:t>
            </w:r>
            <w:r>
              <w:rPr>
                <w:rFonts w:hint="eastAsia"/>
                <w:color w:val="auto"/>
                <w:kern w:val="2"/>
                <w:highlight w:val="none"/>
              </w:rPr>
              <w:t>）</w:t>
            </w:r>
          </w:p>
        </w:tc>
        <w:tc>
          <w:tcPr>
            <w:tcW w:w="528" w:type="pct"/>
            <w:vMerge w:val="restart"/>
            <w:vAlign w:val="center"/>
          </w:tcPr>
          <w:p w14:paraId="0D9E5614">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造粒废气</w:t>
            </w:r>
          </w:p>
        </w:tc>
        <w:tc>
          <w:tcPr>
            <w:tcW w:w="784" w:type="pct"/>
            <w:vAlign w:val="center"/>
          </w:tcPr>
          <w:p w14:paraId="31B94869">
            <w:pPr>
              <w:pStyle w:val="64"/>
              <w:spacing w:line="276" w:lineRule="auto"/>
              <w:rPr>
                <w:color w:val="auto"/>
                <w:kern w:val="2"/>
                <w:highlight w:val="none"/>
              </w:rPr>
            </w:pPr>
            <w:r>
              <w:rPr>
                <w:rFonts w:hint="eastAsia"/>
                <w:color w:val="auto"/>
                <w:kern w:val="2"/>
                <w:highlight w:val="none"/>
              </w:rPr>
              <w:t>颗粒物</w:t>
            </w:r>
          </w:p>
        </w:tc>
        <w:tc>
          <w:tcPr>
            <w:tcW w:w="1019" w:type="pct"/>
            <w:vMerge w:val="restart"/>
            <w:vAlign w:val="center"/>
          </w:tcPr>
          <w:p w14:paraId="78E13BF3">
            <w:pPr>
              <w:pStyle w:val="64"/>
              <w:spacing w:line="276" w:lineRule="auto"/>
              <w:rPr>
                <w:color w:val="auto"/>
                <w:kern w:val="2"/>
                <w:highlight w:val="none"/>
              </w:rPr>
            </w:pPr>
            <w:r>
              <w:rPr>
                <w:rFonts w:hint="eastAsia"/>
                <w:color w:val="auto"/>
                <w:kern w:val="2"/>
                <w:highlight w:val="none"/>
              </w:rPr>
              <w:t>采取</w:t>
            </w:r>
            <w:r>
              <w:rPr>
                <w:rFonts w:hint="eastAsia"/>
                <w:color w:val="auto"/>
                <w:kern w:val="2"/>
                <w:highlight w:val="none"/>
                <w:lang w:eastAsia="zh-CN"/>
              </w:rPr>
              <w:t>电捕焦油+气旋混动喷淋+干式过滤+活性炭吸附脱附+催化燃烧+活性炭吸附</w:t>
            </w:r>
            <w:r>
              <w:rPr>
                <w:rFonts w:hint="eastAsia"/>
                <w:color w:val="auto"/>
                <w:kern w:val="2"/>
                <w:highlight w:val="none"/>
              </w:rPr>
              <w:t>处理后经</w:t>
            </w:r>
            <w:r>
              <w:rPr>
                <w:rFonts w:hint="eastAsia"/>
                <w:color w:val="auto"/>
                <w:highlight w:val="none"/>
                <w:lang w:eastAsia="zh-CN"/>
              </w:rPr>
              <w:t>15m</w:t>
            </w:r>
            <w:r>
              <w:rPr>
                <w:rFonts w:hint="eastAsia"/>
                <w:color w:val="auto"/>
                <w:kern w:val="2"/>
                <w:highlight w:val="none"/>
              </w:rPr>
              <w:t>高排气筒（DA00</w:t>
            </w:r>
            <w:r>
              <w:rPr>
                <w:rFonts w:hint="eastAsia"/>
                <w:color w:val="auto"/>
                <w:kern w:val="2"/>
                <w:highlight w:val="none"/>
                <w:lang w:val="en-US" w:eastAsia="zh-CN"/>
              </w:rPr>
              <w:t>2</w:t>
            </w:r>
            <w:r>
              <w:rPr>
                <w:rFonts w:hint="eastAsia"/>
                <w:color w:val="auto"/>
                <w:kern w:val="2"/>
                <w:highlight w:val="none"/>
              </w:rPr>
              <w:t>）排放</w:t>
            </w:r>
          </w:p>
        </w:tc>
        <w:tc>
          <w:tcPr>
            <w:tcW w:w="1521" w:type="pct"/>
            <w:vMerge w:val="restart"/>
            <w:vAlign w:val="center"/>
          </w:tcPr>
          <w:p w14:paraId="336B1F16">
            <w:pPr>
              <w:pStyle w:val="64"/>
              <w:spacing w:line="276" w:lineRule="auto"/>
              <w:rPr>
                <w:color w:val="auto"/>
                <w:kern w:val="2"/>
                <w:highlight w:val="none"/>
              </w:rPr>
            </w:pPr>
            <w:r>
              <w:rPr>
                <w:rFonts w:hint="eastAsia"/>
                <w:color w:val="auto"/>
                <w:kern w:val="2"/>
                <w:highlight w:val="none"/>
              </w:rPr>
              <w:t>《合成树脂工业污染物排放标准》(GB31572-2015) 及其 2024 年修改单中表 5 大气污染物特别排放限值</w:t>
            </w:r>
          </w:p>
        </w:tc>
      </w:tr>
      <w:tr w14:paraId="748A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18" w:type="pct"/>
            <w:vMerge w:val="continue"/>
            <w:vAlign w:val="center"/>
          </w:tcPr>
          <w:p w14:paraId="778B1395">
            <w:pPr>
              <w:pStyle w:val="64"/>
              <w:spacing w:line="276" w:lineRule="auto"/>
              <w:rPr>
                <w:color w:val="auto"/>
                <w:kern w:val="2"/>
                <w:highlight w:val="none"/>
              </w:rPr>
            </w:pPr>
          </w:p>
        </w:tc>
        <w:tc>
          <w:tcPr>
            <w:tcW w:w="727" w:type="pct"/>
            <w:vMerge w:val="continue"/>
            <w:vAlign w:val="center"/>
          </w:tcPr>
          <w:p w14:paraId="351D34DE">
            <w:pPr>
              <w:pStyle w:val="64"/>
              <w:spacing w:line="276" w:lineRule="auto"/>
              <w:rPr>
                <w:color w:val="auto"/>
                <w:highlight w:val="none"/>
              </w:rPr>
            </w:pPr>
          </w:p>
        </w:tc>
        <w:tc>
          <w:tcPr>
            <w:tcW w:w="528" w:type="pct"/>
            <w:vMerge w:val="continue"/>
            <w:vAlign w:val="center"/>
          </w:tcPr>
          <w:p w14:paraId="0ED94E8F">
            <w:pPr>
              <w:pStyle w:val="64"/>
              <w:spacing w:line="276" w:lineRule="auto"/>
              <w:rPr>
                <w:color w:val="auto"/>
                <w:kern w:val="2"/>
                <w:highlight w:val="none"/>
              </w:rPr>
            </w:pPr>
          </w:p>
        </w:tc>
        <w:tc>
          <w:tcPr>
            <w:tcW w:w="784" w:type="pct"/>
            <w:vAlign w:val="center"/>
          </w:tcPr>
          <w:p w14:paraId="00B2E93D">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非甲烷总烃</w:t>
            </w:r>
          </w:p>
        </w:tc>
        <w:tc>
          <w:tcPr>
            <w:tcW w:w="1019" w:type="pct"/>
            <w:vMerge w:val="continue"/>
            <w:vAlign w:val="center"/>
          </w:tcPr>
          <w:p w14:paraId="3CD09300">
            <w:pPr>
              <w:pStyle w:val="64"/>
              <w:spacing w:line="276" w:lineRule="auto"/>
              <w:rPr>
                <w:color w:val="auto"/>
                <w:kern w:val="2"/>
                <w:highlight w:val="none"/>
              </w:rPr>
            </w:pPr>
          </w:p>
        </w:tc>
        <w:tc>
          <w:tcPr>
            <w:tcW w:w="1521" w:type="pct"/>
            <w:vMerge w:val="continue"/>
            <w:vAlign w:val="center"/>
          </w:tcPr>
          <w:p w14:paraId="69878753">
            <w:pPr>
              <w:pStyle w:val="64"/>
              <w:spacing w:line="276" w:lineRule="auto"/>
              <w:rPr>
                <w:color w:val="auto"/>
                <w:kern w:val="2"/>
                <w:highlight w:val="none"/>
              </w:rPr>
            </w:pPr>
          </w:p>
        </w:tc>
      </w:tr>
      <w:tr w14:paraId="7160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18" w:type="pct"/>
            <w:vMerge w:val="continue"/>
            <w:vAlign w:val="center"/>
          </w:tcPr>
          <w:p w14:paraId="2FE075A9">
            <w:pPr>
              <w:pStyle w:val="64"/>
              <w:spacing w:line="276" w:lineRule="auto"/>
              <w:rPr>
                <w:color w:val="auto"/>
                <w:kern w:val="2"/>
                <w:highlight w:val="none"/>
              </w:rPr>
            </w:pPr>
          </w:p>
        </w:tc>
        <w:tc>
          <w:tcPr>
            <w:tcW w:w="727" w:type="pct"/>
            <w:vMerge w:val="continue"/>
            <w:vAlign w:val="center"/>
          </w:tcPr>
          <w:p w14:paraId="69E938E7">
            <w:pPr>
              <w:pStyle w:val="64"/>
              <w:spacing w:line="276" w:lineRule="auto"/>
              <w:rPr>
                <w:color w:val="auto"/>
                <w:highlight w:val="none"/>
              </w:rPr>
            </w:pPr>
          </w:p>
        </w:tc>
        <w:tc>
          <w:tcPr>
            <w:tcW w:w="528" w:type="pct"/>
            <w:vMerge w:val="continue"/>
            <w:vAlign w:val="center"/>
          </w:tcPr>
          <w:p w14:paraId="06CD27DB">
            <w:pPr>
              <w:pStyle w:val="64"/>
              <w:spacing w:line="276" w:lineRule="auto"/>
              <w:rPr>
                <w:color w:val="auto"/>
                <w:kern w:val="2"/>
                <w:highlight w:val="none"/>
              </w:rPr>
            </w:pPr>
          </w:p>
        </w:tc>
        <w:tc>
          <w:tcPr>
            <w:tcW w:w="784" w:type="pct"/>
            <w:vAlign w:val="center"/>
          </w:tcPr>
          <w:p w14:paraId="009029BF">
            <w:pPr>
              <w:pStyle w:val="64"/>
              <w:spacing w:line="276" w:lineRule="auto"/>
              <w:rPr>
                <w:rFonts w:hint="eastAsia" w:eastAsia="宋体"/>
                <w:color w:val="auto"/>
                <w:kern w:val="2"/>
                <w:highlight w:val="none"/>
                <w:lang w:val="en-US" w:eastAsia="zh-CN"/>
              </w:rPr>
            </w:pPr>
            <w:r>
              <w:rPr>
                <w:rFonts w:hint="eastAsia"/>
                <w:color w:val="auto"/>
                <w:kern w:val="2"/>
                <w:highlight w:val="none"/>
                <w:lang w:val="en-US" w:eastAsia="zh-CN"/>
              </w:rPr>
              <w:t>恶臭</w:t>
            </w:r>
          </w:p>
        </w:tc>
        <w:tc>
          <w:tcPr>
            <w:tcW w:w="1019" w:type="pct"/>
            <w:vMerge w:val="continue"/>
            <w:vAlign w:val="center"/>
          </w:tcPr>
          <w:p w14:paraId="13D23900">
            <w:pPr>
              <w:pStyle w:val="64"/>
              <w:spacing w:line="276" w:lineRule="auto"/>
              <w:rPr>
                <w:rFonts w:hint="eastAsia"/>
                <w:color w:val="auto"/>
                <w:kern w:val="2"/>
                <w:highlight w:val="none"/>
              </w:rPr>
            </w:pPr>
          </w:p>
        </w:tc>
        <w:tc>
          <w:tcPr>
            <w:tcW w:w="1521" w:type="pct"/>
            <w:vAlign w:val="center"/>
          </w:tcPr>
          <w:p w14:paraId="17FF7660">
            <w:pPr>
              <w:pStyle w:val="64"/>
              <w:spacing w:line="276" w:lineRule="auto"/>
              <w:rPr>
                <w:color w:val="auto"/>
                <w:kern w:val="2"/>
                <w:highlight w:val="none"/>
              </w:rPr>
            </w:pPr>
            <w:r>
              <w:rPr>
                <w:rFonts w:hint="default" w:ascii="Times New Roman" w:hAnsi="Times New Roman" w:cs="Times New Roman"/>
                <w:color w:val="auto"/>
                <w:spacing w:val="-2"/>
                <w:sz w:val="21"/>
                <w:szCs w:val="21"/>
                <w:highlight w:val="none"/>
              </w:rPr>
              <w:t>《恶臭污染物排放标准》（GB14554-93）表2污染物排放标准值</w:t>
            </w:r>
          </w:p>
        </w:tc>
      </w:tr>
      <w:tr w14:paraId="5DC9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18" w:type="pct"/>
            <w:vMerge w:val="continue"/>
            <w:vAlign w:val="center"/>
          </w:tcPr>
          <w:p w14:paraId="53557129">
            <w:pPr>
              <w:pStyle w:val="64"/>
              <w:spacing w:line="276" w:lineRule="auto"/>
              <w:rPr>
                <w:color w:val="auto"/>
                <w:kern w:val="2"/>
                <w:highlight w:val="none"/>
              </w:rPr>
            </w:pPr>
          </w:p>
        </w:tc>
        <w:tc>
          <w:tcPr>
            <w:tcW w:w="727" w:type="pct"/>
            <w:shd w:val="clear" w:color="auto" w:fill="auto"/>
            <w:vAlign w:val="center"/>
          </w:tcPr>
          <w:p w14:paraId="34C07C41">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default" w:ascii="Times New Roman" w:hAnsi="Times New Roman" w:eastAsia="宋体" w:cs="Times New Roman"/>
                <w:i w:val="0"/>
                <w:iCs w:val="0"/>
                <w:color w:val="auto"/>
                <w:kern w:val="0"/>
                <w:position w:val="-10"/>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rPr>
              <w:t>油烟（DA003）</w:t>
            </w:r>
          </w:p>
        </w:tc>
        <w:tc>
          <w:tcPr>
            <w:tcW w:w="528" w:type="pct"/>
            <w:shd w:val="clear" w:color="auto" w:fill="auto"/>
            <w:vAlign w:val="center"/>
          </w:tcPr>
          <w:p w14:paraId="64E8E486">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食堂油烟</w:t>
            </w:r>
          </w:p>
        </w:tc>
        <w:tc>
          <w:tcPr>
            <w:tcW w:w="784" w:type="pct"/>
            <w:shd w:val="clear" w:color="auto" w:fill="auto"/>
            <w:vAlign w:val="center"/>
          </w:tcPr>
          <w:p w14:paraId="618E6730">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油烟</w:t>
            </w:r>
          </w:p>
        </w:tc>
        <w:tc>
          <w:tcPr>
            <w:tcW w:w="1019" w:type="pct"/>
            <w:shd w:val="clear" w:color="auto" w:fill="auto"/>
            <w:vAlign w:val="center"/>
          </w:tcPr>
          <w:p w14:paraId="56F0CE89">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highlight w:val="none"/>
                <w:lang w:val="en-US" w:eastAsia="zh-CN"/>
              </w:rPr>
              <w:t>经油烟净化器净化后通过15m高排气筒排放</w:t>
            </w:r>
          </w:p>
        </w:tc>
        <w:tc>
          <w:tcPr>
            <w:tcW w:w="1521" w:type="pct"/>
            <w:shd w:val="clear" w:color="auto" w:fill="auto"/>
            <w:vAlign w:val="center"/>
          </w:tcPr>
          <w:p w14:paraId="0EA2CBEE">
            <w:pPr>
              <w:pStyle w:val="64"/>
              <w:keepNext w:val="0"/>
              <w:keepLines w:val="0"/>
              <w:pageBreakBefore w:val="0"/>
              <w:widowControl/>
              <w:suppressLineNumbers w:val="0"/>
              <w:kinsoku/>
              <w:overflowPunct/>
              <w:topLinePunct w:val="0"/>
              <w:bidi w:val="0"/>
              <w:snapToGrid/>
              <w:spacing w:before="0" w:beforeAutospacing="0" w:after="0" w:afterAutospacing="0" w:line="276" w:lineRule="auto"/>
              <w:ind w:left="0" w:leftChars="0" w:right="0" w:rightChars="0"/>
              <w:jc w:val="center"/>
              <w:rPr>
                <w:rFonts w:hint="default" w:ascii="Times New Roman" w:hAnsi="Times New Roman" w:eastAsia="宋体" w:cs="Times New Roman"/>
                <w:b w:val="0"/>
                <w:bCs w:val="0"/>
                <w:color w:val="auto"/>
                <w:kern w:val="2"/>
                <w:position w:val="-10"/>
                <w:sz w:val="21"/>
                <w:szCs w:val="21"/>
                <w:highlight w:val="none"/>
                <w:lang w:val="en-US" w:eastAsia="zh-CN" w:bidi="ar-SA"/>
              </w:rPr>
            </w:pPr>
            <w:r>
              <w:rPr>
                <w:rFonts w:hint="default" w:ascii="Times New Roman" w:hAnsi="Times New Roman" w:eastAsia="宋体" w:cs="Times New Roman"/>
                <w:color w:val="auto"/>
                <w:kern w:val="2"/>
                <w:sz w:val="21"/>
                <w:szCs w:val="21"/>
                <w:highlight w:val="none"/>
              </w:rPr>
              <w:t>《饮食业油烟排放标准</w:t>
            </w:r>
            <w:r>
              <w:rPr>
                <w:rFonts w:hint="eastAsia"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试行</w:t>
            </w:r>
            <w:r>
              <w:rPr>
                <w:rFonts w:hint="eastAsia"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》（GB18483-2001）</w:t>
            </w:r>
            <w:r>
              <w:rPr>
                <w:rFonts w:hint="eastAsia" w:ascii="Times New Roman" w:hAnsi="Times New Roman" w:eastAsia="宋体" w:cs="Times New Roman"/>
                <w:color w:val="auto"/>
                <w:kern w:val="2"/>
                <w:sz w:val="21"/>
                <w:szCs w:val="21"/>
                <w:highlight w:val="none"/>
                <w:lang w:val="en-US" w:eastAsia="zh-CN"/>
              </w:rPr>
              <w:t>中</w:t>
            </w:r>
            <w:r>
              <w:rPr>
                <w:rFonts w:hint="default" w:ascii="Times New Roman" w:hAnsi="Times New Roman" w:eastAsia="宋体" w:cs="Times New Roman"/>
                <w:color w:val="auto"/>
                <w:kern w:val="2"/>
                <w:sz w:val="21"/>
                <w:szCs w:val="21"/>
                <w:highlight w:val="none"/>
              </w:rPr>
              <w:t>型规模标准</w:t>
            </w:r>
          </w:p>
        </w:tc>
      </w:tr>
      <w:tr w14:paraId="2528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418" w:type="pct"/>
            <w:vMerge w:val="continue"/>
            <w:vAlign w:val="center"/>
          </w:tcPr>
          <w:p w14:paraId="14608387">
            <w:pPr>
              <w:pStyle w:val="64"/>
              <w:spacing w:line="276" w:lineRule="auto"/>
              <w:rPr>
                <w:color w:val="auto"/>
                <w:kern w:val="2"/>
                <w:highlight w:val="none"/>
              </w:rPr>
            </w:pPr>
          </w:p>
        </w:tc>
        <w:tc>
          <w:tcPr>
            <w:tcW w:w="727" w:type="pct"/>
            <w:vMerge w:val="restart"/>
            <w:vAlign w:val="center"/>
          </w:tcPr>
          <w:p w14:paraId="494728C7">
            <w:pPr>
              <w:pStyle w:val="64"/>
              <w:spacing w:line="276" w:lineRule="auto"/>
              <w:rPr>
                <w:color w:val="auto"/>
                <w:kern w:val="2"/>
                <w:highlight w:val="none"/>
              </w:rPr>
            </w:pPr>
            <w:r>
              <w:rPr>
                <w:rFonts w:hint="eastAsia"/>
                <w:color w:val="auto"/>
                <w:kern w:val="2"/>
                <w:highlight w:val="none"/>
              </w:rPr>
              <w:t>无组织排放</w:t>
            </w:r>
          </w:p>
        </w:tc>
        <w:tc>
          <w:tcPr>
            <w:tcW w:w="528" w:type="pct"/>
            <w:vMerge w:val="restart"/>
            <w:vAlign w:val="center"/>
          </w:tcPr>
          <w:p w14:paraId="420E222A">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破碎、造粒废气</w:t>
            </w:r>
          </w:p>
        </w:tc>
        <w:tc>
          <w:tcPr>
            <w:tcW w:w="784" w:type="pct"/>
            <w:vAlign w:val="center"/>
          </w:tcPr>
          <w:p w14:paraId="6A07214C">
            <w:pPr>
              <w:pStyle w:val="64"/>
              <w:spacing w:line="276" w:lineRule="auto"/>
              <w:rPr>
                <w:rFonts w:hint="default" w:eastAsia="宋体"/>
                <w:color w:val="auto"/>
                <w:kern w:val="2"/>
                <w:highlight w:val="none"/>
                <w:lang w:val="en-US" w:eastAsia="zh-CN"/>
              </w:rPr>
            </w:pPr>
            <w:r>
              <w:rPr>
                <w:rFonts w:hint="eastAsia"/>
                <w:color w:val="auto"/>
                <w:kern w:val="2"/>
                <w:highlight w:val="none"/>
                <w:lang w:val="en-US" w:eastAsia="zh-CN"/>
              </w:rPr>
              <w:t>非甲烷总烃、</w:t>
            </w:r>
            <w:r>
              <w:rPr>
                <w:rFonts w:hint="eastAsia"/>
                <w:color w:val="auto"/>
                <w:kern w:val="2"/>
                <w:highlight w:val="none"/>
              </w:rPr>
              <w:t>颗粒物</w:t>
            </w:r>
          </w:p>
        </w:tc>
        <w:tc>
          <w:tcPr>
            <w:tcW w:w="1019" w:type="pct"/>
            <w:vMerge w:val="restart"/>
            <w:vAlign w:val="center"/>
          </w:tcPr>
          <w:p w14:paraId="385688C7">
            <w:pPr>
              <w:pStyle w:val="64"/>
              <w:spacing w:line="276" w:lineRule="auto"/>
              <w:rPr>
                <w:color w:val="auto"/>
                <w:kern w:val="2"/>
                <w:highlight w:val="none"/>
              </w:rPr>
            </w:pPr>
            <w:r>
              <w:rPr>
                <w:rFonts w:hint="eastAsia"/>
                <w:color w:val="auto"/>
                <w:kern w:val="2"/>
                <w:highlight w:val="none"/>
              </w:rPr>
              <w:t>经</w:t>
            </w:r>
            <w:r>
              <w:rPr>
                <w:rFonts w:hint="eastAsia"/>
                <w:color w:val="auto"/>
                <w:kern w:val="2"/>
                <w:highlight w:val="none"/>
                <w:lang w:eastAsia="zh-CN"/>
              </w:rPr>
              <w:t>电捕焦油+气旋混动喷淋+干式过滤+活性炭吸附脱附+催化燃烧+活性炭吸附</w:t>
            </w:r>
            <w:r>
              <w:rPr>
                <w:rFonts w:hint="eastAsia"/>
                <w:color w:val="auto"/>
                <w:kern w:val="2"/>
                <w:highlight w:val="none"/>
              </w:rPr>
              <w:t>处理后于车间内无组织排放，并加强厂内通风</w:t>
            </w:r>
          </w:p>
        </w:tc>
        <w:tc>
          <w:tcPr>
            <w:tcW w:w="1521" w:type="pct"/>
            <w:vAlign w:val="center"/>
          </w:tcPr>
          <w:p w14:paraId="4B82EB29">
            <w:pPr>
              <w:pStyle w:val="64"/>
              <w:spacing w:line="276" w:lineRule="auto"/>
              <w:rPr>
                <w:color w:val="auto"/>
                <w:kern w:val="2"/>
                <w:highlight w:val="none"/>
              </w:rPr>
            </w:pPr>
            <w:r>
              <w:rPr>
                <w:rFonts w:hint="eastAsia"/>
                <w:color w:val="auto"/>
                <w:kern w:val="2"/>
                <w:highlight w:val="none"/>
              </w:rPr>
              <w:t>《合成树脂工业污染物排放标准》(GB31572-2015) 及其 2024 年修改单中表9企业边界大气污染物浓度限值</w:t>
            </w:r>
          </w:p>
        </w:tc>
      </w:tr>
      <w:tr w14:paraId="2580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8" w:type="pct"/>
            <w:vMerge w:val="continue"/>
            <w:vAlign w:val="center"/>
          </w:tcPr>
          <w:p w14:paraId="3E2D7631">
            <w:pPr>
              <w:pStyle w:val="64"/>
              <w:spacing w:line="276" w:lineRule="auto"/>
              <w:rPr>
                <w:color w:val="auto"/>
                <w:kern w:val="2"/>
                <w:highlight w:val="none"/>
              </w:rPr>
            </w:pPr>
          </w:p>
        </w:tc>
        <w:tc>
          <w:tcPr>
            <w:tcW w:w="727" w:type="pct"/>
            <w:vMerge w:val="continue"/>
            <w:vAlign w:val="center"/>
          </w:tcPr>
          <w:p w14:paraId="4E286725">
            <w:pPr>
              <w:pStyle w:val="64"/>
              <w:spacing w:line="276" w:lineRule="auto"/>
              <w:rPr>
                <w:color w:val="auto"/>
                <w:kern w:val="2"/>
                <w:highlight w:val="none"/>
              </w:rPr>
            </w:pPr>
          </w:p>
        </w:tc>
        <w:tc>
          <w:tcPr>
            <w:tcW w:w="528" w:type="pct"/>
            <w:vMerge w:val="continue"/>
            <w:vAlign w:val="center"/>
          </w:tcPr>
          <w:p w14:paraId="14DC3BD2">
            <w:pPr>
              <w:pStyle w:val="64"/>
              <w:spacing w:line="276" w:lineRule="auto"/>
              <w:rPr>
                <w:color w:val="auto"/>
                <w:kern w:val="2"/>
                <w:highlight w:val="none"/>
              </w:rPr>
            </w:pPr>
          </w:p>
        </w:tc>
        <w:tc>
          <w:tcPr>
            <w:tcW w:w="784" w:type="pct"/>
            <w:vAlign w:val="center"/>
          </w:tcPr>
          <w:p w14:paraId="53CF28EC">
            <w:pPr>
              <w:pStyle w:val="64"/>
              <w:spacing w:line="276" w:lineRule="auto"/>
              <w:rPr>
                <w:color w:val="auto"/>
                <w:kern w:val="2"/>
                <w:highlight w:val="none"/>
              </w:rPr>
            </w:pPr>
            <w:r>
              <w:rPr>
                <w:rFonts w:hint="eastAsia"/>
                <w:color w:val="auto"/>
                <w:kern w:val="2"/>
                <w:highlight w:val="none"/>
              </w:rPr>
              <w:t>臭气浓度</w:t>
            </w:r>
          </w:p>
        </w:tc>
        <w:tc>
          <w:tcPr>
            <w:tcW w:w="1019" w:type="pct"/>
            <w:vMerge w:val="continue"/>
            <w:vAlign w:val="center"/>
          </w:tcPr>
          <w:p w14:paraId="4D22D697">
            <w:pPr>
              <w:pStyle w:val="64"/>
              <w:spacing w:line="276" w:lineRule="auto"/>
              <w:rPr>
                <w:color w:val="auto"/>
                <w:kern w:val="2"/>
                <w:highlight w:val="none"/>
              </w:rPr>
            </w:pPr>
          </w:p>
        </w:tc>
        <w:tc>
          <w:tcPr>
            <w:tcW w:w="1521" w:type="pct"/>
            <w:vAlign w:val="center"/>
          </w:tcPr>
          <w:p w14:paraId="74606969">
            <w:pPr>
              <w:pStyle w:val="64"/>
              <w:spacing w:line="276" w:lineRule="auto"/>
              <w:rPr>
                <w:color w:val="auto"/>
                <w:kern w:val="2"/>
                <w:highlight w:val="none"/>
              </w:rPr>
            </w:pPr>
            <w:r>
              <w:rPr>
                <w:rFonts w:hint="eastAsia"/>
                <w:color w:val="auto"/>
                <w:kern w:val="2"/>
                <w:highlight w:val="none"/>
              </w:rPr>
              <w:t>《恶臭污染物排放标准》(GB14554-93)表1二级标准中“新改扩建”限值要求</w:t>
            </w:r>
          </w:p>
        </w:tc>
      </w:tr>
      <w:tr w14:paraId="1A3D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18" w:type="pct"/>
            <w:vMerge w:val="continue"/>
            <w:vAlign w:val="center"/>
          </w:tcPr>
          <w:p w14:paraId="0D912E0A">
            <w:pPr>
              <w:pStyle w:val="64"/>
              <w:spacing w:line="276" w:lineRule="auto"/>
              <w:rPr>
                <w:color w:val="auto"/>
                <w:kern w:val="2"/>
                <w:highlight w:val="none"/>
              </w:rPr>
            </w:pPr>
          </w:p>
        </w:tc>
        <w:tc>
          <w:tcPr>
            <w:tcW w:w="1255" w:type="pct"/>
            <w:gridSpan w:val="2"/>
            <w:vAlign w:val="center"/>
          </w:tcPr>
          <w:p w14:paraId="6372BC4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color w:val="auto"/>
                <w:kern w:val="2"/>
                <w:highlight w:val="none"/>
              </w:rPr>
            </w:pPr>
            <w:r>
              <w:rPr>
                <w:rFonts w:hint="default" w:ascii="Times New Roman" w:hAnsi="Times New Roman" w:cs="Times New Roman"/>
                <w:color w:val="auto"/>
                <w:sz w:val="21"/>
                <w:szCs w:val="21"/>
                <w:highlight w:val="none"/>
                <w:lang w:val="en-US" w:eastAsia="zh-CN"/>
              </w:rPr>
              <w:t>厂区内</w:t>
            </w:r>
          </w:p>
        </w:tc>
        <w:tc>
          <w:tcPr>
            <w:tcW w:w="784" w:type="pct"/>
            <w:vAlign w:val="center"/>
          </w:tcPr>
          <w:p w14:paraId="6D855157">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color w:val="auto"/>
                <w:kern w:val="2"/>
                <w:highlight w:val="none"/>
              </w:rPr>
            </w:pPr>
            <w:r>
              <w:rPr>
                <w:rFonts w:hint="default" w:ascii="Times New Roman" w:hAnsi="Times New Roman" w:cs="Times New Roman"/>
                <w:color w:val="auto"/>
                <w:sz w:val="21"/>
                <w:szCs w:val="21"/>
                <w:highlight w:val="none"/>
                <w:lang w:val="en-US" w:eastAsia="zh-CN"/>
              </w:rPr>
              <w:t>NMHC</w:t>
            </w:r>
          </w:p>
        </w:tc>
        <w:tc>
          <w:tcPr>
            <w:tcW w:w="1019" w:type="pct"/>
            <w:vAlign w:val="center"/>
          </w:tcPr>
          <w:p w14:paraId="082B27BF">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color w:val="auto"/>
                <w:kern w:val="2"/>
                <w:highlight w:val="none"/>
              </w:rPr>
            </w:pPr>
            <w:r>
              <w:rPr>
                <w:rFonts w:hint="default" w:ascii="Times New Roman" w:hAnsi="Times New Roman" w:eastAsia="宋体" w:cs="Times New Roman"/>
                <w:color w:val="auto"/>
                <w:sz w:val="21"/>
                <w:szCs w:val="21"/>
                <w:highlight w:val="none"/>
                <w:lang w:val="en-US" w:eastAsia="zh-CN"/>
              </w:rPr>
              <w:t>加强车间管理</w:t>
            </w:r>
          </w:p>
        </w:tc>
        <w:tc>
          <w:tcPr>
            <w:tcW w:w="1521" w:type="pct"/>
            <w:vAlign w:val="center"/>
          </w:tcPr>
          <w:p w14:paraId="3FAE0529">
            <w:pPr>
              <w:keepNext w:val="0"/>
              <w:keepLines w:val="0"/>
              <w:pageBreakBefore w:val="0"/>
              <w:widowControl w:val="0"/>
              <w:suppressLineNumbers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color w:val="auto"/>
                <w:kern w:val="2"/>
                <w:highlight w:val="none"/>
              </w:rPr>
            </w:pPr>
            <w:r>
              <w:rPr>
                <w:rFonts w:hint="default" w:ascii="Times New Roman" w:hAnsi="Times New Roman" w:eastAsia="宋体" w:cs="Times New Roman"/>
                <w:color w:val="auto"/>
                <w:sz w:val="21"/>
                <w:szCs w:val="21"/>
                <w:highlight w:val="none"/>
                <w:lang w:val="en-US" w:eastAsia="zh-CN"/>
              </w:rPr>
              <w:t>广东省《固定污染源挥发性有机物综合排放标准》（DB44/2367-2022）中表3厂区内VOCs无组织排放限值</w:t>
            </w:r>
          </w:p>
        </w:tc>
      </w:tr>
      <w:tr w14:paraId="192D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418" w:type="pct"/>
            <w:vMerge w:val="restart"/>
            <w:vAlign w:val="center"/>
          </w:tcPr>
          <w:p w14:paraId="429E77E3">
            <w:pPr>
              <w:pStyle w:val="64"/>
              <w:spacing w:line="276" w:lineRule="auto"/>
              <w:rPr>
                <w:color w:val="auto"/>
                <w:kern w:val="2"/>
                <w:highlight w:val="none"/>
              </w:rPr>
            </w:pPr>
            <w:r>
              <w:rPr>
                <w:rFonts w:hint="eastAsia"/>
                <w:color w:val="auto"/>
                <w:kern w:val="2"/>
                <w:highlight w:val="none"/>
              </w:rPr>
              <w:t>地表水环境</w:t>
            </w:r>
          </w:p>
        </w:tc>
        <w:tc>
          <w:tcPr>
            <w:tcW w:w="1255" w:type="pct"/>
            <w:gridSpan w:val="2"/>
            <w:vAlign w:val="center"/>
          </w:tcPr>
          <w:p w14:paraId="5C3D4F19">
            <w:pPr>
              <w:pStyle w:val="64"/>
              <w:spacing w:line="276" w:lineRule="auto"/>
              <w:rPr>
                <w:color w:val="auto"/>
                <w:kern w:val="2"/>
                <w:highlight w:val="none"/>
              </w:rPr>
            </w:pPr>
            <w:r>
              <w:rPr>
                <w:rFonts w:hint="eastAsia"/>
                <w:color w:val="auto"/>
                <w:kern w:val="2"/>
                <w:highlight w:val="none"/>
              </w:rPr>
              <w:t>生活污水</w:t>
            </w:r>
          </w:p>
          <w:p w14:paraId="531A6149">
            <w:pPr>
              <w:pStyle w:val="64"/>
              <w:spacing w:line="276" w:lineRule="auto"/>
              <w:rPr>
                <w:color w:val="auto"/>
                <w:kern w:val="2"/>
                <w:highlight w:val="none"/>
              </w:rPr>
            </w:pPr>
            <w:r>
              <w:rPr>
                <w:rFonts w:hint="eastAsia"/>
                <w:color w:val="auto"/>
                <w:kern w:val="2"/>
                <w:highlight w:val="none"/>
              </w:rPr>
              <w:t>（</w:t>
            </w:r>
            <w:r>
              <w:rPr>
                <w:color w:val="auto"/>
                <w:kern w:val="2"/>
                <w:highlight w:val="none"/>
              </w:rPr>
              <w:t>DW00</w:t>
            </w:r>
            <w:r>
              <w:rPr>
                <w:rFonts w:hint="eastAsia"/>
                <w:color w:val="auto"/>
                <w:kern w:val="2"/>
                <w:highlight w:val="none"/>
              </w:rPr>
              <w:t>1）</w:t>
            </w:r>
          </w:p>
        </w:tc>
        <w:tc>
          <w:tcPr>
            <w:tcW w:w="784" w:type="pct"/>
            <w:vAlign w:val="center"/>
          </w:tcPr>
          <w:p w14:paraId="75983F88">
            <w:pPr>
              <w:pStyle w:val="64"/>
              <w:spacing w:line="276" w:lineRule="auto"/>
              <w:rPr>
                <w:color w:val="auto"/>
                <w:kern w:val="2"/>
                <w:highlight w:val="none"/>
              </w:rPr>
            </w:pPr>
            <w:r>
              <w:rPr>
                <w:rFonts w:hint="eastAsia"/>
                <w:color w:val="auto"/>
                <w:kern w:val="2"/>
                <w:highlight w:val="none"/>
              </w:rPr>
              <w:t>pH、COD</w:t>
            </w:r>
            <w:r>
              <w:rPr>
                <w:rFonts w:hint="eastAsia"/>
                <w:color w:val="auto"/>
                <w:kern w:val="2"/>
                <w:highlight w:val="none"/>
                <w:vertAlign w:val="subscript"/>
              </w:rPr>
              <w:t>Cr</w:t>
            </w:r>
            <w:r>
              <w:rPr>
                <w:rFonts w:hint="eastAsia"/>
                <w:color w:val="auto"/>
                <w:kern w:val="2"/>
                <w:highlight w:val="none"/>
              </w:rPr>
              <w:t>、BOD</w:t>
            </w:r>
            <w:r>
              <w:rPr>
                <w:rFonts w:hint="eastAsia"/>
                <w:color w:val="auto"/>
                <w:kern w:val="2"/>
                <w:highlight w:val="none"/>
                <w:vertAlign w:val="subscript"/>
              </w:rPr>
              <w:t>5</w:t>
            </w:r>
            <w:r>
              <w:rPr>
                <w:rFonts w:hint="eastAsia"/>
                <w:color w:val="auto"/>
                <w:kern w:val="2"/>
                <w:highlight w:val="none"/>
              </w:rPr>
              <w:t>、SS、氨氮、总磷、动植物油</w:t>
            </w:r>
          </w:p>
        </w:tc>
        <w:tc>
          <w:tcPr>
            <w:tcW w:w="1019" w:type="pct"/>
            <w:vAlign w:val="center"/>
          </w:tcPr>
          <w:p w14:paraId="14D2C7E2">
            <w:pPr>
              <w:pStyle w:val="64"/>
              <w:spacing w:line="276" w:lineRule="auto"/>
              <w:rPr>
                <w:color w:val="auto"/>
                <w:kern w:val="2"/>
                <w:highlight w:val="none"/>
              </w:rPr>
            </w:pPr>
            <w:r>
              <w:rPr>
                <w:rFonts w:hint="eastAsia"/>
                <w:color w:val="auto"/>
                <w:kern w:val="2"/>
                <w:highlight w:val="none"/>
              </w:rPr>
              <w:t>生活污水经</w:t>
            </w:r>
            <w:r>
              <w:rPr>
                <w:rFonts w:hint="eastAsia"/>
                <w:color w:val="auto"/>
                <w:kern w:val="2"/>
                <w:highlight w:val="none"/>
                <w:lang w:eastAsia="zh-CN"/>
              </w:rPr>
              <w:t>三级化粪池+隔油隔渣池</w:t>
            </w:r>
            <w:r>
              <w:rPr>
                <w:rFonts w:hint="eastAsia"/>
                <w:color w:val="auto"/>
                <w:kern w:val="2"/>
                <w:highlight w:val="none"/>
              </w:rPr>
              <w:t>处理后，经园区污水管网排入园区污水处理厂进一步处理后，排入武江</w:t>
            </w:r>
          </w:p>
        </w:tc>
        <w:tc>
          <w:tcPr>
            <w:tcW w:w="1521" w:type="pct"/>
            <w:vAlign w:val="center"/>
          </w:tcPr>
          <w:p w14:paraId="7C9AD31B">
            <w:pPr>
              <w:pStyle w:val="25"/>
              <w:spacing w:line="276" w:lineRule="auto"/>
              <w:jc w:val="center"/>
              <w:rPr>
                <w:color w:val="auto"/>
                <w:highlight w:val="none"/>
              </w:rPr>
            </w:pPr>
            <w:r>
              <w:rPr>
                <w:rFonts w:hint="eastAsia"/>
                <w:color w:val="auto"/>
                <w:sz w:val="21"/>
                <w:szCs w:val="21"/>
                <w:highlight w:val="none"/>
              </w:rPr>
              <w:t>园区污水处理厂接管水质要求及广东省《水污染物排放限值》（DB44/26-2001）第二时段三级标准两者较严值</w:t>
            </w:r>
          </w:p>
        </w:tc>
      </w:tr>
      <w:tr w14:paraId="50BE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418" w:type="pct"/>
            <w:vMerge w:val="continue"/>
            <w:vAlign w:val="center"/>
          </w:tcPr>
          <w:p w14:paraId="5251A1B0">
            <w:pPr>
              <w:pStyle w:val="64"/>
              <w:spacing w:line="276" w:lineRule="auto"/>
              <w:rPr>
                <w:color w:val="auto"/>
                <w:kern w:val="2"/>
                <w:highlight w:val="none"/>
              </w:rPr>
            </w:pPr>
          </w:p>
        </w:tc>
        <w:tc>
          <w:tcPr>
            <w:tcW w:w="1255" w:type="pct"/>
            <w:gridSpan w:val="2"/>
            <w:vAlign w:val="center"/>
          </w:tcPr>
          <w:p w14:paraId="1F9D14B2">
            <w:pPr>
              <w:pStyle w:val="64"/>
              <w:spacing w:line="276" w:lineRule="auto"/>
              <w:rPr>
                <w:color w:val="auto"/>
                <w:kern w:val="2"/>
                <w:highlight w:val="none"/>
              </w:rPr>
            </w:pPr>
            <w:r>
              <w:rPr>
                <w:rFonts w:hint="eastAsia"/>
                <w:color w:val="auto"/>
                <w:kern w:val="2"/>
                <w:highlight w:val="none"/>
              </w:rPr>
              <w:t>生产废水</w:t>
            </w:r>
          </w:p>
        </w:tc>
        <w:tc>
          <w:tcPr>
            <w:tcW w:w="784" w:type="pct"/>
            <w:vAlign w:val="center"/>
          </w:tcPr>
          <w:p w14:paraId="5A2971E9">
            <w:pPr>
              <w:pStyle w:val="64"/>
              <w:spacing w:line="276" w:lineRule="auto"/>
              <w:rPr>
                <w:color w:val="auto"/>
                <w:kern w:val="2"/>
                <w:highlight w:val="none"/>
              </w:rPr>
            </w:pPr>
            <w:r>
              <w:rPr>
                <w:rFonts w:hint="eastAsia"/>
                <w:color w:val="auto"/>
                <w:kern w:val="2"/>
                <w:highlight w:val="none"/>
              </w:rPr>
              <w:t>pH、COD</w:t>
            </w:r>
            <w:r>
              <w:rPr>
                <w:rFonts w:hint="eastAsia"/>
                <w:color w:val="auto"/>
                <w:kern w:val="2"/>
                <w:highlight w:val="none"/>
                <w:vertAlign w:val="subscript"/>
              </w:rPr>
              <w:t>Cr</w:t>
            </w:r>
            <w:r>
              <w:rPr>
                <w:rFonts w:hint="eastAsia"/>
                <w:color w:val="auto"/>
                <w:kern w:val="2"/>
                <w:highlight w:val="none"/>
              </w:rPr>
              <w:t>、氨氮、总氮、总磷、石油类</w:t>
            </w:r>
          </w:p>
        </w:tc>
        <w:tc>
          <w:tcPr>
            <w:tcW w:w="1019" w:type="pct"/>
            <w:vAlign w:val="center"/>
          </w:tcPr>
          <w:p w14:paraId="79535A6A">
            <w:pPr>
              <w:pStyle w:val="64"/>
              <w:spacing w:line="276" w:lineRule="auto"/>
              <w:rPr>
                <w:rFonts w:hint="default"/>
                <w:color w:val="auto"/>
                <w:kern w:val="2"/>
                <w:highlight w:val="none"/>
                <w:lang w:val="en-US"/>
              </w:rPr>
            </w:pPr>
            <w:r>
              <w:rPr>
                <w:rFonts w:hint="eastAsia"/>
                <w:color w:val="auto"/>
                <w:kern w:val="2"/>
                <w:highlight w:val="none"/>
              </w:rPr>
              <w:t>生产废水</w:t>
            </w:r>
            <w:r>
              <w:rPr>
                <w:rFonts w:hint="eastAsia"/>
                <w:color w:val="auto"/>
                <w:kern w:val="2"/>
                <w:highlight w:val="none"/>
                <w:lang w:val="en-US" w:eastAsia="zh-CN"/>
              </w:rPr>
              <w:t>经处理后部分回用，部分送至污水处理厂进行处理后排入武江</w:t>
            </w:r>
          </w:p>
        </w:tc>
        <w:tc>
          <w:tcPr>
            <w:tcW w:w="1521" w:type="pct"/>
            <w:vAlign w:val="center"/>
          </w:tcPr>
          <w:p w14:paraId="3BD50A2D">
            <w:pPr>
              <w:pStyle w:val="25"/>
              <w:spacing w:line="276" w:lineRule="auto"/>
              <w:jc w:val="center"/>
              <w:rPr>
                <w:color w:val="auto"/>
                <w:sz w:val="21"/>
                <w:szCs w:val="21"/>
                <w:highlight w:val="none"/>
              </w:rPr>
            </w:pPr>
            <w:r>
              <w:rPr>
                <w:rFonts w:hint="eastAsia" w:ascii="Times New Roman" w:hAnsi="Times New Roman" w:eastAsia="宋体" w:cs="Times New Roman"/>
                <w:color w:val="auto"/>
                <w:kern w:val="2"/>
                <w:position w:val="-10"/>
                <w:sz w:val="21"/>
                <w:szCs w:val="21"/>
                <w:highlight w:val="none"/>
                <w:lang w:val="en-US" w:eastAsia="zh-CN" w:bidi="ar-SA"/>
              </w:rPr>
              <w:t>回用水执行《城市污水再生利用 工业用水水质》《GB/T19923-2024》要求，外排水执行园区污水处理厂接管水质要求及广东省《水污染物排放限值》（DB44/26-2001）第二时段三级标准两者较严值</w:t>
            </w:r>
          </w:p>
        </w:tc>
      </w:tr>
      <w:tr w14:paraId="2D3B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418" w:type="pct"/>
            <w:vAlign w:val="center"/>
          </w:tcPr>
          <w:p w14:paraId="0A2192AF">
            <w:pPr>
              <w:pStyle w:val="64"/>
              <w:spacing w:line="276" w:lineRule="auto"/>
              <w:rPr>
                <w:color w:val="auto"/>
                <w:kern w:val="2"/>
                <w:highlight w:val="none"/>
              </w:rPr>
            </w:pPr>
            <w:r>
              <w:rPr>
                <w:rFonts w:hint="eastAsia"/>
                <w:color w:val="auto"/>
                <w:kern w:val="2"/>
                <w:highlight w:val="none"/>
              </w:rPr>
              <w:t>声环境</w:t>
            </w:r>
          </w:p>
        </w:tc>
        <w:tc>
          <w:tcPr>
            <w:tcW w:w="1255" w:type="pct"/>
            <w:gridSpan w:val="2"/>
            <w:vAlign w:val="center"/>
          </w:tcPr>
          <w:p w14:paraId="15056207">
            <w:pPr>
              <w:adjustRightInd w:val="0"/>
              <w:spacing w:line="276" w:lineRule="auto"/>
              <w:jc w:val="center"/>
              <w:rPr>
                <w:color w:val="auto"/>
                <w:highlight w:val="none"/>
              </w:rPr>
            </w:pPr>
            <w:r>
              <w:rPr>
                <w:rFonts w:hint="eastAsia"/>
                <w:color w:val="auto"/>
                <w:sz w:val="21"/>
                <w:szCs w:val="21"/>
                <w:highlight w:val="none"/>
              </w:rPr>
              <w:t>机械设备</w:t>
            </w:r>
          </w:p>
        </w:tc>
        <w:tc>
          <w:tcPr>
            <w:tcW w:w="784" w:type="pct"/>
            <w:vAlign w:val="center"/>
          </w:tcPr>
          <w:p w14:paraId="26BE085C">
            <w:pPr>
              <w:adjustRightInd w:val="0"/>
              <w:spacing w:line="276" w:lineRule="auto"/>
              <w:jc w:val="center"/>
              <w:rPr>
                <w:color w:val="auto"/>
                <w:highlight w:val="none"/>
              </w:rPr>
            </w:pPr>
            <w:r>
              <w:rPr>
                <w:rFonts w:hint="eastAsia"/>
                <w:color w:val="auto"/>
                <w:sz w:val="21"/>
                <w:szCs w:val="21"/>
                <w:highlight w:val="none"/>
              </w:rPr>
              <w:t>噪声</w:t>
            </w:r>
          </w:p>
        </w:tc>
        <w:tc>
          <w:tcPr>
            <w:tcW w:w="1019" w:type="pct"/>
            <w:vAlign w:val="center"/>
          </w:tcPr>
          <w:p w14:paraId="66544ED6">
            <w:pPr>
              <w:pStyle w:val="64"/>
              <w:spacing w:line="276" w:lineRule="auto"/>
              <w:rPr>
                <w:color w:val="auto"/>
                <w:kern w:val="2"/>
                <w:highlight w:val="none"/>
              </w:rPr>
            </w:pPr>
            <w:r>
              <w:rPr>
                <w:rFonts w:hint="eastAsia"/>
                <w:color w:val="auto"/>
                <w:kern w:val="2"/>
                <w:highlight w:val="none"/>
              </w:rPr>
              <w:t>采取防振、隔声、降噪等措施</w:t>
            </w:r>
          </w:p>
        </w:tc>
        <w:tc>
          <w:tcPr>
            <w:tcW w:w="1521" w:type="pct"/>
            <w:vAlign w:val="center"/>
          </w:tcPr>
          <w:p w14:paraId="5962CD59">
            <w:pPr>
              <w:pStyle w:val="64"/>
              <w:spacing w:line="276" w:lineRule="auto"/>
              <w:rPr>
                <w:color w:val="auto"/>
                <w:kern w:val="2"/>
                <w:highlight w:val="none"/>
              </w:rPr>
            </w:pPr>
            <w:r>
              <w:rPr>
                <w:rFonts w:hint="eastAsia" w:ascii="Times New Roman" w:cs="Times New Roman"/>
                <w:color w:val="auto"/>
                <w:kern w:val="0"/>
                <w:highlight w:val="none"/>
                <w:lang w:val="en-US" w:eastAsia="zh-CN"/>
              </w:rPr>
              <w:t>东</w:t>
            </w:r>
            <w:r>
              <w:rPr>
                <w:rFonts w:hint="eastAsia" w:cs="Times New Roman"/>
                <w:color w:val="auto"/>
                <w:kern w:val="0"/>
                <w:highlight w:val="none"/>
                <w:lang w:val="en-US" w:eastAsia="zh-CN"/>
              </w:rPr>
              <w:t>、</w:t>
            </w:r>
            <w:r>
              <w:rPr>
                <w:rFonts w:hint="eastAsia" w:ascii="Times New Roman" w:cs="Times New Roman"/>
                <w:color w:val="auto"/>
                <w:kern w:val="0"/>
                <w:highlight w:val="none"/>
                <w:lang w:val="en-US" w:eastAsia="zh-CN"/>
              </w:rPr>
              <w:t>北</w:t>
            </w:r>
            <w:r>
              <w:rPr>
                <w:rFonts w:ascii="Times New Roman" w:cs="Times New Roman"/>
                <w:color w:val="auto"/>
                <w:kern w:val="0"/>
                <w:highlight w:val="none"/>
              </w:rPr>
              <w:t>厂界外1米处</w:t>
            </w:r>
            <w:r>
              <w:rPr>
                <w:rFonts w:ascii="Times New Roman" w:cs="Times New Roman"/>
                <w:color w:val="auto"/>
                <w:highlight w:val="none"/>
              </w:rPr>
              <w:t>可达到</w:t>
            </w:r>
            <w:r>
              <w:rPr>
                <w:rFonts w:ascii="Times New Roman" w:cs="Times New Roman"/>
                <w:color w:val="auto"/>
                <w:spacing w:val="-2"/>
                <w:highlight w:val="none"/>
              </w:rPr>
              <w:t>《工业企业场界环境噪声排放标准》（GB12348-2008）中的</w:t>
            </w:r>
            <w:r>
              <w:rPr>
                <w:rFonts w:hint="eastAsia" w:ascii="Times New Roman" w:cs="Times New Roman"/>
                <w:color w:val="auto"/>
                <w:spacing w:val="-2"/>
                <w:highlight w:val="none"/>
                <w:lang w:eastAsia="zh-CN"/>
              </w:rPr>
              <w:t>4</w:t>
            </w:r>
            <w:r>
              <w:rPr>
                <w:rFonts w:hint="eastAsia" w:ascii="Times New Roman" w:cs="Times New Roman"/>
                <w:color w:val="auto"/>
                <w:spacing w:val="-2"/>
                <w:highlight w:val="none"/>
                <w:lang w:val="en-US" w:eastAsia="zh-CN"/>
              </w:rPr>
              <w:t>a</w:t>
            </w:r>
            <w:r>
              <w:rPr>
                <w:rFonts w:hint="eastAsia" w:ascii="Times New Roman" w:cs="Times New Roman"/>
                <w:color w:val="auto"/>
                <w:spacing w:val="-2"/>
                <w:highlight w:val="none"/>
                <w:lang w:eastAsia="zh-CN"/>
              </w:rPr>
              <w:t>类</w:t>
            </w:r>
            <w:r>
              <w:rPr>
                <w:rFonts w:ascii="Times New Roman" w:cs="Times New Roman"/>
                <w:color w:val="auto"/>
                <w:spacing w:val="-2"/>
                <w:highlight w:val="none"/>
              </w:rPr>
              <w:t>标准</w:t>
            </w:r>
            <w:r>
              <w:rPr>
                <w:rFonts w:ascii="Times New Roman" w:cs="Times New Roman"/>
                <w:color w:val="auto"/>
                <w:highlight w:val="none"/>
              </w:rPr>
              <w:t>，</w:t>
            </w:r>
            <w:r>
              <w:rPr>
                <w:rFonts w:hint="eastAsia" w:cs="Times New Roman"/>
                <w:color w:val="auto"/>
                <w:kern w:val="0"/>
                <w:highlight w:val="none"/>
                <w:lang w:val="en-US" w:eastAsia="zh-CN"/>
              </w:rPr>
              <w:t>南、西</w:t>
            </w:r>
            <w:r>
              <w:rPr>
                <w:rFonts w:ascii="Times New Roman" w:cs="Times New Roman"/>
                <w:color w:val="auto"/>
                <w:kern w:val="0"/>
                <w:highlight w:val="none"/>
              </w:rPr>
              <w:t>厂界外1米处</w:t>
            </w:r>
            <w:r>
              <w:rPr>
                <w:rFonts w:ascii="Times New Roman" w:cs="Times New Roman"/>
                <w:color w:val="auto"/>
                <w:highlight w:val="none"/>
              </w:rPr>
              <w:t>可达到</w:t>
            </w:r>
            <w:r>
              <w:rPr>
                <w:rFonts w:ascii="Times New Roman" w:cs="Times New Roman"/>
                <w:color w:val="auto"/>
                <w:spacing w:val="-2"/>
                <w:highlight w:val="none"/>
              </w:rPr>
              <w:t>《工业企业场界环境噪声排放标准》（GB12348-2008）中的</w:t>
            </w:r>
            <w:r>
              <w:rPr>
                <w:rFonts w:hint="eastAsia" w:cs="Times New Roman"/>
                <w:color w:val="auto"/>
                <w:spacing w:val="-2"/>
                <w:highlight w:val="none"/>
                <w:lang w:val="en-US" w:eastAsia="zh-CN"/>
              </w:rPr>
              <w:t>3</w:t>
            </w:r>
            <w:r>
              <w:rPr>
                <w:rFonts w:hint="eastAsia" w:ascii="Times New Roman" w:cs="Times New Roman"/>
                <w:color w:val="auto"/>
                <w:spacing w:val="-2"/>
                <w:highlight w:val="none"/>
                <w:lang w:eastAsia="zh-CN"/>
              </w:rPr>
              <w:t>类</w:t>
            </w:r>
            <w:r>
              <w:rPr>
                <w:rFonts w:ascii="Times New Roman" w:cs="Times New Roman"/>
                <w:color w:val="auto"/>
                <w:spacing w:val="-2"/>
                <w:highlight w:val="none"/>
              </w:rPr>
              <w:t>标准</w:t>
            </w:r>
            <w:r>
              <w:rPr>
                <w:rFonts w:ascii="Times New Roman" w:cs="Times New Roman"/>
                <w:color w:val="auto"/>
                <w:highlight w:val="none"/>
              </w:rPr>
              <w:t>，</w:t>
            </w:r>
          </w:p>
        </w:tc>
      </w:tr>
      <w:tr w14:paraId="3492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18" w:type="pct"/>
            <w:vAlign w:val="center"/>
          </w:tcPr>
          <w:p w14:paraId="2FAB2E27">
            <w:pPr>
              <w:pStyle w:val="64"/>
              <w:spacing w:line="276" w:lineRule="auto"/>
              <w:rPr>
                <w:color w:val="auto"/>
                <w:kern w:val="2"/>
                <w:highlight w:val="none"/>
              </w:rPr>
            </w:pPr>
            <w:r>
              <w:rPr>
                <w:rFonts w:hint="eastAsia"/>
                <w:color w:val="auto"/>
                <w:kern w:val="2"/>
                <w:highlight w:val="none"/>
              </w:rPr>
              <w:t>电磁辐射</w:t>
            </w:r>
          </w:p>
        </w:tc>
        <w:tc>
          <w:tcPr>
            <w:tcW w:w="1255" w:type="pct"/>
            <w:gridSpan w:val="2"/>
            <w:vAlign w:val="center"/>
          </w:tcPr>
          <w:p w14:paraId="34F475C0">
            <w:pPr>
              <w:pStyle w:val="64"/>
              <w:spacing w:line="276" w:lineRule="auto"/>
              <w:rPr>
                <w:color w:val="auto"/>
                <w:kern w:val="2"/>
                <w:highlight w:val="none"/>
              </w:rPr>
            </w:pPr>
            <w:r>
              <w:rPr>
                <w:rFonts w:hint="eastAsia"/>
                <w:color w:val="auto"/>
                <w:kern w:val="2"/>
                <w:highlight w:val="none"/>
              </w:rPr>
              <w:t>/</w:t>
            </w:r>
          </w:p>
        </w:tc>
        <w:tc>
          <w:tcPr>
            <w:tcW w:w="784" w:type="pct"/>
            <w:vAlign w:val="center"/>
          </w:tcPr>
          <w:p w14:paraId="19C14736">
            <w:pPr>
              <w:pStyle w:val="64"/>
              <w:spacing w:line="276" w:lineRule="auto"/>
              <w:rPr>
                <w:color w:val="auto"/>
                <w:kern w:val="2"/>
                <w:highlight w:val="none"/>
              </w:rPr>
            </w:pPr>
            <w:r>
              <w:rPr>
                <w:rFonts w:hint="eastAsia"/>
                <w:color w:val="auto"/>
                <w:kern w:val="2"/>
                <w:highlight w:val="none"/>
              </w:rPr>
              <w:t>/</w:t>
            </w:r>
          </w:p>
        </w:tc>
        <w:tc>
          <w:tcPr>
            <w:tcW w:w="1019" w:type="pct"/>
            <w:vAlign w:val="center"/>
          </w:tcPr>
          <w:p w14:paraId="22051ADB">
            <w:pPr>
              <w:pStyle w:val="64"/>
              <w:spacing w:line="276" w:lineRule="auto"/>
              <w:rPr>
                <w:color w:val="auto"/>
                <w:kern w:val="2"/>
                <w:highlight w:val="none"/>
              </w:rPr>
            </w:pPr>
            <w:r>
              <w:rPr>
                <w:rFonts w:hint="eastAsia"/>
                <w:color w:val="auto"/>
                <w:kern w:val="2"/>
                <w:highlight w:val="none"/>
              </w:rPr>
              <w:t>/</w:t>
            </w:r>
          </w:p>
        </w:tc>
        <w:tc>
          <w:tcPr>
            <w:tcW w:w="1521" w:type="pct"/>
            <w:vAlign w:val="center"/>
          </w:tcPr>
          <w:p w14:paraId="77134767">
            <w:pPr>
              <w:pStyle w:val="64"/>
              <w:spacing w:line="276" w:lineRule="auto"/>
              <w:rPr>
                <w:color w:val="auto"/>
                <w:kern w:val="2"/>
                <w:highlight w:val="none"/>
              </w:rPr>
            </w:pPr>
            <w:r>
              <w:rPr>
                <w:rFonts w:hint="eastAsia"/>
                <w:color w:val="auto"/>
                <w:kern w:val="2"/>
                <w:highlight w:val="none"/>
              </w:rPr>
              <w:t>/</w:t>
            </w:r>
          </w:p>
        </w:tc>
      </w:tr>
      <w:tr w14:paraId="3082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418" w:type="pct"/>
            <w:vAlign w:val="center"/>
          </w:tcPr>
          <w:p w14:paraId="7666BF69">
            <w:pPr>
              <w:pStyle w:val="64"/>
              <w:spacing w:line="276" w:lineRule="auto"/>
              <w:rPr>
                <w:color w:val="auto"/>
                <w:kern w:val="2"/>
                <w:highlight w:val="none"/>
              </w:rPr>
            </w:pPr>
            <w:r>
              <w:rPr>
                <w:rFonts w:hint="eastAsia"/>
                <w:color w:val="auto"/>
                <w:kern w:val="2"/>
                <w:highlight w:val="none"/>
              </w:rPr>
              <w:t>固体废物</w:t>
            </w:r>
          </w:p>
        </w:tc>
        <w:tc>
          <w:tcPr>
            <w:tcW w:w="4581" w:type="pct"/>
            <w:gridSpan w:val="5"/>
            <w:vAlign w:val="center"/>
          </w:tcPr>
          <w:p w14:paraId="46AAF1E1">
            <w:pPr>
              <w:adjustRightInd w:val="0"/>
              <w:spacing w:line="276" w:lineRule="auto"/>
              <w:ind w:firstLine="420" w:firstLineChars="200"/>
              <w:rPr>
                <w:color w:val="auto"/>
                <w:sz w:val="21"/>
                <w:szCs w:val="21"/>
                <w:highlight w:val="none"/>
              </w:rPr>
            </w:pPr>
            <w:r>
              <w:rPr>
                <w:rFonts w:hint="eastAsia"/>
                <w:color w:val="auto"/>
                <w:sz w:val="21"/>
                <w:szCs w:val="21"/>
                <w:highlight w:val="none"/>
              </w:rPr>
              <w:t>一般工业固体废物：在厂区内采用库房贮存，贮存过程满足相应防渗漏、防雨淋、防扬尘等环境保护要求；</w:t>
            </w:r>
          </w:p>
          <w:p w14:paraId="3BB54B1D">
            <w:pPr>
              <w:pStyle w:val="64"/>
              <w:spacing w:line="276" w:lineRule="auto"/>
              <w:ind w:firstLine="420" w:firstLineChars="200"/>
              <w:jc w:val="both"/>
              <w:rPr>
                <w:color w:val="auto"/>
                <w:kern w:val="2"/>
                <w:highlight w:val="none"/>
              </w:rPr>
            </w:pPr>
            <w:r>
              <w:rPr>
                <w:rFonts w:hint="eastAsia"/>
                <w:color w:val="auto"/>
                <w:kern w:val="2"/>
                <w:highlight w:val="none"/>
              </w:rPr>
              <w:t>危险废物：执行《危险废物贮存污染控制标准》（GB18597-2023）</w:t>
            </w:r>
            <w:r>
              <w:rPr>
                <w:rFonts w:hint="eastAsia"/>
                <w:color w:val="auto"/>
                <w:spacing w:val="-6"/>
                <w:kern w:val="2"/>
                <w:highlight w:val="none"/>
              </w:rPr>
              <w:t>和《危险废物收集贮存运输技术规范》（HJ 2025-2012）</w:t>
            </w:r>
            <w:r>
              <w:rPr>
                <w:rFonts w:hint="eastAsia"/>
                <w:color w:val="auto"/>
                <w:kern w:val="2"/>
                <w:highlight w:val="none"/>
              </w:rPr>
              <w:t>。</w:t>
            </w:r>
          </w:p>
        </w:tc>
      </w:tr>
      <w:tr w14:paraId="7F7D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418" w:type="pct"/>
            <w:vAlign w:val="center"/>
          </w:tcPr>
          <w:p w14:paraId="64A40323">
            <w:pPr>
              <w:pStyle w:val="64"/>
              <w:spacing w:line="276" w:lineRule="auto"/>
              <w:rPr>
                <w:color w:val="auto"/>
                <w:kern w:val="2"/>
                <w:highlight w:val="none"/>
              </w:rPr>
            </w:pPr>
            <w:r>
              <w:rPr>
                <w:rFonts w:hint="eastAsia"/>
                <w:color w:val="auto"/>
                <w:kern w:val="2"/>
                <w:highlight w:val="none"/>
              </w:rPr>
              <w:t>土壤及地下水污染防治措施</w:t>
            </w:r>
          </w:p>
        </w:tc>
        <w:tc>
          <w:tcPr>
            <w:tcW w:w="4581" w:type="pct"/>
            <w:gridSpan w:val="5"/>
            <w:vAlign w:val="center"/>
          </w:tcPr>
          <w:p w14:paraId="611A2BCD">
            <w:pPr>
              <w:pStyle w:val="64"/>
              <w:spacing w:line="276" w:lineRule="auto"/>
              <w:ind w:firstLine="420" w:firstLineChars="200"/>
              <w:jc w:val="both"/>
              <w:rPr>
                <w:color w:val="auto"/>
                <w:kern w:val="2"/>
                <w:highlight w:val="none"/>
              </w:rPr>
            </w:pPr>
            <w:r>
              <w:rPr>
                <w:rFonts w:hint="eastAsia"/>
                <w:color w:val="auto"/>
                <w:kern w:val="2"/>
                <w:highlight w:val="none"/>
              </w:rPr>
              <w:t>厂区地面拟全部硬化，危废间在建筑物内部，达到防风防雨防晒要求，地面硬化良好并刷环氧树脂漆防渗，四周设置围堰，满足四防要求。对预处理生产车间、化学品仓库、危险废物暂存间、废水处理站进行一般防渗处理，防渗要求按照等效黏土防渗层Mb≥1.5m，K≤1×10</w:t>
            </w:r>
            <w:r>
              <w:rPr>
                <w:rFonts w:hint="eastAsia"/>
                <w:color w:val="auto"/>
                <w:kern w:val="2"/>
                <w:highlight w:val="none"/>
                <w:vertAlign w:val="superscript"/>
              </w:rPr>
              <w:t>-7</w:t>
            </w:r>
            <w:r>
              <w:rPr>
                <w:rFonts w:hint="eastAsia"/>
                <w:color w:val="auto"/>
                <w:kern w:val="2"/>
                <w:highlight w:val="none"/>
              </w:rPr>
              <w:t>cm/s或参照GB16889执行。</w:t>
            </w:r>
          </w:p>
        </w:tc>
      </w:tr>
      <w:tr w14:paraId="1F4F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418" w:type="pct"/>
            <w:vAlign w:val="center"/>
          </w:tcPr>
          <w:p w14:paraId="1082D4AA">
            <w:pPr>
              <w:pStyle w:val="64"/>
              <w:spacing w:line="276" w:lineRule="auto"/>
              <w:rPr>
                <w:color w:val="auto"/>
                <w:kern w:val="2"/>
                <w:highlight w:val="none"/>
              </w:rPr>
            </w:pPr>
            <w:r>
              <w:rPr>
                <w:rFonts w:hint="eastAsia"/>
                <w:color w:val="auto"/>
                <w:kern w:val="2"/>
                <w:highlight w:val="none"/>
              </w:rPr>
              <w:t>生态保护措施</w:t>
            </w:r>
          </w:p>
        </w:tc>
        <w:tc>
          <w:tcPr>
            <w:tcW w:w="4581" w:type="pct"/>
            <w:gridSpan w:val="5"/>
            <w:vAlign w:val="center"/>
          </w:tcPr>
          <w:p w14:paraId="65CB8965">
            <w:pPr>
              <w:pStyle w:val="64"/>
              <w:spacing w:line="276" w:lineRule="auto"/>
              <w:ind w:firstLine="420" w:firstLineChars="200"/>
              <w:jc w:val="both"/>
              <w:rPr>
                <w:color w:val="auto"/>
                <w:kern w:val="2"/>
                <w:highlight w:val="none"/>
              </w:rPr>
            </w:pPr>
            <w:r>
              <w:rPr>
                <w:rFonts w:hint="eastAsia"/>
                <w:color w:val="auto"/>
                <w:kern w:val="2"/>
                <w:highlight w:val="none"/>
              </w:rPr>
              <w:t>项目位于乐昌产业转移工业园红线范围内，选址四周主要为厂房，建设期间的生态影响主要为对占地区域地表植被的清除以及表土的堆存，通过加强水土保持和及时覆盖裸露地表等措施，项目建设期对周边的生态环境影响很小。项目营运中产生的污染物通过采取以上环境保护治理措施并且加强日常的管理和监督，同时搞好厂区绿化后，均可达标排放。因此，项目营运期间不会对周边的生态环境造成明显的不利影响。</w:t>
            </w:r>
          </w:p>
        </w:tc>
      </w:tr>
      <w:tr w14:paraId="1639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418" w:type="pct"/>
            <w:vAlign w:val="center"/>
          </w:tcPr>
          <w:p w14:paraId="6BAF9FDB">
            <w:pPr>
              <w:pStyle w:val="64"/>
              <w:spacing w:line="276" w:lineRule="auto"/>
              <w:rPr>
                <w:color w:val="auto"/>
                <w:kern w:val="2"/>
                <w:highlight w:val="none"/>
              </w:rPr>
            </w:pPr>
            <w:r>
              <w:rPr>
                <w:rFonts w:hint="eastAsia"/>
                <w:color w:val="auto"/>
                <w:kern w:val="2"/>
                <w:highlight w:val="none"/>
              </w:rPr>
              <w:t>环境风险防范措施</w:t>
            </w:r>
          </w:p>
        </w:tc>
        <w:tc>
          <w:tcPr>
            <w:tcW w:w="4581" w:type="pct"/>
            <w:gridSpan w:val="5"/>
            <w:vAlign w:val="center"/>
          </w:tcPr>
          <w:p w14:paraId="2A7A1048">
            <w:pPr>
              <w:pStyle w:val="64"/>
              <w:autoSpaceDE/>
              <w:autoSpaceDN/>
              <w:spacing w:line="276" w:lineRule="auto"/>
              <w:ind w:firstLine="420" w:firstLineChars="200"/>
              <w:jc w:val="both"/>
              <w:textAlignment w:val="auto"/>
              <w:rPr>
                <w:color w:val="auto"/>
                <w:kern w:val="2"/>
                <w:highlight w:val="none"/>
              </w:rPr>
            </w:pPr>
            <w:r>
              <w:rPr>
                <w:rFonts w:hint="eastAsia"/>
                <w:color w:val="auto"/>
                <w:kern w:val="2"/>
                <w:highlight w:val="none"/>
              </w:rPr>
              <w:t>1、严格执行应急管理、消防等相关规范，从总图布置和建筑安全方面进行风险防范，预留疏散通道或安置场所；</w:t>
            </w:r>
          </w:p>
          <w:p w14:paraId="08B5738F">
            <w:pPr>
              <w:pStyle w:val="64"/>
              <w:autoSpaceDE/>
              <w:autoSpaceDN/>
              <w:spacing w:line="276" w:lineRule="auto"/>
              <w:ind w:firstLine="420" w:firstLineChars="200"/>
              <w:jc w:val="both"/>
              <w:textAlignment w:val="auto"/>
              <w:rPr>
                <w:color w:val="auto"/>
                <w:kern w:val="2"/>
                <w:highlight w:val="none"/>
              </w:rPr>
            </w:pPr>
            <w:r>
              <w:rPr>
                <w:rFonts w:hint="eastAsia"/>
                <w:color w:val="auto"/>
                <w:kern w:val="2"/>
                <w:highlight w:val="none"/>
              </w:rPr>
              <w:t>2、从优化改进生产工艺、减少储存量、改善储存条件等方面降低风险程度；</w:t>
            </w:r>
          </w:p>
          <w:p w14:paraId="0B919353">
            <w:pPr>
              <w:pStyle w:val="64"/>
              <w:autoSpaceDE/>
              <w:autoSpaceDN/>
              <w:spacing w:line="276" w:lineRule="auto"/>
              <w:ind w:firstLine="420" w:firstLineChars="200"/>
              <w:jc w:val="both"/>
              <w:textAlignment w:val="auto"/>
              <w:rPr>
                <w:color w:val="auto"/>
                <w:kern w:val="2"/>
                <w:highlight w:val="none"/>
              </w:rPr>
            </w:pPr>
            <w:r>
              <w:rPr>
                <w:rFonts w:hint="eastAsia"/>
                <w:color w:val="auto"/>
                <w:kern w:val="2"/>
                <w:highlight w:val="none"/>
              </w:rPr>
              <w:t>3、加强日常管理，降低管理失误而出现的风险事故，提高员工规范性操作水平，减少误操作引发的风险事故；</w:t>
            </w:r>
          </w:p>
          <w:p w14:paraId="7998018C">
            <w:pPr>
              <w:pStyle w:val="64"/>
              <w:autoSpaceDE/>
              <w:autoSpaceDN/>
              <w:spacing w:line="276" w:lineRule="auto"/>
              <w:ind w:firstLine="420" w:firstLineChars="200"/>
              <w:jc w:val="both"/>
              <w:textAlignment w:val="auto"/>
              <w:rPr>
                <w:color w:val="auto"/>
                <w:kern w:val="2"/>
                <w:highlight w:val="none"/>
              </w:rPr>
            </w:pPr>
            <w:r>
              <w:rPr>
                <w:rFonts w:hint="eastAsia"/>
                <w:color w:val="auto"/>
                <w:kern w:val="2"/>
                <w:highlight w:val="none"/>
              </w:rPr>
              <w:t>4、按《危险废物贮存污染控制标准》（GB18597-2023）的相关要求做好危废暂存间的防渗措施，加强管理，避免装卸或存储过程中危险物质发生泄漏。</w:t>
            </w:r>
          </w:p>
        </w:tc>
      </w:tr>
      <w:tr w14:paraId="484E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778" w:type="dxa"/>
            <w:vAlign w:val="center"/>
          </w:tcPr>
          <w:p w14:paraId="352C7D7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color w:val="auto"/>
                <w:kern w:val="2"/>
                <w:highlight w:val="none"/>
              </w:rPr>
            </w:pPr>
            <w:r>
              <w:rPr>
                <w:rFonts w:hint="default" w:ascii="Times New Roman" w:hAnsi="Times New Roman" w:cs="Times New Roman"/>
                <w:color w:val="auto"/>
                <w:spacing w:val="-8"/>
                <w:sz w:val="21"/>
                <w:szCs w:val="21"/>
                <w:highlight w:val="none"/>
              </w:rPr>
              <w:t>其他环境管理要求</w:t>
            </w:r>
          </w:p>
        </w:tc>
        <w:tc>
          <w:tcPr>
            <w:tcW w:w="8517" w:type="dxa"/>
            <w:gridSpan w:val="5"/>
            <w:vAlign w:val="center"/>
          </w:tcPr>
          <w:p w14:paraId="65E79FCF">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（一）环境管理要求</w:t>
            </w:r>
          </w:p>
          <w:p w14:paraId="6173773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sz w:val="21"/>
                <w:szCs w:val="21"/>
                <w:highlight w:val="none"/>
              </w:rPr>
              <w:t>企业要完善环境管理制度，首先必须建立相应的环境管理机构，明确环境管理机构的职责。</w:t>
            </w:r>
          </w:p>
          <w:p w14:paraId="7553B4C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cs="Times New Roman"/>
                <w:color w:val="auto"/>
                <w:sz w:val="21"/>
                <w:szCs w:val="21"/>
                <w:highlight w:val="none"/>
              </w:rPr>
              <w:t>落实各项环境保护措施，环保设施运行的管理和维护，日常的监测及污染事故的防范和应急处理。</w:t>
            </w:r>
          </w:p>
          <w:p w14:paraId="4AC279FC">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3.</w:t>
            </w:r>
            <w:r>
              <w:rPr>
                <w:rFonts w:hint="default" w:ascii="Times New Roman" w:hAnsi="Times New Roman" w:cs="Times New Roman"/>
                <w:color w:val="auto"/>
                <w:sz w:val="21"/>
                <w:szCs w:val="21"/>
                <w:highlight w:val="none"/>
              </w:rPr>
              <w:t>环境管理机构的职责</w:t>
            </w:r>
          </w:p>
          <w:p w14:paraId="48F8FDDA">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w:t>
            </w:r>
            <w:r>
              <w:rPr>
                <w:rFonts w:hint="default" w:ascii="Times New Roman" w:hAnsi="Times New Roman" w:cs="Times New Roman"/>
                <w:color w:val="auto"/>
                <w:sz w:val="21"/>
                <w:szCs w:val="21"/>
                <w:highlight w:val="none"/>
              </w:rPr>
              <w:t>建设单位应向国家排污许可系统提交《固定污染源排污登记表》，取得《固定污染源排污登记回执》；超标排放或未符合总量指标，应限期治理。</w:t>
            </w:r>
          </w:p>
          <w:p w14:paraId="271B9B23">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（2）</w:t>
            </w:r>
            <w:r>
              <w:rPr>
                <w:rFonts w:hint="default" w:ascii="Times New Roman" w:hAnsi="Times New Roman" w:cs="Times New Roman"/>
                <w:color w:val="auto"/>
                <w:sz w:val="21"/>
                <w:szCs w:val="21"/>
                <w:highlight w:val="none"/>
              </w:rPr>
              <w:t>根据环保部门、安全部门对环保设施验收报告的批复意见进行补充完善。</w:t>
            </w:r>
          </w:p>
          <w:p w14:paraId="789B82D4">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（3）</w:t>
            </w:r>
            <w:r>
              <w:rPr>
                <w:rFonts w:hint="default" w:ascii="Times New Roman" w:hAnsi="Times New Roman" w:cs="Times New Roman"/>
                <w:color w:val="auto"/>
                <w:sz w:val="21"/>
                <w:szCs w:val="21"/>
                <w:highlight w:val="none"/>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6E6D9B31">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（4）</w:t>
            </w:r>
            <w:r>
              <w:rPr>
                <w:rFonts w:hint="default" w:ascii="Times New Roman" w:hAnsi="Times New Roman" w:cs="Times New Roman"/>
                <w:color w:val="auto"/>
                <w:sz w:val="21"/>
                <w:szCs w:val="21"/>
                <w:highlight w:val="none"/>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102CECC2">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（5）</w:t>
            </w:r>
            <w:r>
              <w:rPr>
                <w:rFonts w:hint="default" w:ascii="Times New Roman" w:hAnsi="Times New Roman" w:cs="Times New Roman"/>
                <w:color w:val="auto"/>
                <w:sz w:val="21"/>
                <w:szCs w:val="21"/>
                <w:highlight w:val="none"/>
              </w:rPr>
              <w:t>要加强设备、仪器、仪表的检查、维护、检修，保证设备完好运行，防止跑、冒、滴、漏对环境的污染。</w:t>
            </w:r>
          </w:p>
          <w:p w14:paraId="4AA64EE3">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（6）</w:t>
            </w:r>
            <w:r>
              <w:rPr>
                <w:rFonts w:hint="default" w:ascii="Times New Roman" w:hAnsi="Times New Roman" w:cs="Times New Roman"/>
                <w:color w:val="auto"/>
                <w:sz w:val="21"/>
                <w:szCs w:val="21"/>
                <w:highlight w:val="none"/>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3BB654DB">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（7）</w:t>
            </w:r>
            <w:r>
              <w:rPr>
                <w:rFonts w:hint="default" w:ascii="Times New Roman" w:hAnsi="Times New Roman" w:cs="Times New Roman"/>
                <w:color w:val="auto"/>
                <w:sz w:val="21"/>
                <w:szCs w:val="21"/>
                <w:highlight w:val="none"/>
              </w:rPr>
              <w:t>做好绿化的建设和维护工作。绿色植物不仅能涵养水分，保持水土，而且能挡尘降噪，调节小气候，有利于改善生态环境。</w:t>
            </w:r>
          </w:p>
          <w:p w14:paraId="338D880C">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（8）</w:t>
            </w:r>
            <w:r>
              <w:rPr>
                <w:rFonts w:hint="default" w:ascii="Times New Roman" w:hAnsi="Times New Roman" w:cs="Times New Roman"/>
                <w:color w:val="auto"/>
                <w:sz w:val="21"/>
                <w:szCs w:val="21"/>
                <w:highlight w:val="none"/>
              </w:rPr>
              <w:t>建立环境管理体系，提高环境管理水平。定期进行清洁生产审计，不断采用无污染和少污染的新工艺和新技术。</w:t>
            </w:r>
          </w:p>
          <w:p w14:paraId="0CBE544E">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（9）</w:t>
            </w:r>
            <w:r>
              <w:rPr>
                <w:rFonts w:hint="default" w:ascii="Times New Roman" w:hAnsi="Times New Roman" w:cs="Times New Roman"/>
                <w:color w:val="auto"/>
                <w:sz w:val="21"/>
                <w:szCs w:val="21"/>
                <w:highlight w:val="none"/>
              </w:rPr>
              <w:t>接受环保主管部门的监督检查。主要内容有：污染物排放情况、环保设施运行管理情况、环境监测及污染物监测情况、环境事故的调查和有关记录、污染源建档记录等。</w:t>
            </w:r>
          </w:p>
          <w:p w14:paraId="62DF465F">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（二）排污口规范化 </w:t>
            </w:r>
          </w:p>
          <w:p w14:paraId="6FF6D2B8">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sz w:val="21"/>
                <w:szCs w:val="21"/>
                <w:highlight w:val="none"/>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43EDBEA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cs="Times New Roman"/>
                <w:color w:val="auto"/>
                <w:sz w:val="21"/>
                <w:szCs w:val="21"/>
                <w:highlight w:val="none"/>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auto"/>
                <w:sz w:val="21"/>
                <w:szCs w:val="21"/>
                <w:highlight w:val="none"/>
                <w:lang w:val="en-US" w:eastAsia="zh-CN"/>
              </w:rPr>
              <w:t>与</w:t>
            </w:r>
            <w:r>
              <w:rPr>
                <w:rFonts w:hint="default" w:ascii="Times New Roman" w:hAnsi="Times New Roman" w:cs="Times New Roman"/>
                <w:color w:val="auto"/>
                <w:sz w:val="21"/>
                <w:szCs w:val="21"/>
                <w:highlight w:val="none"/>
              </w:rPr>
              <w:t>污染治理同步实施，即治理设施完工时，规范化工作必须同时完成，并列入污染治理设施的验收内容。</w:t>
            </w:r>
          </w:p>
          <w:p w14:paraId="5CEA3A1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3.</w:t>
            </w:r>
            <w:r>
              <w:rPr>
                <w:rFonts w:hint="default" w:ascii="Times New Roman" w:hAnsi="Times New Roman" w:cs="Times New Roman"/>
                <w:color w:val="auto"/>
                <w:sz w:val="21"/>
                <w:szCs w:val="21"/>
                <w:highlight w:val="none"/>
              </w:rPr>
              <w:t xml:space="preserve">排污口规范化内容 </w:t>
            </w:r>
          </w:p>
          <w:p w14:paraId="6DAFB67E">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w:t>
            </w:r>
            <w:r>
              <w:rPr>
                <w:rFonts w:hint="default" w:ascii="Times New Roman" w:hAnsi="Times New Roman" w:cs="Times New Roman"/>
                <w:color w:val="auto"/>
                <w:sz w:val="21"/>
                <w:szCs w:val="21"/>
                <w:highlight w:val="none"/>
              </w:rPr>
              <w:t>需规范化排放口：排放口应预留监测口，做到便于采样和测定流量，并设立标志。</w:t>
            </w:r>
          </w:p>
          <w:p w14:paraId="743DD241">
            <w:pPr>
              <w:pStyle w:val="128"/>
              <w:keepNext w:val="0"/>
              <w:keepLines w:val="0"/>
              <w:pageBreakBefore w:val="0"/>
              <w:widowControl w:val="0"/>
              <w:numPr>
                <w:ilvl w:val="0"/>
                <w:numId w:val="0"/>
              </w:numPr>
              <w:tabs>
                <w:tab w:val="left" w:pos="0"/>
              </w:tabs>
              <w:kinsoku/>
              <w:overflowPunct/>
              <w:topLinePunct w:val="0"/>
              <w:autoSpaceDE/>
              <w:autoSpaceDN/>
              <w:bidi w:val="0"/>
              <w:spacing w:before="0" w:after="0"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（2）</w:t>
            </w:r>
            <w:r>
              <w:rPr>
                <w:rFonts w:hint="default" w:ascii="Times New Roman" w:hAnsi="Times New Roman" w:cs="Times New Roman"/>
                <w:color w:val="auto"/>
                <w:sz w:val="21"/>
                <w:szCs w:val="21"/>
                <w:highlight w:val="none"/>
              </w:rPr>
              <w:t>排污口的管理：建设单位应在各排污口处设置较明显的排污口标志牌，其上应注明主要排污污染物的名称。建设单位应如实填写《中华人民共和国规范化排污口标志登记证》的有关内容，由环保主管部门签发登记证。建设单位应将有关排污口的情况如：排污口的性质、编号、排污口的位置；主要排放的污染物种类、数量、浓度、排放规律、排放去向；污染治理措施的运行情况等进行建档管理，并报送环保主管部门备案。排污口规范化标识详见下表。</w:t>
            </w:r>
          </w:p>
          <w:p w14:paraId="599EDF4A">
            <w:pPr>
              <w:pStyle w:val="98"/>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表5-1排污口规范化标识示意图表</w:t>
            </w:r>
          </w:p>
          <w:tbl>
            <w:tblPr>
              <w:tblStyle w:val="4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594"/>
              <w:gridCol w:w="1594"/>
              <w:gridCol w:w="1925"/>
              <w:gridCol w:w="1595"/>
            </w:tblGrid>
            <w:tr w14:paraId="009BC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dxa"/>
                </w:tcPr>
                <w:p w14:paraId="4C6D7D30">
                  <w:pPr>
                    <w:pStyle w:val="128"/>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废水排放口</w:t>
                  </w:r>
                </w:p>
              </w:tc>
              <w:tc>
                <w:tcPr>
                  <w:tcW w:w="1491" w:type="dxa"/>
                </w:tcPr>
                <w:p w14:paraId="11AD5C39">
                  <w:pPr>
                    <w:pStyle w:val="128"/>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废气排放口</w:t>
                  </w:r>
                </w:p>
              </w:tc>
              <w:tc>
                <w:tcPr>
                  <w:tcW w:w="1491" w:type="dxa"/>
                </w:tcPr>
                <w:p w14:paraId="4C63FEEC">
                  <w:pPr>
                    <w:pStyle w:val="128"/>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噪声源</w:t>
                  </w:r>
                </w:p>
              </w:tc>
              <w:tc>
                <w:tcPr>
                  <w:tcW w:w="1801" w:type="dxa"/>
                </w:tcPr>
                <w:p w14:paraId="064BFD31">
                  <w:pPr>
                    <w:pStyle w:val="128"/>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固体废弃物堆场</w:t>
                  </w:r>
                </w:p>
              </w:tc>
              <w:tc>
                <w:tcPr>
                  <w:tcW w:w="1492" w:type="dxa"/>
                </w:tcPr>
                <w:p w14:paraId="481D28D7">
                  <w:pPr>
                    <w:pStyle w:val="128"/>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危险废物暂存</w:t>
                  </w:r>
                </w:p>
              </w:tc>
            </w:tr>
            <w:tr w14:paraId="1B1BC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491" w:type="dxa"/>
                  <w:vAlign w:val="center"/>
                </w:tcPr>
                <w:p w14:paraId="53BA1AB0">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118745</wp:posOffset>
                        </wp:positionH>
                        <wp:positionV relativeFrom="paragraph">
                          <wp:posOffset>52705</wp:posOffset>
                        </wp:positionV>
                        <wp:extent cx="640715" cy="647700"/>
                        <wp:effectExtent l="0" t="0" r="6985" b="0"/>
                        <wp:wrapNone/>
                        <wp:docPr id="54" name="图片 42" descr="排放口"/>
                        <wp:cNvGraphicFramePr/>
                        <a:graphic xmlns:a="http://schemas.openxmlformats.org/drawingml/2006/main">
                          <a:graphicData uri="http://schemas.openxmlformats.org/drawingml/2006/picture">
                            <pic:pic xmlns:pic="http://schemas.openxmlformats.org/drawingml/2006/picture">
                              <pic:nvPicPr>
                                <pic:cNvPr id="54" name="图片 42" descr="排放口"/>
                                <pic:cNvPicPr/>
                              </pic:nvPicPr>
                              <pic:blipFill>
                                <a:blip r:embed="rId28" cstate="print"/>
                                <a:srcRect l="66771" t="5846" r="3780" b="55385"/>
                                <a:stretch>
                                  <a:fillRect/>
                                </a:stretch>
                              </pic:blipFill>
                              <pic:spPr>
                                <a:xfrm>
                                  <a:off x="0" y="0"/>
                                  <a:ext cx="640715" cy="647700"/>
                                </a:xfrm>
                                <a:prstGeom prst="rect">
                                  <a:avLst/>
                                </a:prstGeom>
                                <a:ln>
                                  <a:noFill/>
                                </a:ln>
                              </pic:spPr>
                            </pic:pic>
                          </a:graphicData>
                        </a:graphic>
                      </wp:anchor>
                    </w:drawing>
                  </w:r>
                </w:p>
              </w:tc>
              <w:tc>
                <w:tcPr>
                  <w:tcW w:w="1491" w:type="dxa"/>
                </w:tcPr>
                <w:p w14:paraId="544F002D">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105410</wp:posOffset>
                        </wp:positionH>
                        <wp:positionV relativeFrom="paragraph">
                          <wp:posOffset>54610</wp:posOffset>
                        </wp:positionV>
                        <wp:extent cx="637540" cy="647700"/>
                        <wp:effectExtent l="0" t="0" r="10160" b="0"/>
                        <wp:wrapNone/>
                        <wp:docPr id="55" name="图片 43" descr="排放口"/>
                        <wp:cNvGraphicFramePr/>
                        <a:graphic xmlns:a="http://schemas.openxmlformats.org/drawingml/2006/main">
                          <a:graphicData uri="http://schemas.openxmlformats.org/drawingml/2006/picture">
                            <pic:pic xmlns:pic="http://schemas.openxmlformats.org/drawingml/2006/picture">
                              <pic:nvPicPr>
                                <pic:cNvPr id="55" name="图片 43" descr="排放口"/>
                                <pic:cNvPicPr/>
                              </pic:nvPicPr>
                              <pic:blipFill>
                                <a:blip r:embed="rId29" cstate="print"/>
                                <a:srcRect l="19153" t="6250" r="51726" b="55122"/>
                                <a:stretch>
                                  <a:fillRect/>
                                </a:stretch>
                              </pic:blipFill>
                              <pic:spPr>
                                <a:xfrm>
                                  <a:off x="0" y="0"/>
                                  <a:ext cx="637540" cy="647700"/>
                                </a:xfrm>
                                <a:prstGeom prst="rect">
                                  <a:avLst/>
                                </a:prstGeom>
                                <a:ln>
                                  <a:noFill/>
                                </a:ln>
                              </pic:spPr>
                            </pic:pic>
                          </a:graphicData>
                        </a:graphic>
                      </wp:anchor>
                    </w:drawing>
                  </w:r>
                </w:p>
              </w:tc>
              <w:tc>
                <w:tcPr>
                  <w:tcW w:w="1491" w:type="dxa"/>
                </w:tcPr>
                <w:p w14:paraId="0174295F">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85725</wp:posOffset>
                        </wp:positionH>
                        <wp:positionV relativeFrom="paragraph">
                          <wp:posOffset>48895</wp:posOffset>
                        </wp:positionV>
                        <wp:extent cx="638810" cy="647700"/>
                        <wp:effectExtent l="0" t="0" r="8890" b="0"/>
                        <wp:wrapNone/>
                        <wp:docPr id="56" name="图片 44" descr="排放口"/>
                        <wp:cNvGraphicFramePr/>
                        <a:graphic xmlns:a="http://schemas.openxmlformats.org/drawingml/2006/main">
                          <a:graphicData uri="http://schemas.openxmlformats.org/drawingml/2006/picture">
                            <pic:pic xmlns:pic="http://schemas.openxmlformats.org/drawingml/2006/picture">
                              <pic:nvPicPr>
                                <pic:cNvPr id="56" name="图片 44" descr="排放口"/>
                                <pic:cNvPicPr/>
                              </pic:nvPicPr>
                              <pic:blipFill>
                                <a:blip r:embed="rId30" cstate="print"/>
                                <a:srcRect l="51723" t="47942" r="27067" b="13129"/>
                                <a:stretch>
                                  <a:fillRect/>
                                </a:stretch>
                              </pic:blipFill>
                              <pic:spPr>
                                <a:xfrm>
                                  <a:off x="0" y="0"/>
                                  <a:ext cx="638810" cy="647700"/>
                                </a:xfrm>
                                <a:prstGeom prst="rect">
                                  <a:avLst/>
                                </a:prstGeom>
                                <a:ln>
                                  <a:noFill/>
                                </a:ln>
                              </pic:spPr>
                            </pic:pic>
                          </a:graphicData>
                        </a:graphic>
                      </wp:anchor>
                    </w:drawing>
                  </w:r>
                </w:p>
              </w:tc>
              <w:tc>
                <w:tcPr>
                  <w:tcW w:w="1801" w:type="dxa"/>
                </w:tcPr>
                <w:p w14:paraId="4F6A1E3D">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152400</wp:posOffset>
                        </wp:positionH>
                        <wp:positionV relativeFrom="paragraph">
                          <wp:posOffset>50800</wp:posOffset>
                        </wp:positionV>
                        <wp:extent cx="652145" cy="647700"/>
                        <wp:effectExtent l="0" t="0" r="14605" b="0"/>
                        <wp:wrapNone/>
                        <wp:docPr id="57" name="图片 46" descr="排放口"/>
                        <wp:cNvGraphicFramePr/>
                        <a:graphic xmlns:a="http://schemas.openxmlformats.org/drawingml/2006/main">
                          <a:graphicData uri="http://schemas.openxmlformats.org/drawingml/2006/picture">
                            <pic:pic xmlns:pic="http://schemas.openxmlformats.org/drawingml/2006/picture">
                              <pic:nvPicPr>
                                <pic:cNvPr id="57" name="图片 46" descr="排放口"/>
                                <pic:cNvPicPr/>
                              </pic:nvPicPr>
                              <pic:blipFill>
                                <a:blip r:embed="rId31" cstate="print"/>
                                <a:srcRect l="18872" t="47525" r="51678" b="14358"/>
                                <a:stretch>
                                  <a:fillRect/>
                                </a:stretch>
                              </pic:blipFill>
                              <pic:spPr>
                                <a:xfrm>
                                  <a:off x="0" y="0"/>
                                  <a:ext cx="652145" cy="647700"/>
                                </a:xfrm>
                                <a:prstGeom prst="rect">
                                  <a:avLst/>
                                </a:prstGeom>
                                <a:ln>
                                  <a:noFill/>
                                </a:ln>
                              </pic:spPr>
                            </pic:pic>
                          </a:graphicData>
                        </a:graphic>
                      </wp:anchor>
                    </w:drawing>
                  </w:r>
                </w:p>
              </w:tc>
              <w:tc>
                <w:tcPr>
                  <w:tcW w:w="1492" w:type="dxa"/>
                </w:tcPr>
                <w:p w14:paraId="3EC8415E">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15875</wp:posOffset>
                        </wp:positionH>
                        <wp:positionV relativeFrom="paragraph">
                          <wp:posOffset>50800</wp:posOffset>
                        </wp:positionV>
                        <wp:extent cx="673735" cy="687070"/>
                        <wp:effectExtent l="0" t="0" r="12065" b="17780"/>
                        <wp:wrapNone/>
                        <wp:docPr id="58" name="图片 6"/>
                        <wp:cNvGraphicFramePr/>
                        <a:graphic xmlns:a="http://schemas.openxmlformats.org/drawingml/2006/main">
                          <a:graphicData uri="http://schemas.openxmlformats.org/drawingml/2006/picture">
                            <pic:pic xmlns:pic="http://schemas.openxmlformats.org/drawingml/2006/picture">
                              <pic:nvPicPr>
                                <pic:cNvPr id="58" name="图片 6"/>
                                <pic:cNvPicPr/>
                              </pic:nvPicPr>
                              <pic:blipFill>
                                <a:blip r:embed="rId32" cstate="print"/>
                                <a:srcRect l="15968" t="5974" r="13557" b="48367"/>
                                <a:stretch>
                                  <a:fillRect/>
                                </a:stretch>
                              </pic:blipFill>
                              <pic:spPr>
                                <a:xfrm>
                                  <a:off x="0" y="0"/>
                                  <a:ext cx="673735" cy="687070"/>
                                </a:xfrm>
                                <a:prstGeom prst="rect">
                                  <a:avLst/>
                                </a:prstGeom>
                                <a:ln>
                                  <a:noFill/>
                                </a:ln>
                              </pic:spPr>
                            </pic:pic>
                          </a:graphicData>
                        </a:graphic>
                      </wp:anchor>
                    </w:drawing>
                  </w:r>
                  <w:r>
                    <w:rPr>
                      <w:rFonts w:hint="default" w:ascii="Times New Roman" w:hAnsi="Times New Roman" w:cs="Times New Roman"/>
                      <w:color w:val="auto"/>
                      <w:sz w:val="21"/>
                      <w:szCs w:val="21"/>
                      <w:highlight w:val="none"/>
                    </w:rPr>
                    <w:drawing>
                      <wp:anchor distT="0" distB="0" distL="0" distR="0" simplePos="0" relativeHeight="251744256" behindDoc="0" locked="0" layoutInCell="1" allowOverlap="1">
                        <wp:simplePos x="0" y="0"/>
                        <wp:positionH relativeFrom="column">
                          <wp:posOffset>-29210</wp:posOffset>
                        </wp:positionH>
                        <wp:positionV relativeFrom="paragraph">
                          <wp:posOffset>81280</wp:posOffset>
                        </wp:positionV>
                        <wp:extent cx="720090" cy="597535"/>
                        <wp:effectExtent l="0" t="0" r="3810" b="12065"/>
                        <wp:wrapNone/>
                        <wp:docPr id="59" name="图片 45" descr="危废"/>
                        <wp:cNvGraphicFramePr/>
                        <a:graphic xmlns:a="http://schemas.openxmlformats.org/drawingml/2006/main">
                          <a:graphicData uri="http://schemas.openxmlformats.org/drawingml/2006/picture">
                            <pic:pic xmlns:pic="http://schemas.openxmlformats.org/drawingml/2006/picture">
                              <pic:nvPicPr>
                                <pic:cNvPr id="59" name="图片 45" descr="危废"/>
                                <pic:cNvPicPr/>
                              </pic:nvPicPr>
                              <pic:blipFill>
                                <a:blip r:embed="rId33" cstate="print"/>
                                <a:srcRect t="15695" r="57016" b="30949"/>
                                <a:stretch>
                                  <a:fillRect/>
                                </a:stretch>
                              </pic:blipFill>
                              <pic:spPr>
                                <a:xfrm>
                                  <a:off x="0" y="0"/>
                                  <a:ext cx="720090" cy="597535"/>
                                </a:xfrm>
                                <a:prstGeom prst="rect">
                                  <a:avLst/>
                                </a:prstGeom>
                                <a:ln>
                                  <a:noFill/>
                                </a:ln>
                              </pic:spPr>
                            </pic:pic>
                          </a:graphicData>
                        </a:graphic>
                      </wp:anchor>
                    </w:drawing>
                  </w:r>
                </w:p>
              </w:tc>
            </w:tr>
            <w:tr w14:paraId="5BC1E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74" w:type="dxa"/>
                  <w:gridSpan w:val="4"/>
                </w:tcPr>
                <w:p w14:paraId="7C3A7CA4">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背景颜色：绿色            图形颜色：白色</w:t>
                  </w:r>
                </w:p>
              </w:tc>
              <w:tc>
                <w:tcPr>
                  <w:tcW w:w="1492" w:type="dxa"/>
                </w:tcPr>
                <w:p w14:paraId="3C320C0E">
                  <w:pPr>
                    <w:pStyle w:val="128"/>
                    <w:keepNext w:val="0"/>
                    <w:keepLines w:val="0"/>
                    <w:pageBreakBefore w:val="0"/>
                    <w:widowControl w:val="0"/>
                    <w:kinsoku/>
                    <w:overflowPunct/>
                    <w:topLinePunct w:val="0"/>
                    <w:autoSpaceDE/>
                    <w:autoSpaceDN/>
                    <w:bidi w:val="0"/>
                    <w:spacing w:before="0" w:after="0" w:line="240" w:lineRule="auto"/>
                    <w:ind w:firstLine="420" w:firstLineChars="200"/>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w:t>
                  </w:r>
                </w:p>
              </w:tc>
            </w:tr>
          </w:tbl>
          <w:p w14:paraId="3A2DE1EC">
            <w:pPr>
              <w:pStyle w:val="129"/>
              <w:keepNext w:val="0"/>
              <w:keepLines w:val="0"/>
              <w:pageBreakBefore w:val="0"/>
              <w:widowControl w:val="0"/>
              <w:numPr>
                <w:ilvl w:val="0"/>
                <w:numId w:val="0"/>
              </w:numPr>
              <w:kinsoku/>
              <w:overflowPunct/>
              <w:topLinePunct w:val="0"/>
              <w:autoSpaceDE/>
              <w:autoSpaceDN/>
              <w:bidi w:val="0"/>
              <w:spacing w:line="240" w:lineRule="auto"/>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（三）</w:t>
            </w:r>
            <w:r>
              <w:rPr>
                <w:rFonts w:hint="default" w:ascii="Times New Roman" w:hAnsi="Times New Roman" w:cs="Times New Roman"/>
                <w:color w:val="auto"/>
                <w:sz w:val="21"/>
                <w:szCs w:val="21"/>
                <w:highlight w:val="none"/>
              </w:rPr>
              <w:t>排污许可</w:t>
            </w:r>
          </w:p>
          <w:p w14:paraId="4E349593">
            <w:pPr>
              <w:keepNext w:val="0"/>
              <w:keepLines w:val="0"/>
              <w:pageBreakBefore w:val="0"/>
              <w:widowControl w:val="0"/>
              <w:kinsoku/>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根据《固定污染源排污许可分类管理名录（2019版）》，对本项目排污许可分类进行判定，具体如下：</w:t>
            </w:r>
          </w:p>
          <w:p w14:paraId="46354FFE">
            <w:pPr>
              <w:pStyle w:val="98"/>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表5-2 项目排污许可类别判定表</w:t>
            </w:r>
          </w:p>
          <w:tbl>
            <w:tblPr>
              <w:tblStyle w:val="5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348"/>
              <w:gridCol w:w="1624"/>
              <w:gridCol w:w="1818"/>
              <w:gridCol w:w="1165"/>
              <w:gridCol w:w="1226"/>
            </w:tblGrid>
            <w:tr w14:paraId="54CDF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vAlign w:val="center"/>
                </w:tcPr>
                <w:p w14:paraId="5580280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国民经济行业类别</w:t>
                  </w:r>
                </w:p>
              </w:tc>
              <w:tc>
                <w:tcPr>
                  <w:tcW w:w="812" w:type="pct"/>
                  <w:vMerge w:val="restart"/>
                  <w:tcBorders>
                    <w:tl2br w:val="nil"/>
                    <w:tr2bl w:val="nil"/>
                  </w:tcBorders>
                  <w:vAlign w:val="center"/>
                </w:tcPr>
                <w:p w14:paraId="60855A5B">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建设项目行业类别</w:t>
                  </w:r>
                </w:p>
              </w:tc>
              <w:tc>
                <w:tcPr>
                  <w:tcW w:w="3514" w:type="pct"/>
                  <w:gridSpan w:val="4"/>
                  <w:tcBorders>
                    <w:tl2br w:val="nil"/>
                    <w:tr2bl w:val="nil"/>
                  </w:tcBorders>
                  <w:vAlign w:val="center"/>
                </w:tcPr>
                <w:p w14:paraId="007A704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排污许可类别判定</w:t>
                  </w:r>
                </w:p>
              </w:tc>
            </w:tr>
            <w:tr w14:paraId="7D538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vAlign w:val="center"/>
                </w:tcPr>
                <w:p w14:paraId="004B27C5">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p>
              </w:tc>
              <w:tc>
                <w:tcPr>
                  <w:tcW w:w="812" w:type="pct"/>
                  <w:vMerge w:val="continue"/>
                  <w:tcBorders>
                    <w:tl2br w:val="nil"/>
                    <w:tr2bl w:val="nil"/>
                  </w:tcBorders>
                  <w:vAlign w:val="center"/>
                </w:tcPr>
                <w:p w14:paraId="11E56B59">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p>
              </w:tc>
              <w:tc>
                <w:tcPr>
                  <w:tcW w:w="978" w:type="pct"/>
                  <w:tcBorders>
                    <w:tl2br w:val="nil"/>
                    <w:tr2bl w:val="nil"/>
                  </w:tcBorders>
                  <w:vAlign w:val="center"/>
                </w:tcPr>
                <w:p w14:paraId="5B26F321">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重点管理</w:t>
                  </w:r>
                </w:p>
              </w:tc>
              <w:tc>
                <w:tcPr>
                  <w:tcW w:w="1095" w:type="pct"/>
                  <w:tcBorders>
                    <w:tl2br w:val="nil"/>
                    <w:tr2bl w:val="nil"/>
                  </w:tcBorders>
                  <w:vAlign w:val="center"/>
                </w:tcPr>
                <w:p w14:paraId="4F1E79A3">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简化管理</w:t>
                  </w:r>
                </w:p>
              </w:tc>
              <w:tc>
                <w:tcPr>
                  <w:tcW w:w="701" w:type="pct"/>
                  <w:tcBorders>
                    <w:tl2br w:val="nil"/>
                    <w:tr2bl w:val="nil"/>
                  </w:tcBorders>
                  <w:vAlign w:val="center"/>
                </w:tcPr>
                <w:p w14:paraId="250ED5C6">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登记管理</w:t>
                  </w:r>
                </w:p>
              </w:tc>
              <w:tc>
                <w:tcPr>
                  <w:tcW w:w="738" w:type="pct"/>
                  <w:tcBorders>
                    <w:tl2br w:val="nil"/>
                    <w:tr2bl w:val="nil"/>
                  </w:tcBorders>
                  <w:vAlign w:val="center"/>
                </w:tcPr>
                <w:p w14:paraId="21230E4D">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w:t>
                  </w:r>
                </w:p>
              </w:tc>
            </w:tr>
            <w:tr w14:paraId="1D424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vAlign w:val="center"/>
                </w:tcPr>
                <w:p w14:paraId="471ACAF7">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highlight w:val="none"/>
                    </w:rPr>
                  </w:pPr>
                  <w:r>
                    <w:rPr>
                      <w:rFonts w:hint="eastAsia"/>
                      <w:color w:val="auto"/>
                      <w:kern w:val="2"/>
                      <w:sz w:val="21"/>
                      <w:szCs w:val="21"/>
                      <w:highlight w:val="none"/>
                    </w:rPr>
                    <w:t>C4220 非金属废料和碎屑加工处理</w:t>
                  </w:r>
                </w:p>
              </w:tc>
              <w:tc>
                <w:tcPr>
                  <w:tcW w:w="812" w:type="pct"/>
                  <w:tcBorders>
                    <w:tl2br w:val="nil"/>
                    <w:tr2bl w:val="nil"/>
                  </w:tcBorders>
                  <w:vAlign w:val="center"/>
                </w:tcPr>
                <w:p w14:paraId="66609E2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eastAsia="zh-CN"/>
                    </w:rPr>
                  </w:pPr>
                  <w:r>
                    <w:rPr>
                      <w:rFonts w:hint="eastAsia"/>
                      <w:color w:val="auto"/>
                      <w:kern w:val="2"/>
                      <w:sz w:val="21"/>
                      <w:szCs w:val="21"/>
                      <w:highlight w:val="none"/>
                    </w:rPr>
                    <w:t>三十九、废弃资源综合利用业42—85非金属废料和碎屑加工处理422</w:t>
                  </w:r>
                </w:p>
              </w:tc>
              <w:tc>
                <w:tcPr>
                  <w:tcW w:w="978" w:type="pct"/>
                  <w:tcBorders>
                    <w:tl2br w:val="nil"/>
                    <w:tr2bl w:val="nil"/>
                  </w:tcBorders>
                  <w:vAlign w:val="center"/>
                </w:tcPr>
                <w:p w14:paraId="74D2AB1E">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highlight w:val="none"/>
                      <w:shd w:val="clear" w:color="auto" w:fill="FFFFFF"/>
                    </w:rPr>
                  </w:pPr>
                  <w:r>
                    <w:rPr>
                      <w:rFonts w:ascii="宋体" w:hAnsi="宋体" w:eastAsia="宋体" w:cs="宋体"/>
                      <w:color w:val="auto"/>
                      <w:sz w:val="21"/>
                      <w:szCs w:val="21"/>
                      <w:highlight w:val="none"/>
                    </w:rPr>
                    <w:t>废电池、废油、废轮胎加工处理</w:t>
                  </w:r>
                </w:p>
              </w:tc>
              <w:tc>
                <w:tcPr>
                  <w:tcW w:w="1095" w:type="pct"/>
                  <w:tcBorders>
                    <w:tl2br w:val="nil"/>
                    <w:tr2bl w:val="nil"/>
                  </w:tcBorders>
                  <w:vAlign w:val="center"/>
                </w:tcPr>
                <w:p w14:paraId="25F90D1B">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highlight w:val="none"/>
                    </w:rPr>
                  </w:pPr>
                  <w:r>
                    <w:rPr>
                      <w:rFonts w:ascii="宋体" w:hAnsi="宋体" w:eastAsia="宋体" w:cs="宋体"/>
                      <w:color w:val="auto"/>
                      <w:sz w:val="21"/>
                      <w:szCs w:val="21"/>
                      <w:highlight w:val="none"/>
                    </w:rPr>
                    <w:t>废弃电器电子产品、废机动车、废电机、废电线电缆、废塑料、废船、含水洗工艺的其他废料和碎屑加工处理</w:t>
                  </w:r>
                </w:p>
              </w:tc>
              <w:tc>
                <w:tcPr>
                  <w:tcW w:w="701" w:type="pct"/>
                  <w:tcBorders>
                    <w:tl2br w:val="nil"/>
                    <w:tr2bl w:val="nil"/>
                  </w:tcBorders>
                  <w:vAlign w:val="center"/>
                </w:tcPr>
                <w:p w14:paraId="0D576074">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w:t>
                  </w:r>
                </w:p>
              </w:tc>
              <w:tc>
                <w:tcPr>
                  <w:tcW w:w="738" w:type="pct"/>
                  <w:tcBorders>
                    <w:tl2br w:val="nil"/>
                    <w:tr2bl w:val="nil"/>
                  </w:tcBorders>
                  <w:vAlign w:val="center"/>
                </w:tcPr>
                <w:p w14:paraId="0850A192">
                  <w:pPr>
                    <w:pStyle w:val="27"/>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本项目生产</w:t>
                  </w:r>
                  <w:r>
                    <w:rPr>
                      <w:rFonts w:hint="eastAsia" w:ascii="Times New Roman" w:hAnsi="Times New Roman" w:cs="Times New Roman"/>
                      <w:color w:val="auto"/>
                      <w:sz w:val="21"/>
                      <w:szCs w:val="21"/>
                      <w:highlight w:val="none"/>
                      <w:lang w:val="en-US" w:eastAsia="zh-CN"/>
                    </w:rPr>
                    <w:t>主要</w:t>
                  </w:r>
                  <w:r>
                    <w:rPr>
                      <w:rFonts w:hint="default" w:ascii="Times New Roman" w:hAnsi="Times New Roman" w:cs="Times New Roman"/>
                      <w:color w:val="auto"/>
                      <w:sz w:val="21"/>
                      <w:szCs w:val="21"/>
                      <w:highlight w:val="none"/>
                    </w:rPr>
                    <w:t>使用</w:t>
                  </w:r>
                  <w:r>
                    <w:rPr>
                      <w:rFonts w:hint="eastAsia" w:ascii="Times New Roman" w:hAnsi="Times New Roman" w:cs="Times New Roman"/>
                      <w:color w:val="auto"/>
                      <w:sz w:val="21"/>
                      <w:szCs w:val="21"/>
                      <w:highlight w:val="none"/>
                      <w:lang w:val="en-US" w:eastAsia="zh-CN"/>
                    </w:rPr>
                    <w:t>废塑料加工</w:t>
                  </w:r>
                  <w:r>
                    <w:rPr>
                      <w:rFonts w:hint="default" w:ascii="Times New Roman" w:hAnsi="Times New Roman" w:cs="Times New Roman"/>
                      <w:color w:val="auto"/>
                      <w:sz w:val="21"/>
                      <w:szCs w:val="21"/>
                      <w:highlight w:val="none"/>
                    </w:rPr>
                    <w:t>，实行</w:t>
                  </w:r>
                  <w:r>
                    <w:rPr>
                      <w:rFonts w:hint="eastAsia" w:ascii="Times New Roman" w:hAnsi="Times New Roman" w:cs="Times New Roman"/>
                      <w:color w:val="auto"/>
                      <w:sz w:val="21"/>
                      <w:szCs w:val="21"/>
                      <w:highlight w:val="none"/>
                      <w:lang w:val="en-US" w:eastAsia="zh-CN"/>
                    </w:rPr>
                    <w:t>简化</w:t>
                  </w:r>
                  <w:r>
                    <w:rPr>
                      <w:rFonts w:hint="default" w:ascii="Times New Roman" w:hAnsi="Times New Roman" w:cs="Times New Roman"/>
                      <w:color w:val="auto"/>
                      <w:sz w:val="21"/>
                      <w:szCs w:val="21"/>
                      <w:highlight w:val="none"/>
                    </w:rPr>
                    <w:t>管理</w:t>
                  </w:r>
                </w:p>
              </w:tc>
            </w:tr>
          </w:tbl>
          <w:p w14:paraId="1EE241BA">
            <w:pPr>
              <w:pStyle w:val="27"/>
              <w:keepNext w:val="0"/>
              <w:keepLines w:val="0"/>
              <w:pageBreakBefore w:val="0"/>
              <w:widowControl w:val="0"/>
              <w:numPr>
                <w:ilvl w:val="0"/>
                <w:numId w:val="0"/>
              </w:numPr>
              <w:kinsoku/>
              <w:overflowPunct/>
              <w:topLinePunct w:val="0"/>
              <w:autoSpaceDE/>
              <w:autoSpaceDN/>
              <w:bidi w:val="0"/>
              <w:spacing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对照名录分析，本项目属于</w:t>
            </w:r>
            <w:r>
              <w:rPr>
                <w:rFonts w:hint="eastAsia" w:cs="Times New Roman"/>
                <w:color w:val="auto"/>
                <w:sz w:val="21"/>
                <w:szCs w:val="21"/>
                <w:highlight w:val="none"/>
                <w:lang w:val="en-US" w:eastAsia="zh-CN"/>
              </w:rPr>
              <w:t>简化</w:t>
            </w:r>
            <w:r>
              <w:rPr>
                <w:rFonts w:hint="default" w:ascii="Times New Roman" w:hAnsi="Times New Roman" w:cs="Times New Roman"/>
                <w:color w:val="auto"/>
                <w:sz w:val="21"/>
                <w:szCs w:val="21"/>
                <w:highlight w:val="none"/>
              </w:rPr>
              <w:t>管理。本项目启动生产设施或者实际排污之前应</w:t>
            </w:r>
            <w:r>
              <w:rPr>
                <w:rFonts w:hint="eastAsia" w:cs="Times New Roman"/>
                <w:color w:val="auto"/>
                <w:sz w:val="21"/>
                <w:szCs w:val="21"/>
                <w:highlight w:val="none"/>
                <w:lang w:val="en-US" w:eastAsia="zh-CN"/>
              </w:rPr>
              <w:t>进行</w:t>
            </w:r>
            <w:r>
              <w:rPr>
                <w:rFonts w:hint="default" w:ascii="Times New Roman" w:hAnsi="Times New Roman" w:cs="Times New Roman"/>
                <w:color w:val="auto"/>
                <w:sz w:val="21"/>
                <w:szCs w:val="21"/>
                <w:highlight w:val="none"/>
                <w:lang w:val="en-US" w:eastAsia="zh-CN"/>
              </w:rPr>
              <w:t>排污许可登记</w:t>
            </w:r>
            <w:r>
              <w:rPr>
                <w:rFonts w:hint="default" w:ascii="Times New Roman" w:hAnsi="Times New Roman" w:cs="Times New Roman"/>
                <w:color w:val="auto"/>
                <w:sz w:val="21"/>
                <w:szCs w:val="21"/>
                <w:highlight w:val="none"/>
              </w:rPr>
              <w:t>。</w:t>
            </w:r>
          </w:p>
          <w:p w14:paraId="530C5865">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（四）竣工验收要求</w:t>
            </w:r>
          </w:p>
          <w:p w14:paraId="6AD33EA8">
            <w:pPr>
              <w:pStyle w:val="128"/>
              <w:keepNext w:val="0"/>
              <w:keepLines w:val="0"/>
              <w:pageBreakBefore w:val="0"/>
              <w:widowControl w:val="0"/>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根据《建设项目竣工环境保护验收暂行办法》（国环规环评〔2017〕4号），建设单位自行验收。本项目自行验收要求如下： </w:t>
            </w:r>
          </w:p>
          <w:p w14:paraId="186FCEA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sz w:val="21"/>
                <w:szCs w:val="21"/>
                <w:highlight w:val="none"/>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3867287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cs="Times New Roman"/>
                <w:color w:val="auto"/>
                <w:sz w:val="21"/>
                <w:szCs w:val="21"/>
                <w:highlight w:val="none"/>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6EC3F36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3.</w:t>
            </w:r>
            <w:r>
              <w:rPr>
                <w:rFonts w:hint="default" w:ascii="Times New Roman" w:hAnsi="Times New Roman" w:cs="Times New Roman"/>
                <w:color w:val="auto"/>
                <w:sz w:val="21"/>
                <w:szCs w:val="21"/>
                <w:highlight w:val="none"/>
              </w:rPr>
              <w:t xml:space="preserve">存在下列情形之一的建设项目，不得通过竣工环境保护验收： </w:t>
            </w:r>
          </w:p>
          <w:p w14:paraId="5C7E79E6">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未按环境影响报告表及其审批部门审批决定要求建成环境保护设施，或者环境保护设施不能与主体工程同时投产或者使用的；</w:t>
            </w:r>
          </w:p>
          <w:p w14:paraId="05945369">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污染物排放不符合国家和地方相关标准、环境影响报告书及其审批部门审批决定或者重点污染物排放总量控制指标要求的；</w:t>
            </w:r>
          </w:p>
          <w:p w14:paraId="0ADDD345">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3507D178">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建设过程中造成重大环境污染未治理完成，或者造成重大生态破坏未恢复的； </w:t>
            </w:r>
          </w:p>
          <w:p w14:paraId="7F0F4370">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纳入排污许可管理的建设项目，无证排污或者不按证排污的；</w:t>
            </w:r>
          </w:p>
          <w:p w14:paraId="162E330C">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建设单位因该建设项目违反国家和地方环境保护法律法规受到处罚，被责令改正，尚未改正完成的；</w:t>
            </w:r>
          </w:p>
          <w:p w14:paraId="142E4726">
            <w:pPr>
              <w:pStyle w:val="128"/>
              <w:keepNext w:val="0"/>
              <w:keepLines w:val="0"/>
              <w:pageBreakBefore w:val="0"/>
              <w:widowControl w:val="0"/>
              <w:numPr>
                <w:ilvl w:val="0"/>
                <w:numId w:val="4"/>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验收报告的基础资料数据明显不实，内容存在重大缺项、遗漏，或者验收结论不明确、不合理的。</w:t>
            </w:r>
          </w:p>
          <w:p w14:paraId="1999FB9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4.</w:t>
            </w:r>
            <w:r>
              <w:rPr>
                <w:rFonts w:hint="default" w:ascii="Times New Roman" w:hAnsi="Times New Roman" w:cs="Times New Roman"/>
                <w:color w:val="auto"/>
                <w:sz w:val="21"/>
                <w:szCs w:val="21"/>
                <w:highlight w:val="none"/>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0AE7C0B8">
            <w:pPr>
              <w:pStyle w:val="128"/>
              <w:keepNext w:val="0"/>
              <w:keepLines w:val="0"/>
              <w:pageBreakBefore w:val="0"/>
              <w:widowControl w:val="0"/>
              <w:numPr>
                <w:ilvl w:val="0"/>
                <w:numId w:val="5"/>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建设项目配套建设的环境保护设施竣工后，公开竣工日期；</w:t>
            </w:r>
          </w:p>
          <w:p w14:paraId="1E04F83D">
            <w:pPr>
              <w:pStyle w:val="128"/>
              <w:keepNext w:val="0"/>
              <w:keepLines w:val="0"/>
              <w:pageBreakBefore w:val="0"/>
              <w:widowControl w:val="0"/>
              <w:numPr>
                <w:ilvl w:val="0"/>
                <w:numId w:val="5"/>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对建设项目配套建设的环境保护设施进行调试前，公开调试的起止日期；</w:t>
            </w:r>
          </w:p>
          <w:p w14:paraId="50267024">
            <w:pPr>
              <w:pStyle w:val="128"/>
              <w:keepNext w:val="0"/>
              <w:keepLines w:val="0"/>
              <w:pageBreakBefore w:val="0"/>
              <w:widowControl w:val="0"/>
              <w:numPr>
                <w:ilvl w:val="0"/>
                <w:numId w:val="5"/>
              </w:numPr>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验收报告编制完成后5个工作日内，公开验收报告，公示的期限不得少于20个工作日。</w:t>
            </w:r>
          </w:p>
          <w:p w14:paraId="5CA865D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5.</w:t>
            </w:r>
            <w:r>
              <w:rPr>
                <w:rFonts w:hint="default" w:ascii="Times New Roman" w:hAnsi="Times New Roman" w:cs="Times New Roman"/>
                <w:color w:val="auto"/>
                <w:sz w:val="21"/>
                <w:szCs w:val="21"/>
                <w:highlight w:val="none"/>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2B8E8B70">
            <w:pPr>
              <w:pStyle w:val="128"/>
              <w:keepNext w:val="0"/>
              <w:keepLines w:val="0"/>
              <w:pageBreakBefore w:val="0"/>
              <w:widowControl w:val="0"/>
              <w:kinsoku/>
              <w:overflowPunct/>
              <w:topLinePunct w:val="0"/>
              <w:autoSpaceDE/>
              <w:autoSpaceDN/>
              <w:bidi w:val="0"/>
              <w:spacing w:before="0" w:after="0" w:line="240" w:lineRule="auto"/>
              <w:ind w:firstLine="420" w:firstLineChars="200"/>
              <w:jc w:val="left"/>
              <w:textAlignment w:val="auto"/>
              <w:rPr>
                <w:rFonts w:hint="default" w:ascii="Times New Roman" w:hAnsi="Times New Roman" w:cs="Times New Roman"/>
                <w:color w:val="auto"/>
                <w:sz w:val="21"/>
                <w:szCs w:val="21"/>
                <w:highlight w:val="none"/>
              </w:rPr>
            </w:pPr>
          </w:p>
          <w:p w14:paraId="3DA61E2E">
            <w:pPr>
              <w:pStyle w:val="128"/>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color w:val="auto"/>
                <w:sz w:val="21"/>
                <w:szCs w:val="21"/>
                <w:highlight w:val="none"/>
              </w:rPr>
            </w:pPr>
          </w:p>
          <w:p w14:paraId="65FE195A">
            <w:pPr>
              <w:pStyle w:val="128"/>
              <w:keepNext w:val="0"/>
              <w:keepLines w:val="0"/>
              <w:pageBreakBefore w:val="0"/>
              <w:widowControl w:val="0"/>
              <w:kinsoku/>
              <w:overflowPunct/>
              <w:topLinePunct w:val="0"/>
              <w:autoSpaceDE/>
              <w:autoSpaceDN/>
              <w:bidi w:val="0"/>
              <w:spacing w:before="0" w:after="0" w:line="240" w:lineRule="auto"/>
              <w:jc w:val="both"/>
              <w:textAlignment w:val="auto"/>
              <w:rPr>
                <w:color w:val="auto"/>
                <w:kern w:val="2"/>
                <w:highlight w:val="none"/>
              </w:rPr>
            </w:pPr>
          </w:p>
        </w:tc>
      </w:tr>
    </w:tbl>
    <w:p w14:paraId="39CF68F7">
      <w:pPr>
        <w:pStyle w:val="18"/>
        <w:numPr>
          <w:ilvl w:val="0"/>
          <w:numId w:val="0"/>
        </w:numPr>
        <w:rPr>
          <w:rFonts w:cs="Times New Roman"/>
          <w:color w:val="auto"/>
          <w:highlight w:val="none"/>
        </w:rPr>
      </w:pPr>
      <w:bookmarkStart w:id="152" w:name="_Toc15960"/>
      <w:bookmarkStart w:id="153" w:name="_Toc17135"/>
      <w:bookmarkStart w:id="154" w:name="_Toc27033"/>
      <w:r>
        <w:rPr>
          <w:rFonts w:hint="eastAsia" w:cs="Times New Roman"/>
          <w:color w:val="auto"/>
          <w:highlight w:val="none"/>
        </w:rPr>
        <w:t>六、</w:t>
      </w:r>
      <w:r>
        <w:rPr>
          <w:rFonts w:cs="Times New Roman"/>
          <w:color w:val="auto"/>
          <w:highlight w:val="none"/>
        </w:rPr>
        <w:t xml:space="preserve"> 结论</w:t>
      </w:r>
      <w:bookmarkEnd w:id="152"/>
      <w:bookmarkEnd w:id="153"/>
      <w:bookmarkEnd w:id="154"/>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7E29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4" w:hRule="atLeast"/>
        </w:trPr>
        <w:tc>
          <w:tcPr>
            <w:tcW w:w="5000" w:type="pct"/>
            <w:vAlign w:val="center"/>
          </w:tcPr>
          <w:p w14:paraId="14F5DCBA">
            <w:pPr>
              <w:adjustRightInd w:val="0"/>
              <w:ind w:firstLine="480" w:firstLineChars="200"/>
              <w:rPr>
                <w:bCs/>
                <w:color w:val="auto"/>
                <w:kern w:val="0"/>
                <w:highlight w:val="none"/>
              </w:rPr>
            </w:pPr>
            <w:r>
              <w:rPr>
                <w:rFonts w:hint="eastAsia"/>
                <w:bCs/>
                <w:color w:val="auto"/>
                <w:kern w:val="0"/>
                <w:highlight w:val="none"/>
              </w:rPr>
              <w:t>按照本次评价，在严格落实前文提出的各项环境保护措施，并加强污染防治设施维护管理的情况下，本项目产生的污染物及不良环境影响能够得到有效控制，</w:t>
            </w:r>
            <w:r>
              <w:rPr>
                <w:rFonts w:hint="eastAsia"/>
                <w:b/>
                <w:color w:val="auto"/>
                <w:kern w:val="0"/>
                <w:highlight w:val="none"/>
              </w:rPr>
              <w:t>从环境保护角度分析，项目的建设是可行的</w:t>
            </w:r>
            <w:r>
              <w:rPr>
                <w:rFonts w:hint="eastAsia"/>
                <w:bCs/>
                <w:color w:val="auto"/>
                <w:kern w:val="0"/>
                <w:highlight w:val="none"/>
              </w:rPr>
              <w:t>。</w:t>
            </w:r>
          </w:p>
          <w:p w14:paraId="093E835B">
            <w:pPr>
              <w:ind w:firstLine="480"/>
              <w:rPr>
                <w:color w:val="auto"/>
                <w:highlight w:val="none"/>
              </w:rPr>
            </w:pPr>
            <w:r>
              <w:rPr>
                <w:rFonts w:hint="eastAsia"/>
                <w:bCs/>
                <w:color w:val="auto"/>
                <w:highlight w:val="none"/>
              </w:rPr>
              <w:t>本环境影响报告表通过审批后</w:t>
            </w:r>
            <w:r>
              <w:rPr>
                <w:rFonts w:hint="eastAsia"/>
                <w:color w:val="auto"/>
                <w:highlight w:val="none"/>
              </w:rPr>
              <w:t>，建设内容和需要配套的污染防治设施如发生重大变动，建设单位需要重新组织编制和报批环境影响评价文件。建设单位应当严格执行配套建设的环境保护设施与主体工程同时设计、同时施工、同时投产使用的环境保护“三同时”制度。本项目竣工后，建设单位应当按照国家和地方规定的标准和程序，对配套建设的环境保护设施进行验收，编制验收报告，提出验收意见，并依法向社会公开。本项目配套建设的环境保护设施经验收合格后，主体工程方可正式投入生产。</w:t>
            </w:r>
          </w:p>
          <w:p w14:paraId="5147EEA9">
            <w:pPr>
              <w:rPr>
                <w:color w:val="auto"/>
                <w:highlight w:val="none"/>
              </w:rPr>
            </w:pPr>
          </w:p>
          <w:p w14:paraId="3A9A5034">
            <w:pPr>
              <w:rPr>
                <w:color w:val="auto"/>
                <w:highlight w:val="none"/>
              </w:rPr>
            </w:pPr>
          </w:p>
          <w:p w14:paraId="0319F42C">
            <w:pPr>
              <w:rPr>
                <w:color w:val="auto"/>
                <w:highlight w:val="none"/>
              </w:rPr>
            </w:pPr>
          </w:p>
          <w:p w14:paraId="601669A9">
            <w:pPr>
              <w:rPr>
                <w:color w:val="auto"/>
                <w:highlight w:val="none"/>
              </w:rPr>
            </w:pPr>
          </w:p>
          <w:p w14:paraId="4425CE08">
            <w:pPr>
              <w:rPr>
                <w:color w:val="auto"/>
                <w:highlight w:val="none"/>
              </w:rPr>
            </w:pPr>
          </w:p>
          <w:p w14:paraId="74748446">
            <w:pPr>
              <w:rPr>
                <w:color w:val="auto"/>
                <w:highlight w:val="none"/>
              </w:rPr>
            </w:pPr>
          </w:p>
        </w:tc>
      </w:tr>
    </w:tbl>
    <w:p w14:paraId="52427DE6">
      <w:pPr>
        <w:rPr>
          <w:rFonts w:eastAsia="黑体"/>
          <w:snapToGrid w:val="0"/>
          <w:color w:val="auto"/>
          <w:sz w:val="32"/>
          <w:szCs w:val="32"/>
          <w:highlight w:val="none"/>
        </w:rPr>
        <w:sectPr>
          <w:pgSz w:w="11906" w:h="16838"/>
          <w:pgMar w:top="1440" w:right="1417" w:bottom="1440" w:left="1417" w:header="851" w:footer="680" w:gutter="0"/>
          <w:pgNumType w:fmt="numberInDash"/>
          <w:cols w:space="720" w:num="1"/>
          <w:docGrid w:type="linesAndChars" w:linePitch="312" w:charSpace="0"/>
        </w:sectPr>
      </w:pPr>
    </w:p>
    <w:p w14:paraId="0C1B63A4">
      <w:pPr>
        <w:pStyle w:val="56"/>
        <w:jc w:val="center"/>
        <w:rPr>
          <w:rFonts w:ascii="Times New Roman"/>
          <w:b w:val="0"/>
          <w:bCs w:val="0"/>
          <w:color w:val="auto"/>
          <w:highlight w:val="none"/>
        </w:rPr>
      </w:pPr>
      <w:r>
        <w:rPr>
          <w:color w:val="auto"/>
          <w:highlight w:val="none"/>
        </w:rPr>
        <w:drawing>
          <wp:anchor distT="0" distB="0" distL="0" distR="0" simplePos="0" relativeHeight="251662336" behindDoc="0" locked="0" layoutInCell="1" allowOverlap="1">
            <wp:simplePos x="0" y="0"/>
            <wp:positionH relativeFrom="column">
              <wp:posOffset>7367905</wp:posOffset>
            </wp:positionH>
            <wp:positionV relativeFrom="paragraph">
              <wp:posOffset>34925</wp:posOffset>
            </wp:positionV>
            <wp:extent cx="972185" cy="1001395"/>
            <wp:effectExtent l="9525" t="9525" r="27940" b="17780"/>
            <wp:wrapNone/>
            <wp:docPr id="1033" name="图片 4"/>
            <wp:cNvGraphicFramePr/>
            <a:graphic xmlns:a="http://schemas.openxmlformats.org/drawingml/2006/main">
              <a:graphicData uri="http://schemas.openxmlformats.org/drawingml/2006/picture">
                <pic:pic xmlns:pic="http://schemas.openxmlformats.org/drawingml/2006/picture">
                  <pic:nvPicPr>
                    <pic:cNvPr id="1033" name="图片 4"/>
                    <pic:cNvPicPr/>
                  </pic:nvPicPr>
                  <pic:blipFill>
                    <a:blip r:embed="rId34" cstate="print"/>
                    <a:srcRect/>
                    <a:stretch>
                      <a:fillRect/>
                    </a:stretch>
                  </pic:blipFill>
                  <pic:spPr>
                    <a:xfrm>
                      <a:off x="0" y="0"/>
                      <a:ext cx="972184" cy="1001395"/>
                    </a:xfrm>
                    <a:prstGeom prst="rect">
                      <a:avLst/>
                    </a:prstGeom>
                    <a:ln w="9525" cap="flat" cmpd="sng">
                      <a:solidFill>
                        <a:srgbClr val="000000"/>
                      </a:solidFill>
                      <a:prstDash val="solid"/>
                      <a:round/>
                    </a:ln>
                  </pic:spPr>
                </pic:pic>
              </a:graphicData>
            </a:graphic>
          </wp:anchor>
        </w:drawing>
      </w:r>
      <w:r>
        <w:rPr>
          <w:rFonts w:ascii="Times New Roman"/>
          <w:color w:val="auto"/>
          <w:highlight w:val="none"/>
        </w:rPr>
        <mc:AlternateContent>
          <mc:Choice Requires="wps">
            <w:drawing>
              <wp:anchor distT="0" distB="0" distL="0" distR="0" simplePos="0" relativeHeight="251663360" behindDoc="0" locked="0" layoutInCell="1" allowOverlap="1">
                <wp:simplePos x="0" y="0"/>
                <wp:positionH relativeFrom="column">
                  <wp:posOffset>2941955</wp:posOffset>
                </wp:positionH>
                <wp:positionV relativeFrom="paragraph">
                  <wp:posOffset>2425065</wp:posOffset>
                </wp:positionV>
                <wp:extent cx="1009015" cy="373380"/>
                <wp:effectExtent l="6350" t="6350" r="489585" b="20320"/>
                <wp:wrapNone/>
                <wp:docPr id="1034" name="矩形标注 139"/>
                <wp:cNvGraphicFramePr/>
                <a:graphic xmlns:a="http://schemas.openxmlformats.org/drawingml/2006/main">
                  <a:graphicData uri="http://schemas.microsoft.com/office/word/2010/wordprocessingShape">
                    <wps:wsp>
                      <wps:cNvSpPr/>
                      <wps:spPr>
                        <a:xfrm>
                          <a:off x="0" y="0"/>
                          <a:ext cx="1009015" cy="373379"/>
                        </a:xfrm>
                        <a:prstGeom prst="wedgeRectCallout">
                          <a:avLst>
                            <a:gd name="adj1" fmla="val 91787"/>
                            <a:gd name="adj2" fmla="val 20918"/>
                          </a:avLst>
                        </a:prstGeom>
                        <a:solidFill>
                          <a:srgbClr val="FFFFFF"/>
                        </a:solidFill>
                        <a:ln w="12700" cap="flat" cmpd="sng">
                          <a:solidFill>
                            <a:srgbClr val="000000"/>
                          </a:solidFill>
                          <a:prstDash val="solid"/>
                          <a:miter/>
                        </a:ln>
                      </wps:spPr>
                      <wps:txbx>
                        <w:txbxContent>
                          <w:p w14:paraId="45FA8F5A">
                            <w:pPr>
                              <w:jc w:val="center"/>
                            </w:pPr>
                            <w:r>
                              <w:rPr>
                                <w:rFonts w:hint="eastAsia"/>
                              </w:rPr>
                              <w:t>项目位置</w:t>
                            </w:r>
                          </w:p>
                        </w:txbxContent>
                      </wps:txbx>
                      <wps:bodyPr vert="horz" wrap="square" lIns="91440" tIns="45720" rIns="91440" bIns="45720" anchor="ctr">
                        <a:noAutofit/>
                      </wps:bodyPr>
                    </wps:wsp>
                  </a:graphicData>
                </a:graphic>
              </wp:anchor>
            </w:drawing>
          </mc:Choice>
          <mc:Fallback>
            <w:pict>
              <v:shape id="矩形标注 139" o:spid="_x0000_s1026" o:spt="61" type="#_x0000_t61" style="position:absolute;left:0pt;margin-left:231.65pt;margin-top:190.95pt;height:29.4pt;width:79.45pt;z-index:251663360;v-text-anchor:middle;mso-width-relative:page;mso-height-relative:page;" fillcolor="#FFFFFF" filled="t" stroked="t" coordsize="21600,21600" o:gfxdata="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LyKC3XAAAACwEAAA8A&#10;AAAAAAAAAQAgAAAAIgAAAGRycy9kb3ducmV2LnhtbFBLAQIUABQAAAAIAIdO4kBiju37UQIAAKcE&#10;AAAOAAAAAAAAAAEAIAAAACYBAABkcnMvZTJvRG9jLnhtbFBLBQYAAAAABgAGAFkBAADpBQAAAAA=&#10;" adj="30626,15318">
                <v:fill on="t" focussize="0,0"/>
                <v:stroke weight="1pt" color="#000000" joinstyle="miter"/>
                <v:imagedata o:title=""/>
                <o:lock v:ext="edit" aspectratio="f"/>
                <v:textbox>
                  <w:txbxContent>
                    <w:p w14:paraId="45FA8F5A">
                      <w:pPr>
                        <w:jc w:val="center"/>
                      </w:pPr>
                      <w:r>
                        <w:rPr>
                          <w:rFonts w:hint="eastAsia"/>
                        </w:rPr>
                        <w:t>项目位置</w:t>
                      </w:r>
                    </w:p>
                  </w:txbxContent>
                </v:textbox>
              </v:shape>
            </w:pict>
          </mc:Fallback>
        </mc:AlternateContent>
      </w:r>
      <w:r>
        <w:rPr>
          <w:color w:val="auto"/>
          <w:highlight w:val="none"/>
        </w:rPr>
        <w:drawing>
          <wp:inline distT="0" distB="0" distL="0" distR="0">
            <wp:extent cx="7883525" cy="5264785"/>
            <wp:effectExtent l="28575" t="28575" r="33020" b="28575"/>
            <wp:docPr id="1035" name="图片 3"/>
            <wp:cNvGraphicFramePr/>
            <a:graphic xmlns:a="http://schemas.openxmlformats.org/drawingml/2006/main">
              <a:graphicData uri="http://schemas.openxmlformats.org/drawingml/2006/picture">
                <pic:pic xmlns:pic="http://schemas.openxmlformats.org/drawingml/2006/picture">
                  <pic:nvPicPr>
                    <pic:cNvPr id="1035" name="图片 3"/>
                    <pic:cNvPicPr/>
                  </pic:nvPicPr>
                  <pic:blipFill>
                    <a:blip r:embed="rId35" cstate="print"/>
                    <a:srcRect/>
                    <a:stretch>
                      <a:fillRect/>
                    </a:stretch>
                  </pic:blipFill>
                  <pic:spPr>
                    <a:xfrm>
                      <a:off x="0" y="0"/>
                      <a:ext cx="7883525" cy="5264785"/>
                    </a:xfrm>
                    <a:prstGeom prst="rect">
                      <a:avLst/>
                    </a:prstGeom>
                    <a:ln w="28575" cap="flat" cmpd="sng">
                      <a:solidFill>
                        <a:srgbClr val="000000"/>
                      </a:solidFill>
                      <a:prstDash val="solid"/>
                      <a:round/>
                    </a:ln>
                  </pic:spPr>
                </pic:pic>
              </a:graphicData>
            </a:graphic>
          </wp:inline>
        </w:drawing>
      </w:r>
    </w:p>
    <w:p w14:paraId="0A3308E4">
      <w:pPr>
        <w:pStyle w:val="56"/>
        <w:jc w:val="center"/>
        <w:outlineLvl w:val="0"/>
        <w:rPr>
          <w:rFonts w:ascii="Times New Roman"/>
          <w:color w:val="auto"/>
          <w:sz w:val="24"/>
          <w:szCs w:val="24"/>
          <w:highlight w:val="none"/>
        </w:rPr>
      </w:pPr>
      <w:bookmarkStart w:id="155" w:name="_Toc6195"/>
      <w:bookmarkStart w:id="156" w:name="_Toc7377"/>
      <w:bookmarkStart w:id="157" w:name="_Toc27190"/>
      <w:r>
        <w:rPr>
          <w:rFonts w:ascii="Times New Roman"/>
          <w:color w:val="auto"/>
          <w:sz w:val="24"/>
          <w:szCs w:val="24"/>
          <w:highlight w:val="none"/>
        </w:rPr>
        <w:t>附图1项目地理位置图</w:t>
      </w:r>
      <w:bookmarkEnd w:id="155"/>
      <w:bookmarkEnd w:id="156"/>
      <w:bookmarkEnd w:id="157"/>
    </w:p>
    <w:p w14:paraId="37D9648A">
      <w:pPr>
        <w:jc w:val="center"/>
        <w:rPr>
          <w:color w:val="auto"/>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58" w:name="_Toc21760"/>
      <w:bookmarkStart w:id="159" w:name="_Toc17352"/>
    </w:p>
    <w:p w14:paraId="0B106E5A">
      <w:pPr>
        <w:jc w:val="center"/>
        <w:rPr>
          <w:color w:val="auto"/>
          <w:highlight w:val="none"/>
        </w:rPr>
      </w:pPr>
      <w:r>
        <w:rPr>
          <w:color w:val="auto"/>
          <w:sz w:val="24"/>
          <w:highlight w:val="none"/>
        </w:rPr>
        <mc:AlternateContent>
          <mc:Choice Requires="wpg">
            <w:drawing>
              <wp:anchor distT="0" distB="0" distL="114300" distR="114300" simplePos="0" relativeHeight="251742208" behindDoc="0" locked="0" layoutInCell="1" allowOverlap="1">
                <wp:simplePos x="0" y="0"/>
                <wp:positionH relativeFrom="column">
                  <wp:posOffset>10795</wp:posOffset>
                </wp:positionH>
                <wp:positionV relativeFrom="paragraph">
                  <wp:posOffset>6203315</wp:posOffset>
                </wp:positionV>
                <wp:extent cx="1452880" cy="1282700"/>
                <wp:effectExtent l="0" t="0" r="13970" b="12700"/>
                <wp:wrapNone/>
                <wp:docPr id="48" name="组合 48"/>
                <wp:cNvGraphicFramePr/>
                <a:graphic xmlns:a="http://schemas.openxmlformats.org/drawingml/2006/main">
                  <a:graphicData uri="http://schemas.microsoft.com/office/word/2010/wordprocessingGroup">
                    <wpg:wgp>
                      <wpg:cNvGrpSpPr/>
                      <wpg:grpSpPr>
                        <a:xfrm>
                          <a:off x="0" y="0"/>
                          <a:ext cx="1452880" cy="1282700"/>
                          <a:chOff x="3764" y="1807551"/>
                          <a:chExt cx="2288" cy="2020"/>
                        </a:xfrm>
                      </wpg:grpSpPr>
                      <wpg:grpSp>
                        <wpg:cNvPr id="1038" name="组合 58"/>
                        <wpg:cNvGrpSpPr/>
                        <wpg:grpSpPr>
                          <a:xfrm rot="0">
                            <a:off x="3764" y="1807551"/>
                            <a:ext cx="2289" cy="2020"/>
                            <a:chOff x="15112" y="1682476"/>
                            <a:chExt cx="2289" cy="2020"/>
                          </a:xfrm>
                        </wpg:grpSpPr>
                        <wps:wsp>
                          <wps:cNvPr id="1" name="矩形 1"/>
                          <wps:cNvSpPr/>
                          <wps:spPr>
                            <a:xfrm>
                              <a:off x="15112" y="1682476"/>
                              <a:ext cx="2289" cy="2020"/>
                            </a:xfrm>
                            <a:prstGeom prst="rect">
                              <a:avLst/>
                            </a:prstGeom>
                            <a:solidFill>
                              <a:srgbClr val="DEEBF6"/>
                            </a:solidFill>
                            <a:ln>
                              <a:noFill/>
                            </a:ln>
                          </wps:spPr>
                          <wps:txbx>
                            <w:txbxContent>
                              <w:p w14:paraId="1CCE1E16">
                                <w:pPr>
                                  <w:jc w:val="center"/>
                                  <w:rPr>
                                    <w:b/>
                                    <w:bCs/>
                                  </w:rPr>
                                </w:pPr>
                                <w:r>
                                  <w:rPr>
                                    <w:rFonts w:hint="eastAsia"/>
                                    <w:b/>
                                    <w:bCs/>
                                  </w:rPr>
                                  <w:t>图例</w:t>
                                </w:r>
                              </w:p>
                              <w:p w14:paraId="680B4FF5">
                                <w:pPr>
                                  <w:pStyle w:val="2"/>
                                </w:pPr>
                                <w:r>
                                  <w:rPr>
                                    <w:rFonts w:hint="eastAsia"/>
                                  </w:rPr>
                                  <w:t>项目位置：</w:t>
                                </w:r>
                              </w:p>
                              <w:p w14:paraId="1517740D">
                                <w:pPr>
                                  <w:pStyle w:val="2"/>
                                </w:pPr>
                                <w:r>
                                  <w:rPr>
                                    <w:rFonts w:hint="eastAsia"/>
                                  </w:rPr>
                                  <w:t>地表水：</w:t>
                                </w:r>
                              </w:p>
                              <w:p w14:paraId="6479AC81">
                                <w:pPr>
                                  <w:pStyle w:val="56"/>
                                  <w:ind w:left="0"/>
                                  <w:rPr>
                                    <w:b w:val="0"/>
                                  </w:rPr>
                                </w:pPr>
                                <w:r>
                                  <w:rPr>
                                    <w:rFonts w:hint="eastAsia"/>
                                    <w:b w:val="0"/>
                                    <w:color w:val="000000"/>
                                    <w:sz w:val="24"/>
                                    <w:szCs w:val="24"/>
                                  </w:rPr>
                                  <w:t>永久基本农田：</w:t>
                                </w:r>
                              </w:p>
                            </w:txbxContent>
                          </wps:txbx>
                          <wps:bodyPr vert="horz" wrap="square" lIns="91440" tIns="45720" rIns="91440" bIns="45720" anchor="t">
                            <a:noAutofit/>
                          </wps:bodyPr>
                        </wps:wsp>
                        <wps:wsp>
                          <wps:cNvPr id="2" name="矩形 2"/>
                          <wps:cNvSpPr/>
                          <wps:spPr>
                            <a:xfrm>
                              <a:off x="16440" y="1683158"/>
                              <a:ext cx="435" cy="240"/>
                            </a:xfrm>
                            <a:prstGeom prst="rect">
                              <a:avLst/>
                            </a:prstGeom>
                            <a:ln w="28575" cap="flat" cmpd="sng">
                              <a:solidFill>
                                <a:srgbClr val="FF0000"/>
                              </a:solidFill>
                              <a:prstDash val="solid"/>
                              <a:miter/>
                            </a:ln>
                          </wps:spPr>
                          <wps:bodyPr/>
                        </wps:wsp>
                        <wps:wsp>
                          <wps:cNvPr id="3" name="弧形 3"/>
                          <wps:cNvSpPr/>
                          <wps:spPr>
                            <a:xfrm>
                              <a:off x="16257" y="1683702"/>
                              <a:ext cx="435" cy="240"/>
                            </a:xfrm>
                            <a:prstGeom prst="arc">
                              <a:avLst/>
                            </a:prstGeom>
                            <a:ln w="28575" cap="flat" cmpd="sng">
                              <a:solidFill>
                                <a:srgbClr val="00B050"/>
                              </a:solidFill>
                              <a:prstDash val="solid"/>
                              <a:miter/>
                            </a:ln>
                          </wps:spPr>
                          <wps:bodyPr/>
                        </wps:wsp>
                      </wpg:grpSp>
                      <wps:wsp>
                        <wps:cNvPr id="46" name="矩形 46"/>
                        <wps:cNvSpPr/>
                        <wps:spPr>
                          <a:xfrm>
                            <a:off x="5488" y="1809121"/>
                            <a:ext cx="435" cy="240"/>
                          </a:xfrm>
                          <a:prstGeom prst="rect">
                            <a:avLst/>
                          </a:prstGeom>
                          <a:solidFill>
                            <a:srgbClr val="FFC000"/>
                          </a:solidFill>
                          <a:ln w="28575" cap="flat" cmpd="sng">
                            <a:solidFill>
                              <a:schemeClr val="accent6">
                                <a:lumMod val="75000"/>
                              </a:schemeClr>
                            </a:solidFill>
                            <a:prstDash val="solid"/>
                            <a:miter/>
                          </a:ln>
                        </wps:spPr>
                        <wps:bodyPr/>
                      </wps:wsp>
                    </wpg:wgp>
                  </a:graphicData>
                </a:graphic>
              </wp:anchor>
            </w:drawing>
          </mc:Choice>
          <mc:Fallback>
            <w:pict>
              <v:group id="_x0000_s1026" o:spid="_x0000_s1026" o:spt="203" style="position:absolute;left:0pt;margin-left:0.85pt;margin-top:488.45pt;height:101pt;width:114.4pt;z-index:251742208;mso-width-relative:page;mso-height-relative:page;" coordorigin="3764,1807551" coordsize="2288,2020" o:gfxdata="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">
                <o:lock v:ext="edit" aspectratio="f"/>
                <v:group id="组合 58" o:spid="_x0000_s1026" o:spt="203" style="position:absolute;left:3764;top:1807551;height:2020;width:2289;" coordorigin="15112,1682476" coordsize="2289,2020" o:gfxdata="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hOAlqsAAAADdAAAADwAAAAAAAAABACAAAAAiAAAAZHJzL2Rvd25yZXYu&#10;eG1sUEsBAhQAFAAAAAgAh07iQDMvBZ47AAAAOQAAABUAAAAAAAAAAQAgAAAADwEAAGRycy9ncm91&#10;cHNoYXBleG1sLnhtbFBLBQYAAAAABgAGAGABAADMAwAAAAA=&#10;">
                  <o:lock v:ext="edit" aspectratio="f"/>
                  <v:rect id="_x0000_s1026" o:spid="_x0000_s1026" o:spt="1" style="position:absolute;left:15112;top:1682476;height:2020;width:2289;" fillcolor="#DEEBF6" filled="t" stroked="f" coordsize="21600,21600" o:gfxdata="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2hm0LsAAADa&#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1CCE1E16">
                          <w:pPr>
                            <w:jc w:val="center"/>
                            <w:rPr>
                              <w:b/>
                              <w:bCs/>
                            </w:rPr>
                          </w:pPr>
                          <w:r>
                            <w:rPr>
                              <w:rFonts w:hint="eastAsia"/>
                              <w:b/>
                              <w:bCs/>
                            </w:rPr>
                            <w:t>图例</w:t>
                          </w:r>
                        </w:p>
                        <w:p w14:paraId="680B4FF5">
                          <w:pPr>
                            <w:pStyle w:val="2"/>
                          </w:pPr>
                          <w:r>
                            <w:rPr>
                              <w:rFonts w:hint="eastAsia"/>
                            </w:rPr>
                            <w:t>项目位置：</w:t>
                          </w:r>
                        </w:p>
                        <w:p w14:paraId="1517740D">
                          <w:pPr>
                            <w:pStyle w:val="2"/>
                          </w:pPr>
                          <w:r>
                            <w:rPr>
                              <w:rFonts w:hint="eastAsia"/>
                            </w:rPr>
                            <w:t>地表水：</w:t>
                          </w:r>
                        </w:p>
                        <w:p w14:paraId="6479AC81">
                          <w:pPr>
                            <w:pStyle w:val="56"/>
                            <w:ind w:left="0"/>
                            <w:rPr>
                              <w:b w:val="0"/>
                            </w:rPr>
                          </w:pPr>
                          <w:r>
                            <w:rPr>
                              <w:rFonts w:hint="eastAsia"/>
                              <w:b w:val="0"/>
                              <w:color w:val="000000"/>
                              <w:sz w:val="24"/>
                              <w:szCs w:val="24"/>
                            </w:rPr>
                            <w:t>永久基本农田：</w:t>
                          </w:r>
                        </w:p>
                      </w:txbxContent>
                    </v:textbox>
                  </v:rect>
                  <v:rect id="_x0000_s1026" o:spid="_x0000_s1026" o:spt="1" style="position:absolute;left:16440;top:1683158;height:240;width:435;" filled="f" stroked="t" coordsize="21600,21600" o:gfxdata="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dKQVbsAAADa&#10;AAAADwAAAAAAAAABACAAAAAiAAAAZHJzL2Rvd25yZXYueG1sUEsBAhQAFAAAAAgAh07iQDMvBZ47&#10;AAAAOQAAABAAAAAAAAAAAQAgAAAACgEAAGRycy9zaGFwZXhtbC54bWxQSwUGAAAAAAYABgBbAQAA&#10;tAMAAAAA&#10;">
                    <v:fill on="f" focussize="0,0"/>
                    <v:stroke weight="2.25pt" color="#FF0000" joinstyle="miter"/>
                    <v:imagedata o:title=""/>
                    <o:lock v:ext="edit" aspectratio="f"/>
                  </v:rect>
                  <v:shape id="_x0000_s1026" o:spid="_x0000_s1026" style="position:absolute;left:16257;top:1683702;height:240;width:435;" filled="f" stroked="t" coordsize="435,240" o:gfxdata="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Vmno7sAAADa&#10;AAAADwAAAAAAAAABACAAAAAiAAAAZHJzL2Rvd25yZXYueG1sUEsBAhQAFAAAAAgAh07iQDMvBZ47&#10;AAAAOQAAABAAAAAAAAAAAQAgAAAACgEAAGRycy9zaGFwZXhtbC54bWxQSwUGAAAAAAYABgBbAQAA&#10;tAMAAAAA&#10;" path="m217,0nsc337,0,434,54,434,120l217,120xem217,0nfc337,0,434,54,434,120e">
                    <v:path o:connectlocs="217,0;217,120;435,120" o:connectangles="164,123,82"/>
                    <v:fill on="f" focussize="0,0"/>
                    <v:stroke weight="2.25pt" color="#00B050" joinstyle="miter"/>
                    <v:imagedata o:title=""/>
                    <o:lock v:ext="edit" aspectratio="f"/>
                  </v:shape>
                </v:group>
                <v:rect id="_x0000_s1026" o:spid="_x0000_s1026" o:spt="1" style="position:absolute;left:5488;top:1809121;height:240;width:435;" fillcolor="#FFC000" filled="t" stroked="t" coordsize="21600,21600" o:gfxdata="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n57e8AAAA&#10;2wAAAA8AAAAAAAAAAQAgAAAAIgAAAGRycy9kb3ducmV2LnhtbFBLAQIUABQAAAAIAIdO4kAzLwWe&#10;OwAAADkAAAAQAAAAAAAAAAEAIAAAAAsBAABkcnMvc2hhcGV4bWwueG1sUEsFBgAAAAAGAAYAWwEA&#10;ALUDAAAAAA==&#10;">
                  <v:fill on="t" focussize="0,0"/>
                  <v:stroke weight="2.25pt" color="#E46C0A [2409]" joinstyle="miter"/>
                  <v:imagedata o:title=""/>
                  <o:lock v:ext="edit" aspectratio="f"/>
                </v:rect>
              </v:group>
            </w:pict>
          </mc:Fallback>
        </mc:AlternateContent>
      </w:r>
      <w:r>
        <w:rPr>
          <w:color w:val="auto"/>
          <w:highlight w:val="none"/>
        </w:rPr>
        <mc:AlternateContent>
          <mc:Choice Requires="wps">
            <w:drawing>
              <wp:anchor distT="0" distB="0" distL="0" distR="0" simplePos="0" relativeHeight="251669504" behindDoc="0" locked="0" layoutInCell="1" allowOverlap="1">
                <wp:simplePos x="0" y="0"/>
                <wp:positionH relativeFrom="column">
                  <wp:posOffset>554990</wp:posOffset>
                </wp:positionH>
                <wp:positionV relativeFrom="paragraph">
                  <wp:posOffset>3152775</wp:posOffset>
                </wp:positionV>
                <wp:extent cx="869315" cy="427355"/>
                <wp:effectExtent l="0" t="0" r="0" b="0"/>
                <wp:wrapNone/>
                <wp:docPr id="1046" name="文本框 59"/>
                <wp:cNvGraphicFramePr/>
                <a:graphic xmlns:a="http://schemas.openxmlformats.org/drawingml/2006/main">
                  <a:graphicData uri="http://schemas.microsoft.com/office/word/2010/wordprocessingShape">
                    <wps:wsp>
                      <wps:cNvSpPr/>
                      <wps:spPr>
                        <a:xfrm>
                          <a:off x="0" y="0"/>
                          <a:ext cx="869314" cy="427354"/>
                        </a:xfrm>
                        <a:prstGeom prst="rect">
                          <a:avLst/>
                        </a:prstGeom>
                        <a:ln>
                          <a:noFill/>
                        </a:ln>
                      </wps:spPr>
                      <wps:txbx>
                        <w:txbxContent>
                          <w:p w14:paraId="53403CDC">
                            <w:pPr>
                              <w:rPr>
                                <w:highlight w:val="yellow"/>
                              </w:rPr>
                            </w:pPr>
                            <w:r>
                              <w:rPr>
                                <w:rFonts w:hint="eastAsia"/>
                                <w:highlight w:val="yellow"/>
                              </w:rPr>
                              <w:t>在建厂房</w:t>
                            </w:r>
                          </w:p>
                        </w:txbxContent>
                      </wps:txbx>
                      <wps:bodyPr vert="horz" wrap="square" lIns="91440" tIns="45720" rIns="91440" bIns="45720" anchor="t">
                        <a:noAutofit/>
                      </wps:bodyPr>
                    </wps:wsp>
                  </a:graphicData>
                </a:graphic>
              </wp:anchor>
            </w:drawing>
          </mc:Choice>
          <mc:Fallback>
            <w:pict>
              <v:rect id="文本框 59" o:spid="_x0000_s1026" o:spt="1" style="position:absolute;left:0pt;margin-left:43.7pt;margin-top:248.25pt;height:33.65pt;width:68.45pt;z-index:251669504;mso-width-relative:page;mso-height-relative:page;" filled="f" stroked="f" coordsize="21600,21600" o:gfxdata="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aMM33AAAAAoBAAAP&#10;AAAAAAAAAAEAIAAAACIAAABkcnMvZG93bnJldi54bWxQSwECFAAUAAAACACHTuJAozQGrNsBAACj&#10;AwAADgAAAAAAAAABACAAAAArAQAAZHJzL2Uyb0RvYy54bWxQSwUGAAAAAAYABgBZAQAAeAUAAAAA&#10;">
                <v:fill on="f" focussize="0,0"/>
                <v:stroke on="f"/>
                <v:imagedata o:title=""/>
                <o:lock v:ext="edit" aspectratio="f"/>
                <v:textbox>
                  <w:txbxContent>
                    <w:p w14:paraId="53403CDC">
                      <w:pPr>
                        <w:rPr>
                          <w:highlight w:val="yellow"/>
                        </w:rPr>
                      </w:pPr>
                      <w:r>
                        <w:rPr>
                          <w:rFonts w:hint="eastAsia"/>
                          <w:highlight w:val="yellow"/>
                        </w:rPr>
                        <w:t>在建厂房</w:t>
                      </w:r>
                    </w:p>
                  </w:txbxContent>
                </v:textbox>
              </v:rect>
            </w:pict>
          </mc:Fallback>
        </mc:AlternateContent>
      </w:r>
      <w:r>
        <w:rPr>
          <w:color w:val="auto"/>
          <w:highlight w:val="none"/>
        </w:rPr>
        <mc:AlternateContent>
          <mc:Choice Requires="wps">
            <w:drawing>
              <wp:anchor distT="0" distB="0" distL="0" distR="0" simplePos="0" relativeHeight="251666432" behindDoc="0" locked="0" layoutInCell="1" allowOverlap="1">
                <wp:simplePos x="0" y="0"/>
                <wp:positionH relativeFrom="column">
                  <wp:posOffset>4626610</wp:posOffset>
                </wp:positionH>
                <wp:positionV relativeFrom="paragraph">
                  <wp:posOffset>1680845</wp:posOffset>
                </wp:positionV>
                <wp:extent cx="1007745" cy="1866265"/>
                <wp:effectExtent l="9525" t="6350" r="11430" b="13334"/>
                <wp:wrapNone/>
                <wp:docPr id="1043" name="任意多边形 35"/>
                <wp:cNvGraphicFramePr/>
                <a:graphic xmlns:a="http://schemas.openxmlformats.org/drawingml/2006/main">
                  <a:graphicData uri="http://schemas.microsoft.com/office/word/2010/wordprocessingShape">
                    <wps:wsp>
                      <wps:cNvSpPr/>
                      <wps:spPr>
                        <a:xfrm>
                          <a:off x="0" y="0"/>
                          <a:ext cx="1007745" cy="1866265"/>
                        </a:xfrm>
                        <a:custGeom>
                          <a:avLst/>
                          <a:gdLst/>
                          <a:ahLst/>
                          <a:cxnLst/>
                          <a:rect l="l" t="t" r="r" b="b"/>
                          <a:pathLst>
                            <a:path w="1587" h="2939">
                              <a:moveTo>
                                <a:pt x="1048" y="0"/>
                              </a:moveTo>
                              <a:lnTo>
                                <a:pt x="884" y="60"/>
                              </a:lnTo>
                              <a:lnTo>
                                <a:pt x="884" y="157"/>
                              </a:lnTo>
                              <a:lnTo>
                                <a:pt x="1012" y="238"/>
                              </a:lnTo>
                              <a:lnTo>
                                <a:pt x="1150" y="716"/>
                              </a:lnTo>
                              <a:lnTo>
                                <a:pt x="1107" y="797"/>
                              </a:lnTo>
                              <a:lnTo>
                                <a:pt x="1038" y="845"/>
                              </a:lnTo>
                              <a:lnTo>
                                <a:pt x="815" y="936"/>
                              </a:lnTo>
                              <a:lnTo>
                                <a:pt x="643" y="1386"/>
                              </a:lnTo>
                              <a:lnTo>
                                <a:pt x="643" y="1504"/>
                              </a:lnTo>
                              <a:lnTo>
                                <a:pt x="643" y="1634"/>
                              </a:lnTo>
                              <a:lnTo>
                                <a:pt x="558" y="1634"/>
                              </a:lnTo>
                              <a:lnTo>
                                <a:pt x="507" y="1814"/>
                              </a:lnTo>
                              <a:lnTo>
                                <a:pt x="600" y="2004"/>
                              </a:lnTo>
                              <a:lnTo>
                                <a:pt x="523" y="2083"/>
                              </a:lnTo>
                              <a:lnTo>
                                <a:pt x="515" y="2293"/>
                              </a:lnTo>
                              <a:lnTo>
                                <a:pt x="438" y="2321"/>
                              </a:lnTo>
                              <a:lnTo>
                                <a:pt x="360" y="2332"/>
                              </a:lnTo>
                              <a:lnTo>
                                <a:pt x="300" y="2311"/>
                              </a:lnTo>
                              <a:lnTo>
                                <a:pt x="244" y="2357"/>
                              </a:lnTo>
                              <a:lnTo>
                                <a:pt x="215" y="2402"/>
                              </a:lnTo>
                              <a:lnTo>
                                <a:pt x="120" y="2432"/>
                              </a:lnTo>
                              <a:lnTo>
                                <a:pt x="78" y="2721"/>
                              </a:lnTo>
                              <a:lnTo>
                                <a:pt x="0" y="2939"/>
                              </a:lnTo>
                              <a:lnTo>
                                <a:pt x="1260" y="2702"/>
                              </a:lnTo>
                              <a:lnTo>
                                <a:pt x="1278" y="2143"/>
                              </a:lnTo>
                              <a:lnTo>
                                <a:pt x="1210" y="2032"/>
                              </a:lnTo>
                              <a:lnTo>
                                <a:pt x="1124" y="2023"/>
                              </a:lnTo>
                              <a:lnTo>
                                <a:pt x="1090" y="1892"/>
                              </a:lnTo>
                              <a:lnTo>
                                <a:pt x="1124" y="1843"/>
                              </a:lnTo>
                              <a:lnTo>
                                <a:pt x="1124" y="1693"/>
                              </a:lnTo>
                              <a:lnTo>
                                <a:pt x="1140" y="1595"/>
                              </a:lnTo>
                              <a:lnTo>
                                <a:pt x="1278" y="1525"/>
                              </a:lnTo>
                              <a:lnTo>
                                <a:pt x="1441" y="1106"/>
                              </a:lnTo>
                              <a:lnTo>
                                <a:pt x="1441" y="818"/>
                              </a:lnTo>
                              <a:lnTo>
                                <a:pt x="1501" y="418"/>
                              </a:lnTo>
                              <a:lnTo>
                                <a:pt x="1570" y="169"/>
                              </a:lnTo>
                              <a:lnTo>
                                <a:pt x="1587" y="69"/>
                              </a:lnTo>
                              <a:lnTo>
                                <a:pt x="1048" y="0"/>
                              </a:lnTo>
                              <a:close/>
                            </a:path>
                          </a:pathLst>
                        </a:custGeom>
                        <a:solidFill>
                          <a:srgbClr val="FFC000"/>
                        </a:solidFill>
                        <a:ln w="12700" cap="flat" cmpd="sng">
                          <a:solidFill>
                            <a:srgbClr val="ED7D31"/>
                          </a:solidFill>
                          <a:prstDash val="solid"/>
                          <a:miter/>
                        </a:ln>
                      </wps:spPr>
                      <wps:bodyPr/>
                    </wps:wsp>
                  </a:graphicData>
                </a:graphic>
              </wp:anchor>
            </w:drawing>
          </mc:Choice>
          <mc:Fallback>
            <w:pict>
              <v:shape id="任意多边形 35" o:spid="_x0000_s1026" o:spt="100" style="position:absolute;left:0pt;margin-left:364.3pt;margin-top:132.35pt;height:146.95pt;width:79.35pt;z-index:251666432;mso-width-relative:page;mso-height-relative:page;" fillcolor="#FFC000" filled="t" stroked="t" coordsize="1587,2939" o:gfxdata="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" path="m1048,0l884,60,884,157,1012,238,1150,716,1107,797,1038,845,815,936,643,1386,643,1504,643,1634,558,1634,507,1814,600,2004,523,2083,515,2293,438,2321,360,2332,300,2311,244,2357,215,2402,120,2432,78,2721,0,2939,1260,2702,1278,2143,1210,2032,1124,2023,1090,1892,1124,1843,1124,1693,1140,1595,1278,1525,1441,1106,1441,818,1501,418,1570,169,1587,69,1048,0xe">
                <v:fill on="t" focussize="0,0"/>
                <v:stroke weight="1pt" color="#ED7D31" joinstyle="miter"/>
                <v:imagedata o:title=""/>
                <o:lock v:ext="edit" aspectratio="f"/>
              </v:shape>
            </w:pict>
          </mc:Fallback>
        </mc:AlternateContent>
      </w:r>
      <w:r>
        <w:rPr>
          <w:color w:val="auto"/>
          <w:highlight w:val="none"/>
        </w:rPr>
        <w:drawing>
          <wp:anchor distT="0" distB="0" distL="0" distR="0" simplePos="0" relativeHeight="251672576" behindDoc="0" locked="0" layoutInCell="1" allowOverlap="1">
            <wp:simplePos x="0" y="0"/>
            <wp:positionH relativeFrom="column">
              <wp:posOffset>4944745</wp:posOffset>
            </wp:positionH>
            <wp:positionV relativeFrom="paragraph">
              <wp:posOffset>45085</wp:posOffset>
            </wp:positionV>
            <wp:extent cx="972185" cy="1001395"/>
            <wp:effectExtent l="9525" t="9525" r="27940" b="17780"/>
            <wp:wrapNone/>
            <wp:docPr id="1050" name="图片 4"/>
            <wp:cNvGraphicFramePr/>
            <a:graphic xmlns:a="http://schemas.openxmlformats.org/drawingml/2006/main">
              <a:graphicData uri="http://schemas.openxmlformats.org/drawingml/2006/picture">
                <pic:pic xmlns:pic="http://schemas.openxmlformats.org/drawingml/2006/picture">
                  <pic:nvPicPr>
                    <pic:cNvPr id="1050" name="图片 4"/>
                    <pic:cNvPicPr/>
                  </pic:nvPicPr>
                  <pic:blipFill>
                    <a:blip r:embed="rId34" cstate="print"/>
                    <a:srcRect/>
                    <a:stretch>
                      <a:fillRect/>
                    </a:stretch>
                  </pic:blipFill>
                  <pic:spPr>
                    <a:xfrm>
                      <a:off x="0" y="0"/>
                      <a:ext cx="972184" cy="1001395"/>
                    </a:xfrm>
                    <a:prstGeom prst="rect">
                      <a:avLst/>
                    </a:prstGeom>
                    <a:ln w="9525" cap="flat" cmpd="sng">
                      <a:solidFill>
                        <a:srgbClr val="000000"/>
                      </a:solidFill>
                      <a:prstDash val="solid"/>
                      <a:round/>
                    </a:ln>
                  </pic:spPr>
                </pic:pic>
              </a:graphicData>
            </a:graphic>
          </wp:anchor>
        </w:drawing>
      </w:r>
      <w:r>
        <w:rPr>
          <w:color w:val="auto"/>
          <w:highlight w:val="none"/>
        </w:rPr>
        <mc:AlternateContent>
          <mc:Choice Requires="wps">
            <w:drawing>
              <wp:anchor distT="0" distB="0" distL="0" distR="0" simplePos="0" relativeHeight="251664384" behindDoc="0" locked="0" layoutInCell="1" allowOverlap="1">
                <wp:simplePos x="0" y="0"/>
                <wp:positionH relativeFrom="column">
                  <wp:posOffset>4231640</wp:posOffset>
                </wp:positionH>
                <wp:positionV relativeFrom="paragraph">
                  <wp:posOffset>2391410</wp:posOffset>
                </wp:positionV>
                <wp:extent cx="495300" cy="427355"/>
                <wp:effectExtent l="0" t="0" r="0" b="0"/>
                <wp:wrapNone/>
                <wp:docPr id="1036" name="文本框 104"/>
                <wp:cNvGraphicFramePr/>
                <a:graphic xmlns:a="http://schemas.openxmlformats.org/drawingml/2006/main">
                  <a:graphicData uri="http://schemas.microsoft.com/office/word/2010/wordprocessingShape">
                    <wps:wsp>
                      <wps:cNvSpPr/>
                      <wps:spPr>
                        <a:xfrm>
                          <a:off x="0" y="0"/>
                          <a:ext cx="495300" cy="427355"/>
                        </a:xfrm>
                        <a:prstGeom prst="rect">
                          <a:avLst/>
                        </a:prstGeom>
                        <a:ln>
                          <a:noFill/>
                        </a:ln>
                      </wps:spPr>
                      <wps:txbx>
                        <w:txbxContent>
                          <w:p w14:paraId="5C02E415">
                            <w:pPr>
                              <w:rPr>
                                <w:highlight w:val="yellow"/>
                              </w:rPr>
                            </w:pPr>
                            <w:r>
                              <w:rPr>
                                <w:rFonts w:hint="eastAsia"/>
                                <w:highlight w:val="yellow"/>
                              </w:rPr>
                              <w:t>空地</w:t>
                            </w:r>
                          </w:p>
                        </w:txbxContent>
                      </wps:txbx>
                      <wps:bodyPr vert="horz" wrap="square" lIns="91440" tIns="45720" rIns="91440" bIns="45720" anchor="t">
                        <a:noAutofit/>
                      </wps:bodyPr>
                    </wps:wsp>
                  </a:graphicData>
                </a:graphic>
              </wp:anchor>
            </w:drawing>
          </mc:Choice>
          <mc:Fallback>
            <w:pict>
              <v:rect id="文本框 104" o:spid="_x0000_s1026" o:spt="1" style="position:absolute;left:0pt;margin-left:333.2pt;margin-top:188.3pt;height:33.65pt;width:39pt;z-index:251664384;mso-width-relative:page;mso-height-relative:page;" filled="f" stroked="f" coordsize="21600,21600" o:gfxdata="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65hydsAAAALAQAADwAA&#10;AAAAAAABACAAAAAiAAAAZHJzL2Rvd25yZXYueG1sUEsBAhQAFAAAAAgAh07iQHIMPTzaAQAApAMA&#10;AA4AAAAAAAAAAQAgAAAAKgEAAGRycy9lMm9Eb2MueG1sUEsFBgAAAAAGAAYAWQEAAHYFAAAAAA==&#10;">
                <v:fill on="f" focussize="0,0"/>
                <v:stroke on="f"/>
                <v:imagedata o:title=""/>
                <o:lock v:ext="edit" aspectratio="f"/>
                <v:textbox>
                  <w:txbxContent>
                    <w:p w14:paraId="5C02E415">
                      <w:pPr>
                        <w:rPr>
                          <w:highlight w:val="yellow"/>
                        </w:rPr>
                      </w:pPr>
                      <w:r>
                        <w:rPr>
                          <w:rFonts w:hint="eastAsia"/>
                          <w:highlight w:val="yellow"/>
                        </w:rPr>
                        <w:t>空地</w:t>
                      </w:r>
                    </w:p>
                  </w:txbxContent>
                </v:textbox>
              </v:rect>
            </w:pict>
          </mc:Fallback>
        </mc:AlternateContent>
      </w:r>
      <w:r>
        <w:rPr>
          <w:color w:val="auto"/>
          <w:highlight w:val="none"/>
        </w:rPr>
        <mc:AlternateContent>
          <mc:Choice Requires="wps">
            <w:drawing>
              <wp:anchor distT="0" distB="0" distL="0" distR="0" simplePos="0" relativeHeight="251665408" behindDoc="0" locked="0" layoutInCell="1" allowOverlap="1">
                <wp:simplePos x="0" y="0"/>
                <wp:positionH relativeFrom="column">
                  <wp:posOffset>4358005</wp:posOffset>
                </wp:positionH>
                <wp:positionV relativeFrom="paragraph">
                  <wp:posOffset>1592580</wp:posOffset>
                </wp:positionV>
                <wp:extent cx="879475" cy="1874520"/>
                <wp:effectExtent l="8255" t="7620" r="7620" b="22860"/>
                <wp:wrapNone/>
                <wp:docPr id="1042" name="任意多边形 34"/>
                <wp:cNvGraphicFramePr/>
                <a:graphic xmlns:a="http://schemas.openxmlformats.org/drawingml/2006/main">
                  <a:graphicData uri="http://schemas.microsoft.com/office/word/2010/wordprocessingShape">
                    <wps:wsp>
                      <wps:cNvSpPr/>
                      <wps:spPr>
                        <a:xfrm>
                          <a:off x="0" y="0"/>
                          <a:ext cx="879475" cy="1874520"/>
                        </a:xfrm>
                        <a:custGeom>
                          <a:avLst/>
                          <a:gdLst/>
                          <a:ahLst/>
                          <a:cxnLst/>
                          <a:rect l="l" t="t" r="r" b="b"/>
                          <a:pathLst>
                            <a:path w="1385" h="2952">
                              <a:moveTo>
                                <a:pt x="844" y="0"/>
                              </a:moveTo>
                              <a:lnTo>
                                <a:pt x="1241" y="78"/>
                              </a:lnTo>
                              <a:lnTo>
                                <a:pt x="1155" y="164"/>
                              </a:lnTo>
                              <a:lnTo>
                                <a:pt x="1115" y="214"/>
                              </a:lnTo>
                              <a:lnTo>
                                <a:pt x="1115" y="300"/>
                              </a:lnTo>
                              <a:lnTo>
                                <a:pt x="1115" y="351"/>
                              </a:lnTo>
                              <a:lnTo>
                                <a:pt x="1186" y="351"/>
                              </a:lnTo>
                              <a:lnTo>
                                <a:pt x="1226" y="380"/>
                              </a:lnTo>
                              <a:lnTo>
                                <a:pt x="1385" y="810"/>
                              </a:lnTo>
                              <a:lnTo>
                                <a:pt x="1226" y="983"/>
                              </a:lnTo>
                              <a:lnTo>
                                <a:pt x="1091" y="1051"/>
                              </a:lnTo>
                              <a:lnTo>
                                <a:pt x="972" y="1383"/>
                              </a:lnTo>
                              <a:lnTo>
                                <a:pt x="892" y="1434"/>
                              </a:lnTo>
                              <a:lnTo>
                                <a:pt x="917" y="1629"/>
                              </a:lnTo>
                              <a:lnTo>
                                <a:pt x="789" y="1745"/>
                              </a:lnTo>
                              <a:lnTo>
                                <a:pt x="781" y="1921"/>
                              </a:lnTo>
                              <a:lnTo>
                                <a:pt x="722" y="2074"/>
                              </a:lnTo>
                              <a:lnTo>
                                <a:pt x="741" y="2212"/>
                              </a:lnTo>
                              <a:lnTo>
                                <a:pt x="736" y="2331"/>
                              </a:lnTo>
                              <a:lnTo>
                                <a:pt x="677" y="2389"/>
                              </a:lnTo>
                              <a:lnTo>
                                <a:pt x="643" y="2388"/>
                              </a:lnTo>
                              <a:lnTo>
                                <a:pt x="565" y="2431"/>
                              </a:lnTo>
                              <a:lnTo>
                                <a:pt x="503" y="2330"/>
                              </a:lnTo>
                              <a:lnTo>
                                <a:pt x="458" y="2388"/>
                              </a:lnTo>
                              <a:lnTo>
                                <a:pt x="391" y="2457"/>
                              </a:lnTo>
                              <a:lnTo>
                                <a:pt x="320" y="2526"/>
                              </a:lnTo>
                              <a:lnTo>
                                <a:pt x="265" y="2595"/>
                              </a:lnTo>
                              <a:lnTo>
                                <a:pt x="186" y="2724"/>
                              </a:lnTo>
                              <a:lnTo>
                                <a:pt x="143" y="2952"/>
                              </a:lnTo>
                              <a:lnTo>
                                <a:pt x="0" y="2895"/>
                              </a:lnTo>
                              <a:lnTo>
                                <a:pt x="312" y="2154"/>
                              </a:lnTo>
                              <a:lnTo>
                                <a:pt x="487" y="1939"/>
                              </a:lnTo>
                              <a:lnTo>
                                <a:pt x="550" y="1629"/>
                              </a:lnTo>
                              <a:lnTo>
                                <a:pt x="479" y="1219"/>
                              </a:lnTo>
                              <a:lnTo>
                                <a:pt x="550" y="1003"/>
                              </a:lnTo>
                              <a:lnTo>
                                <a:pt x="550" y="846"/>
                              </a:lnTo>
                              <a:lnTo>
                                <a:pt x="654" y="380"/>
                              </a:lnTo>
                              <a:lnTo>
                                <a:pt x="741" y="369"/>
                              </a:lnTo>
                              <a:lnTo>
                                <a:pt x="844" y="0"/>
                              </a:lnTo>
                              <a:close/>
                            </a:path>
                          </a:pathLst>
                        </a:custGeom>
                        <a:solidFill>
                          <a:srgbClr val="FFC000"/>
                        </a:solidFill>
                        <a:ln w="12700" cap="flat" cmpd="sng">
                          <a:solidFill>
                            <a:srgbClr val="ED7D31"/>
                          </a:solidFill>
                          <a:prstDash val="solid"/>
                          <a:miter/>
                        </a:ln>
                      </wps:spPr>
                      <wps:bodyPr/>
                    </wps:wsp>
                  </a:graphicData>
                </a:graphic>
              </wp:anchor>
            </w:drawing>
          </mc:Choice>
          <mc:Fallback>
            <w:pict>
              <v:shape id="任意多边形 34" o:spid="_x0000_s1026" o:spt="100" style="position:absolute;left:0pt;margin-left:343.15pt;margin-top:125.4pt;height:147.6pt;width:69.25pt;z-index:251665408;mso-width-relative:page;mso-height-relative:page;" fillcolor="#FFC000" filled="t" stroked="t" coordsize="1385,2952" o:gfxdata="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D2GJxDaAAAACwEAAA8AAAAAAAAAAQAgAAAAIgAA&#10;AGRycy9kb3ducmV2LnhtbFBLAQIUABQAAAAIAIdO4kDNWmpjXAMAAHwKAAAOAAAAAAAAAAEAIAAA&#10;ACkBAABkcnMvZTJvRG9jLnhtbFBLBQYAAAAABgAGAFkBAAD3BgAAAAA=&#10;" path="m844,0l1241,78,1155,164,1115,214,1115,300,1115,351,1186,351,1226,380,1385,810,1226,983,1091,1051,972,1383,892,1434,917,1629,789,1745,781,1921,722,2074,741,2212,736,2331,677,2389,643,2388,565,2431,503,2330,458,2388,391,2457,320,2526,265,2595,186,2724,143,2952,0,2895,312,2154,487,1939,550,1629,479,1219,550,1003,550,846,654,380,741,369,844,0xe">
                <v:fill on="t" focussize="0,0"/>
                <v:stroke weight="1pt" color="#ED7D31" joinstyle="miter"/>
                <v:imagedata o:title=""/>
                <o:lock v:ext="edit" aspectratio="f"/>
              </v:shape>
            </w:pict>
          </mc:Fallback>
        </mc:AlternateContent>
      </w:r>
      <w:r>
        <w:rPr>
          <w:color w:val="auto"/>
          <w:highlight w:val="none"/>
        </w:rPr>
        <mc:AlternateContent>
          <mc:Choice Requires="wps">
            <w:drawing>
              <wp:anchor distT="0" distB="0" distL="0" distR="0" simplePos="0" relativeHeight="251667456" behindDoc="0" locked="0" layoutInCell="1" allowOverlap="1">
                <wp:simplePos x="0" y="0"/>
                <wp:positionH relativeFrom="column">
                  <wp:posOffset>4308475</wp:posOffset>
                </wp:positionH>
                <wp:positionV relativeFrom="paragraph">
                  <wp:posOffset>3692525</wp:posOffset>
                </wp:positionV>
                <wp:extent cx="1123315" cy="1927860"/>
                <wp:effectExtent l="6985" t="8255" r="12700" b="6985"/>
                <wp:wrapNone/>
                <wp:docPr id="1044" name="任意多边形 37"/>
                <wp:cNvGraphicFramePr/>
                <a:graphic xmlns:a="http://schemas.openxmlformats.org/drawingml/2006/main">
                  <a:graphicData uri="http://schemas.microsoft.com/office/word/2010/wordprocessingShape">
                    <wps:wsp>
                      <wps:cNvSpPr/>
                      <wps:spPr>
                        <a:xfrm>
                          <a:off x="0" y="0"/>
                          <a:ext cx="1123315" cy="1927859"/>
                        </a:xfrm>
                        <a:custGeom>
                          <a:avLst/>
                          <a:gdLst/>
                          <a:ahLst/>
                          <a:cxnLst/>
                          <a:rect l="l" t="t" r="r" b="b"/>
                          <a:pathLst>
                            <a:path w="875030" h="1447800">
                              <a:moveTo>
                                <a:pt x="104140" y="177800"/>
                              </a:moveTo>
                              <a:lnTo>
                                <a:pt x="172085" y="150495"/>
                              </a:lnTo>
                              <a:lnTo>
                                <a:pt x="254000" y="95250"/>
                              </a:lnTo>
                              <a:lnTo>
                                <a:pt x="743585" y="0"/>
                              </a:lnTo>
                              <a:lnTo>
                                <a:pt x="716280" y="217805"/>
                              </a:lnTo>
                              <a:lnTo>
                                <a:pt x="720725" y="290830"/>
                              </a:lnTo>
                              <a:lnTo>
                                <a:pt x="766445" y="436245"/>
                              </a:lnTo>
                              <a:lnTo>
                                <a:pt x="875030" y="844550"/>
                              </a:lnTo>
                              <a:lnTo>
                                <a:pt x="770890" y="852805"/>
                              </a:lnTo>
                              <a:lnTo>
                                <a:pt x="825500" y="1035050"/>
                              </a:lnTo>
                              <a:lnTo>
                                <a:pt x="861695" y="1025525"/>
                              </a:lnTo>
                              <a:lnTo>
                                <a:pt x="825500" y="1098550"/>
                              </a:lnTo>
                              <a:lnTo>
                                <a:pt x="825500" y="1170305"/>
                              </a:lnTo>
                              <a:lnTo>
                                <a:pt x="875030" y="1392555"/>
                              </a:lnTo>
                              <a:lnTo>
                                <a:pt x="607695" y="1424305"/>
                              </a:lnTo>
                              <a:lnTo>
                                <a:pt x="607695" y="1352550"/>
                              </a:lnTo>
                              <a:lnTo>
                                <a:pt x="544195" y="1338580"/>
                              </a:lnTo>
                              <a:lnTo>
                                <a:pt x="521335" y="1365250"/>
                              </a:lnTo>
                              <a:lnTo>
                                <a:pt x="508000" y="1416050"/>
                              </a:lnTo>
                              <a:lnTo>
                                <a:pt x="534670" y="1447800"/>
                              </a:lnTo>
                              <a:lnTo>
                                <a:pt x="448945" y="1443355"/>
                              </a:lnTo>
                              <a:lnTo>
                                <a:pt x="421640" y="1306830"/>
                              </a:lnTo>
                              <a:lnTo>
                                <a:pt x="385445" y="1270000"/>
                              </a:lnTo>
                              <a:lnTo>
                                <a:pt x="276225" y="1360805"/>
                              </a:lnTo>
                              <a:lnTo>
                                <a:pt x="271780" y="1379855"/>
                              </a:lnTo>
                              <a:lnTo>
                                <a:pt x="194945" y="1352550"/>
                              </a:lnTo>
                              <a:lnTo>
                                <a:pt x="176530" y="1257300"/>
                              </a:lnTo>
                              <a:lnTo>
                                <a:pt x="163195" y="1170305"/>
                              </a:lnTo>
                              <a:lnTo>
                                <a:pt x="226695" y="889000"/>
                              </a:lnTo>
                              <a:lnTo>
                                <a:pt x="49530" y="630555"/>
                              </a:lnTo>
                              <a:lnTo>
                                <a:pt x="40640" y="517525"/>
                              </a:lnTo>
                              <a:lnTo>
                                <a:pt x="0" y="408305"/>
                              </a:lnTo>
                              <a:lnTo>
                                <a:pt x="53975" y="327025"/>
                              </a:lnTo>
                              <a:lnTo>
                                <a:pt x="58420" y="209550"/>
                              </a:lnTo>
                              <a:lnTo>
                                <a:pt x="104140" y="177800"/>
                              </a:lnTo>
                              <a:close/>
                            </a:path>
                          </a:pathLst>
                        </a:custGeom>
                        <a:solidFill>
                          <a:srgbClr val="FFC000"/>
                        </a:solidFill>
                        <a:ln w="12700" cap="flat" cmpd="sng">
                          <a:solidFill>
                            <a:srgbClr val="ED7D31"/>
                          </a:solidFill>
                          <a:prstDash val="solid"/>
                          <a:miter/>
                        </a:ln>
                      </wps:spPr>
                      <wps:bodyPr/>
                    </wps:wsp>
                  </a:graphicData>
                </a:graphic>
              </wp:anchor>
            </w:drawing>
          </mc:Choice>
          <mc:Fallback>
            <w:pict>
              <v:shape id="任意多边形 37" o:spid="_x0000_s1026" o:spt="100" style="position:absolute;left:0pt;margin-left:339.25pt;margin-top:290.75pt;height:151.8pt;width:88.45pt;z-index:251667456;mso-width-relative:page;mso-height-relative:page;" fillcolor="#FFC000" filled="t" stroked="t" coordsize="875030,1447800" o:gfxdata="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" path="m104140,177800l172085,150495,254000,95250,743585,0,716280,217805,720725,290830,766445,436245,875030,844550,770890,852805,825500,1035050,861695,1025525,825500,1098550,825500,1170305,875030,1392555,607695,1424305,607695,1352550,544195,1338580,521335,1365250,508000,1416050,534670,1447800,448945,1443355,421640,1306830,385445,1270000,276225,1360805,271780,1379855,194945,1352550,176530,1257300,163195,1170305,226695,889000,49530,630555,40640,517525,0,408305,53975,327025,58420,209550,104140,177800xe">
                <v:fill on="t" focussize="0,0"/>
                <v:stroke weight="1pt" color="#ED7D31" joinstyle="miter"/>
                <v:imagedata o:title=""/>
                <o:lock v:ext="edit" aspectratio="f"/>
              </v:shape>
            </w:pict>
          </mc:Fallback>
        </mc:AlternateContent>
      </w:r>
      <w:r>
        <w:rPr>
          <w:color w:val="auto"/>
          <w:highlight w:val="none"/>
        </w:rPr>
        <mc:AlternateContent>
          <mc:Choice Requires="wps">
            <w:drawing>
              <wp:anchor distT="0" distB="0" distL="0" distR="0" simplePos="0" relativeHeight="251668480" behindDoc="0" locked="0" layoutInCell="1" allowOverlap="1">
                <wp:simplePos x="0" y="0"/>
                <wp:positionH relativeFrom="column">
                  <wp:posOffset>4254500</wp:posOffset>
                </wp:positionH>
                <wp:positionV relativeFrom="paragraph">
                  <wp:posOffset>1334135</wp:posOffset>
                </wp:positionV>
                <wp:extent cx="1113155" cy="4241800"/>
                <wp:effectExtent l="6985" t="635" r="22860" b="5715"/>
                <wp:wrapNone/>
                <wp:docPr id="1045" name="任意多边形 13"/>
                <wp:cNvGraphicFramePr/>
                <a:graphic xmlns:a="http://schemas.openxmlformats.org/drawingml/2006/main">
                  <a:graphicData uri="http://schemas.microsoft.com/office/word/2010/wordprocessingShape">
                    <wps:wsp>
                      <wps:cNvSpPr/>
                      <wps:spPr>
                        <a:xfrm>
                          <a:off x="0" y="0"/>
                          <a:ext cx="1113154" cy="4241800"/>
                        </a:xfrm>
                        <a:custGeom>
                          <a:avLst/>
                          <a:gdLst/>
                          <a:ahLst/>
                          <a:cxnLst/>
                          <a:rect l="l" t="t" r="r" b="b"/>
                          <a:pathLst>
                            <a:path w="1753" h="6680">
                              <a:moveTo>
                                <a:pt x="1753" y="0"/>
                              </a:moveTo>
                              <a:lnTo>
                                <a:pt x="1730" y="358"/>
                              </a:lnTo>
                              <a:lnTo>
                                <a:pt x="1650" y="485"/>
                              </a:lnTo>
                              <a:lnTo>
                                <a:pt x="1500" y="530"/>
                              </a:lnTo>
                              <a:lnTo>
                                <a:pt x="1419" y="623"/>
                              </a:lnTo>
                              <a:lnTo>
                                <a:pt x="1534" y="750"/>
                              </a:lnTo>
                              <a:lnTo>
                                <a:pt x="1638" y="1073"/>
                              </a:lnTo>
                              <a:lnTo>
                                <a:pt x="1673" y="1235"/>
                              </a:lnTo>
                              <a:lnTo>
                                <a:pt x="1534" y="1338"/>
                              </a:lnTo>
                              <a:lnTo>
                                <a:pt x="1350" y="1500"/>
                              </a:lnTo>
                              <a:lnTo>
                                <a:pt x="1234" y="1685"/>
                              </a:lnTo>
                              <a:lnTo>
                                <a:pt x="1223" y="1858"/>
                              </a:lnTo>
                              <a:lnTo>
                                <a:pt x="1176" y="1985"/>
                              </a:lnTo>
                              <a:lnTo>
                                <a:pt x="1061" y="2065"/>
                              </a:lnTo>
                              <a:lnTo>
                                <a:pt x="980" y="2145"/>
                              </a:lnTo>
                              <a:lnTo>
                                <a:pt x="946" y="2400"/>
                              </a:lnTo>
                              <a:lnTo>
                                <a:pt x="980" y="2562"/>
                              </a:lnTo>
                              <a:lnTo>
                                <a:pt x="934" y="2630"/>
                              </a:lnTo>
                              <a:lnTo>
                                <a:pt x="980" y="2803"/>
                              </a:lnTo>
                              <a:lnTo>
                                <a:pt x="853" y="2827"/>
                              </a:lnTo>
                              <a:lnTo>
                                <a:pt x="792" y="2859"/>
                              </a:lnTo>
                              <a:lnTo>
                                <a:pt x="728" y="2952"/>
                              </a:lnTo>
                              <a:lnTo>
                                <a:pt x="611" y="2827"/>
                              </a:lnTo>
                              <a:lnTo>
                                <a:pt x="507" y="2977"/>
                              </a:lnTo>
                              <a:lnTo>
                                <a:pt x="403" y="3115"/>
                              </a:lnTo>
                              <a:lnTo>
                                <a:pt x="346" y="3335"/>
                              </a:lnTo>
                              <a:lnTo>
                                <a:pt x="311" y="3530"/>
                              </a:lnTo>
                              <a:lnTo>
                                <a:pt x="357" y="3668"/>
                              </a:lnTo>
                              <a:lnTo>
                                <a:pt x="426" y="3818"/>
                              </a:lnTo>
                              <a:lnTo>
                                <a:pt x="519" y="3923"/>
                              </a:lnTo>
                              <a:lnTo>
                                <a:pt x="403" y="3935"/>
                              </a:lnTo>
                              <a:lnTo>
                                <a:pt x="219" y="4062"/>
                              </a:lnTo>
                              <a:lnTo>
                                <a:pt x="138" y="4315"/>
                              </a:lnTo>
                              <a:lnTo>
                                <a:pt x="0" y="4603"/>
                              </a:lnTo>
                              <a:lnTo>
                                <a:pt x="80" y="4753"/>
                              </a:lnTo>
                              <a:lnTo>
                                <a:pt x="57" y="4973"/>
                              </a:lnTo>
                              <a:lnTo>
                                <a:pt x="103" y="5112"/>
                              </a:lnTo>
                              <a:lnTo>
                                <a:pt x="334" y="5295"/>
                              </a:lnTo>
                              <a:lnTo>
                                <a:pt x="415" y="5642"/>
                              </a:lnTo>
                              <a:lnTo>
                                <a:pt x="415" y="5850"/>
                              </a:lnTo>
                              <a:lnTo>
                                <a:pt x="346" y="6058"/>
                              </a:lnTo>
                              <a:lnTo>
                                <a:pt x="346" y="6380"/>
                              </a:lnTo>
                              <a:lnTo>
                                <a:pt x="519" y="6680"/>
                              </a:lnTo>
                            </a:path>
                          </a:pathLst>
                        </a:custGeom>
                        <a:ln w="12700" cap="flat" cmpd="sng">
                          <a:solidFill>
                            <a:srgbClr val="00B050"/>
                          </a:solidFill>
                          <a:prstDash val="solid"/>
                          <a:miter/>
                        </a:ln>
                      </wps:spPr>
                      <wps:bodyPr/>
                    </wps:wsp>
                  </a:graphicData>
                </a:graphic>
              </wp:anchor>
            </w:drawing>
          </mc:Choice>
          <mc:Fallback>
            <w:pict>
              <v:shape id="任意多边形 13" o:spid="_x0000_s1026" o:spt="100" style="position:absolute;left:0pt;margin-left:335pt;margin-top:105.05pt;height:334pt;width:87.65pt;z-index:251668480;mso-width-relative:page;mso-height-relative:page;" filled="f" stroked="t" coordsize="1753,6680" o:gfxdata="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" path="m1753,0l1730,358,1650,485,1500,530,1419,623,1534,750,1638,1073,1673,1235,1534,1338,1350,1500,1234,1685,1223,1858,1176,1985,1061,2065,980,2145,946,2400,980,2562,934,2630,980,2803,853,2827,792,2859,728,2952,611,2827,507,2977,403,3115,346,3335,311,3530,357,3668,426,3818,519,3923,403,3935,219,4062,138,4315,0,4603,80,4753,57,4973,103,5112,334,5295,415,5642,415,5850,346,6058,346,6380,519,6680e">
                <v:fill on="f" focussize="0,0"/>
                <v:stroke weight="1pt" color="#00B050" joinstyle="miter"/>
                <v:imagedata o:title=""/>
                <o:lock v:ext="edit" aspectratio="f"/>
              </v:shape>
            </w:pict>
          </mc:Fallback>
        </mc:AlternateContent>
      </w:r>
      <w:r>
        <w:rPr>
          <w:color w:val="auto"/>
          <w:highlight w:val="none"/>
        </w:rPr>
        <mc:AlternateContent>
          <mc:Choice Requires="wps">
            <w:drawing>
              <wp:anchor distT="0" distB="0" distL="0" distR="0" simplePos="0" relativeHeight="251670528" behindDoc="0" locked="0" layoutInCell="1" allowOverlap="1">
                <wp:simplePos x="0" y="0"/>
                <wp:positionH relativeFrom="column">
                  <wp:posOffset>2347595</wp:posOffset>
                </wp:positionH>
                <wp:positionV relativeFrom="paragraph">
                  <wp:posOffset>4471035</wp:posOffset>
                </wp:positionV>
                <wp:extent cx="981075" cy="427355"/>
                <wp:effectExtent l="0" t="0" r="0" b="0"/>
                <wp:wrapNone/>
                <wp:docPr id="1047" name="文本框 113"/>
                <wp:cNvGraphicFramePr/>
                <a:graphic xmlns:a="http://schemas.openxmlformats.org/drawingml/2006/main">
                  <a:graphicData uri="http://schemas.microsoft.com/office/word/2010/wordprocessingShape">
                    <wps:wsp>
                      <wps:cNvSpPr/>
                      <wps:spPr>
                        <a:xfrm>
                          <a:off x="0" y="0"/>
                          <a:ext cx="981074" cy="427354"/>
                        </a:xfrm>
                        <a:prstGeom prst="rect">
                          <a:avLst/>
                        </a:prstGeom>
                        <a:ln>
                          <a:noFill/>
                        </a:ln>
                      </wps:spPr>
                      <wps:txbx>
                        <w:txbxContent>
                          <w:p w14:paraId="1455042B">
                            <w:pPr>
                              <w:rPr>
                                <w:highlight w:val="yellow"/>
                              </w:rPr>
                            </w:pPr>
                            <w:r>
                              <w:rPr>
                                <w:rFonts w:hint="eastAsia"/>
                                <w:highlight w:val="yellow"/>
                              </w:rPr>
                              <w:t>闲置厂房</w:t>
                            </w:r>
                          </w:p>
                        </w:txbxContent>
                      </wps:txbx>
                      <wps:bodyPr vert="horz" wrap="square" lIns="91440" tIns="45720" rIns="91440" bIns="45720" anchor="t">
                        <a:noAutofit/>
                      </wps:bodyPr>
                    </wps:wsp>
                  </a:graphicData>
                </a:graphic>
              </wp:anchor>
            </w:drawing>
          </mc:Choice>
          <mc:Fallback>
            <w:pict>
              <v:rect id="文本框 113" o:spid="_x0000_s1026" o:spt="1" style="position:absolute;left:0pt;margin-left:184.85pt;margin-top:352.05pt;height:33.65pt;width:77.25pt;z-index:251670528;mso-width-relative:page;mso-height-relative:page;" filled="f" stroked="f" coordsize="21600,21600" o:gfxdata="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lRQuW3AAAAAsBAAAP&#10;AAAAAAAAAAEAIAAAACIAAABkcnMvZG93bnJldi54bWxQSwECFAAUAAAACACHTuJACaYdDtsBAACk&#10;AwAADgAAAAAAAAABACAAAAArAQAAZHJzL2Uyb0RvYy54bWxQSwUGAAAAAAYABgBZAQAAeAUAAAAA&#10;">
                <v:fill on="f" focussize="0,0"/>
                <v:stroke on="f"/>
                <v:imagedata o:title=""/>
                <o:lock v:ext="edit" aspectratio="f"/>
                <v:textbox>
                  <w:txbxContent>
                    <w:p w14:paraId="1455042B">
                      <w:pPr>
                        <w:rPr>
                          <w:highlight w:val="yellow"/>
                        </w:rPr>
                      </w:pPr>
                      <w:r>
                        <w:rPr>
                          <w:rFonts w:hint="eastAsia"/>
                          <w:highlight w:val="yellow"/>
                        </w:rPr>
                        <w:t>闲置厂房</w:t>
                      </w:r>
                    </w:p>
                  </w:txbxContent>
                </v:textbox>
              </v:rect>
            </w:pict>
          </mc:Fallback>
        </mc:AlternateContent>
      </w:r>
      <w:r>
        <w:rPr>
          <w:color w:val="auto"/>
          <w:highlight w:val="none"/>
        </w:rPr>
        <mc:AlternateContent>
          <mc:Choice Requires="wps">
            <w:drawing>
              <wp:anchor distT="0" distB="0" distL="0" distR="0" simplePos="0" relativeHeight="251671552" behindDoc="0" locked="0" layoutInCell="1" allowOverlap="1">
                <wp:simplePos x="0" y="0"/>
                <wp:positionH relativeFrom="column">
                  <wp:posOffset>2632710</wp:posOffset>
                </wp:positionH>
                <wp:positionV relativeFrom="paragraph">
                  <wp:posOffset>1131570</wp:posOffset>
                </wp:positionV>
                <wp:extent cx="1029970" cy="427355"/>
                <wp:effectExtent l="0" t="0" r="0" b="0"/>
                <wp:wrapNone/>
                <wp:docPr id="1048" name="文本框 140"/>
                <wp:cNvGraphicFramePr/>
                <a:graphic xmlns:a="http://schemas.openxmlformats.org/drawingml/2006/main">
                  <a:graphicData uri="http://schemas.microsoft.com/office/word/2010/wordprocessingShape">
                    <wps:wsp>
                      <wps:cNvSpPr/>
                      <wps:spPr>
                        <a:xfrm>
                          <a:off x="0" y="0"/>
                          <a:ext cx="1029970" cy="427355"/>
                        </a:xfrm>
                        <a:prstGeom prst="rect">
                          <a:avLst/>
                        </a:prstGeom>
                        <a:ln>
                          <a:noFill/>
                        </a:ln>
                      </wps:spPr>
                      <wps:txbx>
                        <w:txbxContent>
                          <w:p w14:paraId="538C5380">
                            <w:pPr>
                              <w:rPr>
                                <w:highlight w:val="yellow"/>
                              </w:rPr>
                            </w:pPr>
                            <w:r>
                              <w:rPr>
                                <w:rFonts w:hint="eastAsia"/>
                                <w:highlight w:val="yellow"/>
                              </w:rPr>
                              <w:t>在建厂房</w:t>
                            </w:r>
                          </w:p>
                        </w:txbxContent>
                      </wps:txbx>
                      <wps:bodyPr vert="horz" wrap="square" lIns="91440" tIns="45720" rIns="91440" bIns="45720" anchor="t">
                        <a:noAutofit/>
                      </wps:bodyPr>
                    </wps:wsp>
                  </a:graphicData>
                </a:graphic>
              </wp:anchor>
            </w:drawing>
          </mc:Choice>
          <mc:Fallback>
            <w:pict>
              <v:rect id="文本框 140" o:spid="_x0000_s1026" o:spt="1" style="position:absolute;left:0pt;margin-left:207.3pt;margin-top:89.1pt;height:33.65pt;width:81.1pt;z-index:251671552;mso-width-relative:page;mso-height-relative:page;" filled="f" stroked="f" coordsize="21600,21600" o:gfxdata="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YFLM1NsAAAALAQAADwAA&#10;AAAAAAABACAAAAAiAAAAZHJzL2Rvd25yZXYueG1sUEsBAhQAFAAAAAgAh07iQFldC67aAQAApQMA&#10;AA4AAAAAAAAAAQAgAAAAKgEAAGRycy9lMm9Eb2MueG1sUEsFBgAAAAAGAAYAWQEAAHYFAAAAAA==&#10;">
                <v:fill on="f" focussize="0,0"/>
                <v:stroke on="f"/>
                <v:imagedata o:title=""/>
                <o:lock v:ext="edit" aspectratio="f"/>
                <v:textbox>
                  <w:txbxContent>
                    <w:p w14:paraId="538C5380">
                      <w:pPr>
                        <w:rPr>
                          <w:highlight w:val="yellow"/>
                        </w:rPr>
                      </w:pPr>
                      <w:r>
                        <w:rPr>
                          <w:rFonts w:hint="eastAsia"/>
                          <w:highlight w:val="yellow"/>
                        </w:rPr>
                        <w:t>在建厂房</w:t>
                      </w:r>
                    </w:p>
                  </w:txbxContent>
                </v:textbox>
              </v:rect>
            </w:pict>
          </mc:Fallback>
        </mc:AlternateContent>
      </w:r>
      <w:r>
        <w:rPr>
          <w:color w:val="auto"/>
          <w:highlight w:val="none"/>
        </w:rPr>
        <w:drawing>
          <wp:inline distT="0" distB="0" distL="114300" distR="114300">
            <wp:extent cx="5937885" cy="7472045"/>
            <wp:effectExtent l="0" t="0" r="5715" b="14605"/>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36"/>
                    <a:stretch>
                      <a:fillRect/>
                    </a:stretch>
                  </pic:blipFill>
                  <pic:spPr>
                    <a:xfrm>
                      <a:off x="0" y="0"/>
                      <a:ext cx="5937885" cy="7472045"/>
                    </a:xfrm>
                    <a:prstGeom prst="rect">
                      <a:avLst/>
                    </a:prstGeom>
                    <a:noFill/>
                    <a:ln>
                      <a:noFill/>
                    </a:ln>
                  </pic:spPr>
                </pic:pic>
              </a:graphicData>
            </a:graphic>
          </wp:inline>
        </w:drawing>
      </w:r>
    </w:p>
    <w:p w14:paraId="2E56F0A8">
      <w:pPr>
        <w:pStyle w:val="56"/>
        <w:jc w:val="center"/>
        <w:outlineLvl w:val="0"/>
        <w:rPr>
          <w:rFonts w:ascii="Times New Roman"/>
          <w:color w:val="auto"/>
          <w:sz w:val="24"/>
          <w:szCs w:val="24"/>
          <w:highlight w:val="none"/>
        </w:rPr>
      </w:pPr>
      <w:bookmarkStart w:id="160" w:name="_Toc30497"/>
      <w:r>
        <w:rPr>
          <w:rFonts w:ascii="Times New Roman"/>
          <w:color w:val="auto"/>
          <w:sz w:val="24"/>
          <w:szCs w:val="24"/>
          <w:highlight w:val="none"/>
        </w:rPr>
        <w:t>附图2 项目四至情况</w:t>
      </w:r>
      <w:bookmarkEnd w:id="158"/>
      <w:bookmarkEnd w:id="159"/>
      <w:bookmarkEnd w:id="160"/>
    </w:p>
    <w:p w14:paraId="1B9A68AD">
      <w:pPr>
        <w:rPr>
          <w:color w:val="auto"/>
          <w:highlight w:val="none"/>
        </w:rPr>
        <w:sectPr>
          <w:pgSz w:w="11906" w:h="16838"/>
          <w:pgMar w:top="1417" w:right="1134" w:bottom="1559" w:left="1417" w:header="851" w:footer="992" w:gutter="0"/>
          <w:pgNumType w:fmt="numberInDash"/>
          <w:cols w:space="0" w:num="1"/>
          <w:docGrid w:type="lines" w:linePitch="312" w:charSpace="0"/>
        </w:sectPr>
      </w:pPr>
    </w:p>
    <w:p w14:paraId="60AF9473">
      <w:pPr>
        <w:pStyle w:val="2"/>
        <w:jc w:val="center"/>
        <w:outlineLvl w:val="9"/>
        <w:rPr>
          <w:rFonts w:hint="eastAsia" w:ascii="Times New Roman"/>
          <w:b/>
          <w:bCs/>
          <w:color w:val="auto"/>
          <w:highlight w:val="none"/>
          <w:lang w:val="en-US" w:eastAsia="zh-CN"/>
        </w:rPr>
      </w:pPr>
      <w:bookmarkStart w:id="161" w:name="_Toc2299"/>
      <w:r>
        <w:rPr>
          <w:rFonts w:hint="eastAsia" w:ascii="Times New Roman"/>
          <w:b/>
          <w:bCs/>
          <w:color w:val="auto"/>
          <w:highlight w:val="none"/>
          <w:lang w:val="en-US" w:eastAsia="zh-CN"/>
        </w:rPr>
        <w:object>
          <v:shape id="_x0000_i1029" o:spt="75" type="#_x0000_t75" style="height:381.85pt;width:644.95pt;" o:ole="t" filled="f" o:preferrelative="t" stroked="f" coordsize="21600,21600">
            <v:path/>
            <v:fill on="f" focussize="0,0"/>
            <v:stroke on="f"/>
            <v:imagedata r:id="rId38" o:title=""/>
            <o:lock v:ext="edit" aspectratio="f"/>
            <w10:wrap type="none"/>
            <w10:anchorlock/>
          </v:shape>
          <o:OLEObject Type="Embed" ProgID="Visio.Drawing.15" ShapeID="_x0000_i1029" DrawAspect="Content" ObjectID="_1468075729" r:id="rId37">
            <o:LockedField>false</o:LockedField>
          </o:OLEObject>
        </w:object>
      </w:r>
    </w:p>
    <w:p w14:paraId="27A953C5">
      <w:pPr>
        <w:pStyle w:val="2"/>
        <w:jc w:val="center"/>
        <w:outlineLvl w:val="0"/>
        <w:rPr>
          <w:rFonts w:hint="eastAsia" w:ascii="Times New Roman"/>
          <w:b/>
          <w:bCs/>
          <w:color w:val="auto"/>
          <w:highlight w:val="none"/>
          <w:lang w:val="en-US" w:eastAsia="zh-CN"/>
        </w:rPr>
      </w:pPr>
      <w:r>
        <w:rPr>
          <w:rFonts w:hint="eastAsia" w:ascii="Times New Roman"/>
          <w:b/>
          <w:bCs/>
          <w:color w:val="auto"/>
          <w:highlight w:val="none"/>
          <w:lang w:val="en-US" w:eastAsia="zh-CN"/>
        </w:rPr>
        <w:t>附图3-1  厂区平面布置图</w:t>
      </w:r>
      <w:bookmarkEnd w:id="161"/>
    </w:p>
    <w:p w14:paraId="3EEF5B28">
      <w:pPr>
        <w:pStyle w:val="3"/>
        <w:bidi w:val="0"/>
        <w:rPr>
          <w:rFonts w:hint="default"/>
          <w:color w:val="auto"/>
          <w:highlight w:val="none"/>
          <w:lang w:val="en-US" w:eastAsia="zh-CN"/>
        </w:rPr>
      </w:pPr>
      <w:r>
        <w:rPr>
          <w:color w:val="auto"/>
          <w:sz w:val="24"/>
          <w:highlight w:val="none"/>
        </w:rPr>
        <mc:AlternateContent>
          <mc:Choice Requires="wps">
            <w:drawing>
              <wp:anchor distT="0" distB="0" distL="114300" distR="114300" simplePos="0" relativeHeight="251745280" behindDoc="0" locked="0" layoutInCell="1" allowOverlap="1">
                <wp:simplePos x="0" y="0"/>
                <wp:positionH relativeFrom="column">
                  <wp:posOffset>6324600</wp:posOffset>
                </wp:positionH>
                <wp:positionV relativeFrom="paragraph">
                  <wp:posOffset>3041650</wp:posOffset>
                </wp:positionV>
                <wp:extent cx="793750" cy="857250"/>
                <wp:effectExtent l="0" t="0" r="6350" b="0"/>
                <wp:wrapNone/>
                <wp:docPr id="49" name="文本框 49"/>
                <wp:cNvGraphicFramePr/>
                <a:graphic xmlns:a="http://schemas.openxmlformats.org/drawingml/2006/main">
                  <a:graphicData uri="http://schemas.microsoft.com/office/word/2010/wordprocessingShape">
                    <wps:wsp>
                      <wps:cNvSpPr txBox="1"/>
                      <wps:spPr>
                        <a:xfrm>
                          <a:off x="7012305" y="3956050"/>
                          <a:ext cx="793750" cy="857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B7BC9E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8pt;margin-top:239.5pt;height:67.5pt;width:62.5pt;z-index:251745280;mso-width-relative:page;mso-height-relative:page;" fillcolor="#FFFFFF [3201]" filled="t" stroked="f" coordsize="21600,21600" o:gfxdata="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ERa2mdYA&#10;AAAMAQAADwAAAAAAAAABACAAAAAiAAAAZHJzL2Rvd25yZXYueG1sUEsBAhQAFAAAAAgAh07iQFGM&#10;MKVaAgAAnAQAAA4AAAAAAAAAAQAgAAAAJQEAAGRycy9lMm9Eb2MueG1sUEsFBgAAAAAGAAYAWQEA&#10;APEFAAAAAA==&#10;">
                <v:fill on="t" focussize="0,0"/>
                <v:stroke on="f" weight="0.5pt"/>
                <v:imagedata o:title=""/>
                <o:lock v:ext="edit" aspectratio="f"/>
                <v:textbox>
                  <w:txbxContent>
                    <w:p w14:paraId="3B7BC9EE"/>
                  </w:txbxContent>
                </v:textbox>
              </v:shape>
            </w:pict>
          </mc:Fallback>
        </mc:AlternateContent>
      </w:r>
      <w:r>
        <w:rPr>
          <w:color w:val="auto"/>
          <w:sz w:val="24"/>
          <w:highlight w:val="none"/>
        </w:rPr>
        <mc:AlternateContent>
          <mc:Choice Requires="wps">
            <w:drawing>
              <wp:anchor distT="0" distB="0" distL="114300" distR="114300" simplePos="0" relativeHeight="251743232" behindDoc="0" locked="0" layoutInCell="1" allowOverlap="1">
                <wp:simplePos x="0" y="0"/>
                <wp:positionH relativeFrom="column">
                  <wp:posOffset>8382000</wp:posOffset>
                </wp:positionH>
                <wp:positionV relativeFrom="paragraph">
                  <wp:posOffset>1725295</wp:posOffset>
                </wp:positionV>
                <wp:extent cx="465455" cy="254635"/>
                <wp:effectExtent l="12700" t="0" r="18415" b="29845"/>
                <wp:wrapNone/>
                <wp:docPr id="47" name="肘形连接符 47"/>
                <wp:cNvGraphicFramePr/>
                <a:graphic xmlns:a="http://schemas.openxmlformats.org/drawingml/2006/main">
                  <a:graphicData uri="http://schemas.microsoft.com/office/word/2010/wordprocessingShape">
                    <wps:wsp>
                      <wps:cNvCnPr/>
                      <wps:spPr>
                        <a:xfrm rot="16200000">
                          <a:off x="9096375" y="2623820"/>
                          <a:ext cx="465455" cy="254635"/>
                        </a:xfrm>
                        <a:prstGeom prst="bentConnector3">
                          <a:avLst>
                            <a:gd name="adj1" fmla="val -2455"/>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660pt;margin-top:135.85pt;height:20.05pt;width:36.65pt;rotation:-5898240f;z-index:251743232;mso-width-relative:page;mso-height-relative:page;" filled="f" stroked="t" coordsize="21600,21600" o:gfxdata="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TWftPYAAAADQEAAA8A&#10;AAAAAAAAAQAgAAAAIgAAAGRycy9kb3ducmV2LnhtbFBLAQIUABQAAAAIAIdO4kCW+k81FwIAAPMD&#10;AAAOAAAAAAAAAAEAIAAAACcBAABkcnMvZTJvRG9jLnhtbFBLBQYAAAAABgAGAFkBAACwBQAAAAA=&#10;" adj="-530">
                <v:fill on="f" focussize="0,0"/>
                <v:stroke weight="2pt" color="#FFFF00 [3204]" joinstyle="round"/>
                <v:imagedata o:title=""/>
                <o:lock v:ext="edit" aspectratio="f"/>
              </v:shape>
            </w:pict>
          </mc:Fallback>
        </mc:AlternateContent>
      </w:r>
      <w:r>
        <w:rPr>
          <w:rFonts w:hint="default"/>
          <w:color w:val="auto"/>
          <w:sz w:val="24"/>
          <w:highlight w:val="none"/>
          <w:lang w:val="en-US"/>
        </w:rPr>
        <mc:AlternateContent>
          <mc:Choice Requires="wps">
            <w:drawing>
              <wp:anchor distT="0" distB="0" distL="114300" distR="114300" simplePos="0" relativeHeight="251735040" behindDoc="0" locked="0" layoutInCell="1" allowOverlap="1">
                <wp:simplePos x="0" y="0"/>
                <wp:positionH relativeFrom="column">
                  <wp:posOffset>3279140</wp:posOffset>
                </wp:positionH>
                <wp:positionV relativeFrom="paragraph">
                  <wp:posOffset>2249170</wp:posOffset>
                </wp:positionV>
                <wp:extent cx="5123180" cy="257175"/>
                <wp:effectExtent l="0" t="0" r="20320" b="28575"/>
                <wp:wrapNone/>
                <wp:docPr id="10" name="任意多边形 10"/>
                <wp:cNvGraphicFramePr/>
                <a:graphic xmlns:a="http://schemas.openxmlformats.org/drawingml/2006/main">
                  <a:graphicData uri="http://schemas.microsoft.com/office/word/2010/wordprocessingShape">
                    <wps:wsp>
                      <wps:cNvSpPr/>
                      <wps:spPr>
                        <a:xfrm>
                          <a:off x="0" y="0"/>
                          <a:ext cx="5123180" cy="257175"/>
                        </a:xfrm>
                        <a:custGeom>
                          <a:avLst/>
                          <a:gdLst>
                            <a:gd name="connisteX0" fmla="*/ 0 w 4933950"/>
                            <a:gd name="connsiteY0" fmla="*/ 457200 h 457200"/>
                            <a:gd name="connisteX1" fmla="*/ 4933950 w 4933950"/>
                            <a:gd name="connsiteY1" fmla="*/ 457200 h 457200"/>
                            <a:gd name="connisteX2" fmla="*/ 4933950 w 4933950"/>
                            <a:gd name="connsiteY2" fmla="*/ 0 h 457200"/>
                          </a:gdLst>
                          <a:ahLst/>
                          <a:cxnLst>
                            <a:cxn ang="0">
                              <a:pos x="connisteX0" y="connsiteY0"/>
                            </a:cxn>
                            <a:cxn ang="0">
                              <a:pos x="connisteX1" y="connsiteY1"/>
                            </a:cxn>
                            <a:cxn ang="0">
                              <a:pos x="connisteX2" y="connsiteY2"/>
                            </a:cxn>
                          </a:cxnLst>
                          <a:rect l="l" t="t" r="r" b="b"/>
                          <a:pathLst>
                            <a:path w="4933950" h="457200">
                              <a:moveTo>
                                <a:pt x="0" y="457200"/>
                              </a:moveTo>
                              <a:lnTo>
                                <a:pt x="4933950" y="457200"/>
                              </a:lnTo>
                              <a:lnTo>
                                <a:pt x="4933950" y="0"/>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8.2pt;margin-top:177.1pt;height:20.25pt;width:403.4pt;z-index:251735040;mso-width-relative:page;mso-height-relative:page;" filled="f" stroked="t" coordsize="4933950,457200" o:gfxdata="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MD68n9sAAAAMAQAADwAAAAAAAAAB&#10;ACAAAAAiAAAAZHJzL2Rvd25yZXYueG1sUEsBAhQAFAAAAAgAh07iQNPlL4S4AgAAkgYAAA4AAAAA&#10;AAAAAQAgAAAAKgEAAGRycy9lMm9Eb2MueG1sUEsFBgAAAAAGAAYAWQEAAFQGAAAAAA==&#10;" path="m0,457200l4933950,457200,4933950,0e">
                <v:path o:connectlocs="0,257175;5123180,257175;5123180,0" o:connectangles="0,0,0"/>
                <v:fill on="f" focussize="0,0"/>
                <v:stroke weight="2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41184" behindDoc="0" locked="0" layoutInCell="1" allowOverlap="1">
                <wp:simplePos x="0" y="0"/>
                <wp:positionH relativeFrom="column">
                  <wp:posOffset>563245</wp:posOffset>
                </wp:positionH>
                <wp:positionV relativeFrom="paragraph">
                  <wp:posOffset>4145915</wp:posOffset>
                </wp:positionV>
                <wp:extent cx="657225" cy="0"/>
                <wp:effectExtent l="0" t="12700" r="0" b="12700"/>
                <wp:wrapNone/>
                <wp:docPr id="34" name="任意多边形 34"/>
                <wp:cNvGraphicFramePr/>
                <a:graphic xmlns:a="http://schemas.openxmlformats.org/drawingml/2006/main">
                  <a:graphicData uri="http://schemas.microsoft.com/office/word/2010/wordprocessingShape">
                    <wps:wsp>
                      <wps:cNvSpPr/>
                      <wps:spPr>
                        <a:xfrm>
                          <a:off x="1250950" y="5031740"/>
                          <a:ext cx="657225" cy="0"/>
                        </a:xfrm>
                        <a:custGeom>
                          <a:avLst/>
                          <a:gdLst>
                            <a:gd name="connisteX0" fmla="*/ 0 w 657225"/>
                            <a:gd name="connsiteY0" fmla="*/ 0 h 0"/>
                            <a:gd name="connisteX1" fmla="*/ 657225 w 657225"/>
                            <a:gd name="connsiteY1" fmla="*/ 0 h 0"/>
                          </a:gdLst>
                          <a:ahLst/>
                          <a:cxnLst>
                            <a:cxn ang="0">
                              <a:pos x="connisteX0" y="connsiteY0"/>
                            </a:cxn>
                            <a:cxn ang="0">
                              <a:pos x="connisteX1" y="connsiteY1"/>
                            </a:cxn>
                          </a:cxnLst>
                          <a:rect l="l" t="t" r="r" b="b"/>
                          <a:pathLst>
                            <a:path w="657225">
                              <a:moveTo>
                                <a:pt x="0" y="0"/>
                              </a:moveTo>
                              <a:lnTo>
                                <a:pt x="657225" y="0"/>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4.35pt;margin-top:326.45pt;height:0pt;width:51.75pt;z-index:251741184;mso-width-relative:page;mso-height-relative:page;" filled="f" stroked="t" coordsize="657225,1" o:gfxdata="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uQLfh2AAA&#10;AAoBAAAPAAAAAAAAAAEAIAAAACIAAABkcnMvZG93bnJldi54bWxQSwECFAAUAAAACACHTuJA6BSJ&#10;LJACAACgBQAADgAAAAAAAAABACAAAAAnAQAAZHJzL2Uyb0RvYy54bWxQSwUGAAAAAAYABgBZAQAA&#10;KQYAAAAA&#10;" path="m0,0l657225,0e">
                <v:path o:connectlocs="0,@0;657225,@0" o:connectangles="0,0"/>
                <v:fill on="f" focussize="0,0"/>
                <v:stroke weight="2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40160" behindDoc="0" locked="0" layoutInCell="1" allowOverlap="1">
                <wp:simplePos x="0" y="0"/>
                <wp:positionH relativeFrom="column">
                  <wp:posOffset>1144905</wp:posOffset>
                </wp:positionH>
                <wp:positionV relativeFrom="paragraph">
                  <wp:posOffset>2567305</wp:posOffset>
                </wp:positionV>
                <wp:extent cx="76200" cy="1600200"/>
                <wp:effectExtent l="0" t="0" r="0" b="0"/>
                <wp:wrapNone/>
                <wp:docPr id="32" name="任意多边形 32"/>
                <wp:cNvGraphicFramePr/>
                <a:graphic xmlns:a="http://schemas.openxmlformats.org/drawingml/2006/main">
                  <a:graphicData uri="http://schemas.microsoft.com/office/word/2010/wordprocessingShape">
                    <wps:wsp>
                      <wps:cNvSpPr/>
                      <wps:spPr>
                        <a:xfrm flipH="1">
                          <a:off x="0" y="0"/>
                          <a:ext cx="76200" cy="1600200"/>
                        </a:xfrm>
                        <a:custGeom>
                          <a:avLst/>
                          <a:gdLst>
                            <a:gd name="connisteX0" fmla="*/ 0 w 0"/>
                            <a:gd name="connsiteY0" fmla="*/ 0 h 1323975"/>
                            <a:gd name="connisteX1" fmla="*/ 0 w 0"/>
                            <a:gd name="connsiteY1" fmla="*/ 1323975 h 1323975"/>
                          </a:gdLst>
                          <a:ahLst/>
                          <a:cxnLst>
                            <a:cxn ang="0">
                              <a:pos x="connisteX0" y="connsiteY0"/>
                            </a:cxn>
                            <a:cxn ang="0">
                              <a:pos x="connisteX1" y="connsiteY1"/>
                            </a:cxn>
                          </a:cxnLst>
                          <a:rect l="l" t="t" r="r" b="b"/>
                          <a:pathLst>
                            <a:path h="1323975">
                              <a:moveTo>
                                <a:pt x="0" y="0"/>
                              </a:moveTo>
                              <a:lnTo>
                                <a:pt x="0" y="1323975"/>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margin-left:90.15pt;margin-top:202.15pt;height:126pt;width:6pt;z-index:251740160;mso-width-relative:page;mso-height-relative:page;" filled="f" stroked="t" coordsize="1,1323975" o:gfxdata="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x+hcGdgA&#10;AAALAQAADwAAAAAAAAABACAAAAAiAAAAZHJzL2Rvd25yZXYueG1sUEsBAhQAFAAAAAgAh07iQIyf&#10;F6+RAgAAqAUAAA4AAAAAAAAAAQAgAAAAJwEAAGRycy9lMm9Eb2MueG1sUEsFBgAAAAAGAAYAWQEA&#10;ACoGAAAAAA==&#10;" path="m0,0l0,1323975e">
                <v:path o:connectlocs="@0,0;@0,1600200" o:connectangles="0,0"/>
                <v:fill on="f" focussize="0,0"/>
                <v:stroke weight="2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8112" behindDoc="0" locked="0" layoutInCell="1" allowOverlap="1">
                <wp:simplePos x="0" y="0"/>
                <wp:positionH relativeFrom="column">
                  <wp:posOffset>1210945</wp:posOffset>
                </wp:positionH>
                <wp:positionV relativeFrom="paragraph">
                  <wp:posOffset>2574925</wp:posOffset>
                </wp:positionV>
                <wp:extent cx="1343025" cy="0"/>
                <wp:effectExtent l="0" t="12700" r="9525" b="15875"/>
                <wp:wrapNone/>
                <wp:docPr id="17" name="任意多边形 17"/>
                <wp:cNvGraphicFramePr/>
                <a:graphic xmlns:a="http://schemas.openxmlformats.org/drawingml/2006/main">
                  <a:graphicData uri="http://schemas.microsoft.com/office/word/2010/wordprocessingShape">
                    <wps:wsp>
                      <wps:cNvSpPr/>
                      <wps:spPr>
                        <a:xfrm>
                          <a:off x="2079625" y="3336925"/>
                          <a:ext cx="1343025" cy="0"/>
                        </a:xfrm>
                        <a:custGeom>
                          <a:avLst/>
                          <a:gdLst>
                            <a:gd name="connisteX0" fmla="*/ 1343025 w 1343025"/>
                            <a:gd name="connsiteY0" fmla="*/ 0 h 0"/>
                            <a:gd name="connisteX1" fmla="*/ 0 w 1343025"/>
                            <a:gd name="connsiteY1" fmla="*/ 0 h 0"/>
                          </a:gdLst>
                          <a:ahLst/>
                          <a:cxnLst>
                            <a:cxn ang="0">
                              <a:pos x="connisteX0" y="connsiteY0"/>
                            </a:cxn>
                            <a:cxn ang="0">
                              <a:pos x="connisteX1" y="connsiteY1"/>
                            </a:cxn>
                          </a:cxnLst>
                          <a:rect l="l" t="t" r="r" b="b"/>
                          <a:pathLst>
                            <a:path w="1343025">
                              <a:moveTo>
                                <a:pt x="1343025" y="0"/>
                              </a:moveTo>
                              <a:lnTo>
                                <a:pt x="0" y="0"/>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95.35pt;margin-top:202.75pt;height:0pt;width:105.75pt;z-index:251738112;mso-width-relative:page;mso-height-relative:page;" filled="f" stroked="t" coordsize="1343025,1" o:gfxdata="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oPuqatgA&#10;AAALAQAADwAAAAAAAAABACAAAAAiAAAAZHJzL2Rvd25yZXYueG1sUEsBAhQAFAAAAAgAh07iQK6L&#10;hDORAgAApgUAAA4AAAAAAAAAAQAgAAAAJwEAAGRycy9lMm9Eb2MueG1sUEsFBgAAAAAGAAYAWQEA&#10;ACoGAAAAAA==&#10;" path="m1343025,0l0,0e">
                <v:path o:connectlocs="1343025,@0;0,@0" o:connectangles="0,0"/>
                <v:fill on="f" focussize="0,0"/>
                <v:stroke weight="2pt" color="#FFFF00 [2404]" joinstyle="round"/>
                <v:imagedata o:title=""/>
                <o:lock v:ext="edit" aspectratio="f"/>
              </v:shape>
            </w:pict>
          </mc:Fallback>
        </mc:AlternateContent>
      </w:r>
      <w:r>
        <w:rPr>
          <w:rFonts w:hint="eastAsia"/>
          <w:color w:val="auto"/>
          <w:highlight w:val="none"/>
        </w:rPr>
        <w:object>
          <v:shape id="_x0000_i1030" o:spt="75" type="#_x0000_t75" style="height:414.85pt;width:707pt;" o:ole="t" filled="f" o:preferrelative="t" stroked="t" coordsize="21600,21600">
            <v:path/>
            <v:fill on="f" focussize="0,0"/>
            <v:stroke color="#000000" joinstyle="miter"/>
            <v:imagedata r:id="rId40" o:title=""/>
            <o:lock v:ext="edit" aspectratio="t"/>
            <w10:wrap type="none"/>
            <w10:anchorlock/>
          </v:shape>
          <o:OLEObject Type="Embed" ProgID="Visio.Drawing.11" ShapeID="_x0000_i1030" DrawAspect="Content" ObjectID="_1468075730" r:id="rId39">
            <o:LockedField>false</o:LockedField>
          </o:OLEObject>
        </w:object>
      </w:r>
      <w:r>
        <w:rPr>
          <w:color w:val="auto"/>
          <w:sz w:val="24"/>
          <w:highlight w:val="none"/>
        </w:rPr>
        <mc:AlternateContent>
          <mc:Choice Requires="wps">
            <w:drawing>
              <wp:anchor distT="0" distB="0" distL="114300" distR="114300" simplePos="0" relativeHeight="251739136" behindDoc="0" locked="0" layoutInCell="1" allowOverlap="1">
                <wp:simplePos x="0" y="0"/>
                <wp:positionH relativeFrom="column">
                  <wp:posOffset>1858645</wp:posOffset>
                </wp:positionH>
                <wp:positionV relativeFrom="paragraph">
                  <wp:posOffset>1698625</wp:posOffset>
                </wp:positionV>
                <wp:extent cx="0" cy="1323975"/>
                <wp:effectExtent l="12700" t="0" r="25400" b="9525"/>
                <wp:wrapNone/>
                <wp:docPr id="31" name="任意多边形 31"/>
                <wp:cNvGraphicFramePr/>
                <a:graphic xmlns:a="http://schemas.openxmlformats.org/drawingml/2006/main">
                  <a:graphicData uri="http://schemas.microsoft.com/office/word/2010/wordprocessingShape">
                    <wps:wsp>
                      <wps:cNvSpPr/>
                      <wps:spPr>
                        <a:xfrm>
                          <a:off x="2546350" y="2613025"/>
                          <a:ext cx="0" cy="1323975"/>
                        </a:xfrm>
                        <a:custGeom>
                          <a:avLst/>
                          <a:gdLst>
                            <a:gd name="connisteX0" fmla="*/ 0 w 0"/>
                            <a:gd name="connsiteY0" fmla="*/ 0 h 1323975"/>
                            <a:gd name="connisteX1" fmla="*/ 0 w 0"/>
                            <a:gd name="connsiteY1" fmla="*/ 1323975 h 1323975"/>
                          </a:gdLst>
                          <a:ahLst/>
                          <a:cxnLst>
                            <a:cxn ang="0">
                              <a:pos x="connisteX0" y="connsiteY0"/>
                            </a:cxn>
                            <a:cxn ang="0">
                              <a:pos x="connisteX1" y="connsiteY1"/>
                            </a:cxn>
                          </a:cxnLst>
                          <a:rect l="l" t="t" r="r" b="b"/>
                          <a:pathLst>
                            <a:path h="1323975">
                              <a:moveTo>
                                <a:pt x="0" y="0"/>
                              </a:moveTo>
                              <a:lnTo>
                                <a:pt x="0" y="1323975"/>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6.35pt;margin-top:133.75pt;height:104.25pt;width:0pt;z-index:251739136;mso-width-relative:page;mso-height-relative:page;" filled="f" stroked="t" coordsize="1,1323975" o:gfxdata="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yVk0ZdcAAAAL&#10;AQAADwAAAAAAAAABACAAAAAiAAAAZHJzL2Rvd25yZXYueG1sUEsBAhQAFAAAAAgAh07iQCu5uoeP&#10;AgAApgUAAA4AAAAAAAAAAQAgAAAAJgEAAGRycy9lMm9Eb2MueG1sUEsFBgAAAAAGAAYAWQEAACcG&#10;AAAAAA==&#10;" path="m0,0l0,1323975e">
                <v:path o:connectlocs="@0,0;@0,1323975" o:connectangles="0,0"/>
                <v:fill on="f" focussize="0,0"/>
                <v:stroke weight="2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7088" behindDoc="0" locked="0" layoutInCell="1" allowOverlap="1">
                <wp:simplePos x="0" y="0"/>
                <wp:positionH relativeFrom="column">
                  <wp:posOffset>325120</wp:posOffset>
                </wp:positionH>
                <wp:positionV relativeFrom="paragraph">
                  <wp:posOffset>2517775</wp:posOffset>
                </wp:positionV>
                <wp:extent cx="2962275" cy="2105025"/>
                <wp:effectExtent l="0" t="0" r="28575" b="28575"/>
                <wp:wrapNone/>
                <wp:docPr id="16" name="任意多边形 16"/>
                <wp:cNvGraphicFramePr/>
                <a:graphic xmlns:a="http://schemas.openxmlformats.org/drawingml/2006/main">
                  <a:graphicData uri="http://schemas.microsoft.com/office/word/2010/wordprocessingShape">
                    <wps:wsp>
                      <wps:cNvSpPr/>
                      <wps:spPr>
                        <a:xfrm>
                          <a:off x="1012825" y="3432175"/>
                          <a:ext cx="2962275" cy="2105025"/>
                        </a:xfrm>
                        <a:custGeom>
                          <a:avLst/>
                          <a:gdLst>
                            <a:gd name="connisteX0" fmla="*/ 2962275 w 2962275"/>
                            <a:gd name="connsiteY0" fmla="*/ 0 h 2105025"/>
                            <a:gd name="connisteX1" fmla="*/ 2962275 w 2962275"/>
                            <a:gd name="connsiteY1" fmla="*/ 2105025 h 2105025"/>
                            <a:gd name="connisteX2" fmla="*/ 0 w 2962275"/>
                            <a:gd name="connsiteY2" fmla="*/ 2105025 h 2105025"/>
                          </a:gdLst>
                          <a:ahLst/>
                          <a:cxnLst>
                            <a:cxn ang="0">
                              <a:pos x="connisteX0" y="connsiteY0"/>
                            </a:cxn>
                            <a:cxn ang="0">
                              <a:pos x="connisteX1" y="connsiteY1"/>
                            </a:cxn>
                            <a:cxn ang="0">
                              <a:pos x="connisteX2" y="connsiteY2"/>
                            </a:cxn>
                          </a:cxnLst>
                          <a:rect l="l" t="t" r="r" b="b"/>
                          <a:pathLst>
                            <a:path w="2962275" h="2105025">
                              <a:moveTo>
                                <a:pt x="2962275" y="0"/>
                              </a:moveTo>
                              <a:lnTo>
                                <a:pt x="2962275" y="2105025"/>
                              </a:lnTo>
                              <a:lnTo>
                                <a:pt x="0" y="2105025"/>
                              </a:lnTo>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6pt;margin-top:198.25pt;height:165.75pt;width:233.25pt;z-index:251737088;mso-width-relative:page;mso-height-relative:page;" filled="f" stroked="t" coordsize="2962275,2105025" o:gfxdata="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Dn7SVb2QAAAAoBAAAPAAAA&#10;AAAAAAEAIAAAACIAAABkcnMvZG93bnJldi54bWxQSwECFAAUAAAACACHTuJAxRT2478CAACnBgAA&#10;DgAAAAAAAAABACAAAAAoAQAAZHJzL2Uyb0RvYy54bWxQSwUGAAAAAAYABgBZAQAAWQYAAAAA&#10;" path="m2962275,0l2962275,2105025,0,2105025e">
                <v:path o:connectlocs="2962275,0;2962275,2105025;0,2105025" o:connectangles="0,0,0"/>
                <v:fill on="f" focussize="0,0"/>
                <v:stroke weight="2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4016" behindDoc="0" locked="0" layoutInCell="1" allowOverlap="1">
                <wp:simplePos x="0" y="0"/>
                <wp:positionH relativeFrom="column">
                  <wp:posOffset>3183890</wp:posOffset>
                </wp:positionH>
                <wp:positionV relativeFrom="paragraph">
                  <wp:posOffset>656590</wp:posOffset>
                </wp:positionV>
                <wp:extent cx="4666615" cy="1685925"/>
                <wp:effectExtent l="0" t="0" r="19685" b="28575"/>
                <wp:wrapNone/>
                <wp:docPr id="9" name="任意多边形 9"/>
                <wp:cNvGraphicFramePr/>
                <a:graphic xmlns:a="http://schemas.openxmlformats.org/drawingml/2006/main">
                  <a:graphicData uri="http://schemas.microsoft.com/office/word/2010/wordprocessingShape">
                    <wps:wsp>
                      <wps:cNvSpPr/>
                      <wps:spPr>
                        <a:xfrm>
                          <a:off x="4013200" y="2799715"/>
                          <a:ext cx="4666615" cy="1685925"/>
                        </a:xfrm>
                        <a:custGeom>
                          <a:avLst/>
                          <a:gdLst>
                            <a:gd name="connisteX0" fmla="*/ 0 w 4933950"/>
                            <a:gd name="connsiteY0" fmla="*/ 457200 h 457200"/>
                            <a:gd name="connisteX1" fmla="*/ 4933950 w 4933950"/>
                            <a:gd name="connsiteY1" fmla="*/ 457200 h 457200"/>
                            <a:gd name="connisteX2" fmla="*/ 4933950 w 4933950"/>
                            <a:gd name="connsiteY2" fmla="*/ 0 h 457200"/>
                          </a:gdLst>
                          <a:ahLst/>
                          <a:cxnLst>
                            <a:cxn ang="0">
                              <a:pos x="connisteX0" y="connsiteY0"/>
                            </a:cxn>
                            <a:cxn ang="0">
                              <a:pos x="connisteX1" y="connsiteY1"/>
                            </a:cxn>
                            <a:cxn ang="0">
                              <a:pos x="connisteX2" y="connsiteY2"/>
                            </a:cxn>
                          </a:cxnLst>
                          <a:rect l="l" t="t" r="r" b="b"/>
                          <a:pathLst>
                            <a:path w="4933950" h="457200">
                              <a:moveTo>
                                <a:pt x="0" y="457200"/>
                              </a:moveTo>
                              <a:lnTo>
                                <a:pt x="4933950" y="457200"/>
                              </a:lnTo>
                              <a:lnTo>
                                <a:pt x="4933950" y="0"/>
                              </a:lnTo>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0.7pt;margin-top:51.7pt;height:132.75pt;width:367.45pt;z-index:251734016;mso-width-relative:page;mso-height-relative:page;" filled="f" stroked="t" coordsize="4933950,457200" o:gfxdata="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A06ToJ2gAA&#10;AAwBAAAPAAAAAAAAAAEAIAAAACIAAABkcnMvZG93bnJldi54bWxQSwECFAAUAAAACACHTuJAC32r&#10;VccCAACdBgAADgAAAAAAAAABACAAAAApAQAAZHJzL2Uyb0RvYy54bWxQSwUGAAAAAAYABgBZAQAA&#10;YgYAAAAA&#10;" path="m0,457200l4933950,457200,4933950,0e">
                <v:path o:connectlocs="0,1685925;4666615,1685925;4666615,0" o:connectangles="0,0,0"/>
                <v:fill on="f" focussize="0,0"/>
                <v:stroke weight="2pt" color="#00B05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6064" behindDoc="0" locked="0" layoutInCell="1" allowOverlap="1">
                <wp:simplePos x="0" y="0"/>
                <wp:positionH relativeFrom="column">
                  <wp:posOffset>420370</wp:posOffset>
                </wp:positionH>
                <wp:positionV relativeFrom="paragraph">
                  <wp:posOffset>370840</wp:posOffset>
                </wp:positionV>
                <wp:extent cx="2771775" cy="4210050"/>
                <wp:effectExtent l="0" t="0" r="28575" b="19050"/>
                <wp:wrapNone/>
                <wp:docPr id="11" name="任意多边形 11"/>
                <wp:cNvGraphicFramePr/>
                <a:graphic xmlns:a="http://schemas.openxmlformats.org/drawingml/2006/main">
                  <a:graphicData uri="http://schemas.microsoft.com/office/word/2010/wordprocessingShape">
                    <wps:wsp>
                      <wps:cNvSpPr/>
                      <wps:spPr>
                        <a:xfrm>
                          <a:off x="1108075" y="1285240"/>
                          <a:ext cx="2771775" cy="4210050"/>
                        </a:xfrm>
                        <a:custGeom>
                          <a:avLst/>
                          <a:gdLst>
                            <a:gd name="connisteX0" fmla="*/ 2771775 w 2771775"/>
                            <a:gd name="connsiteY0" fmla="*/ 0 h 4210050"/>
                            <a:gd name="connisteX1" fmla="*/ 2771775 w 2771775"/>
                            <a:gd name="connsiteY1" fmla="*/ 4029075 h 4210050"/>
                            <a:gd name="connisteX2" fmla="*/ 2771775 w 2771775"/>
                            <a:gd name="connsiteY2" fmla="*/ 4210050 h 4210050"/>
                            <a:gd name="connisteX3" fmla="*/ 0 w 2771775"/>
                            <a:gd name="connsiteY3" fmla="*/ 4210050 h 4210050"/>
                          </a:gdLst>
                          <a:ahLst/>
                          <a:cxnLst>
                            <a:cxn ang="0">
                              <a:pos x="connisteX0" y="connsiteY0"/>
                            </a:cxn>
                            <a:cxn ang="0">
                              <a:pos x="connisteX1" y="connsiteY1"/>
                            </a:cxn>
                            <a:cxn ang="0">
                              <a:pos x="connisteX2" y="connsiteY2"/>
                            </a:cxn>
                            <a:cxn ang="0">
                              <a:pos x="connisteX3" y="connsiteY3"/>
                            </a:cxn>
                          </a:cxnLst>
                          <a:rect l="l" t="t" r="r" b="b"/>
                          <a:pathLst>
                            <a:path w="2771775" h="4210050">
                              <a:moveTo>
                                <a:pt x="2771775" y="0"/>
                              </a:moveTo>
                              <a:lnTo>
                                <a:pt x="2771775" y="4029075"/>
                              </a:lnTo>
                              <a:lnTo>
                                <a:pt x="2771775" y="4210050"/>
                              </a:lnTo>
                              <a:lnTo>
                                <a:pt x="0" y="4210050"/>
                              </a:lnTo>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1pt;margin-top:29.2pt;height:331.5pt;width:218.25pt;z-index:251736064;mso-width-relative:page;mso-height-relative:page;" filled="f" stroked="t" coordsize="2771775,4210050" o:gfxdata="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D3LhPk2QAAAAkBAAAPAAAAAAAAAAEAIAAAACIAAABkcnMvZG93bnJldi54bWxQSwEC&#10;FAAUAAAACACHTuJAug/DItcCAAB+BwAADgAAAAAAAAABACAAAAAoAQAAZHJzL2Uyb0RvYy54bWxQ&#10;SwUGAAAAAAYABgBZAQAAcQYAAAAA&#10;" path="m2771775,0l2771775,4029075,2771775,4210050,0,4210050e">
                <v:path o:connectlocs="2771775,0;2771775,4029075;2771775,4210050;0,4210050" o:connectangles="0,0,0,0"/>
                <v:fill on="f" focussize="0,0"/>
                <v:stroke weight="2pt" color="#00B050 [2404]" joinstyle="round"/>
                <v:imagedata o:title=""/>
                <o:lock v:ext="edit" aspectratio="f"/>
              </v:shape>
            </w:pict>
          </mc:Fallback>
        </mc:AlternateContent>
      </w:r>
    </w:p>
    <w:p w14:paraId="5898171F">
      <w:pPr>
        <w:pStyle w:val="2"/>
        <w:jc w:val="center"/>
        <w:outlineLvl w:val="0"/>
        <w:rPr>
          <w:color w:val="auto"/>
          <w:highlight w:val="none"/>
        </w:rPr>
        <w:sectPr>
          <w:pgSz w:w="16838" w:h="11906" w:orient="landscape"/>
          <w:pgMar w:top="1440" w:right="1083" w:bottom="1440" w:left="1083" w:header="851" w:footer="992" w:gutter="0"/>
          <w:pgNumType w:fmt="numberInDash"/>
          <w:cols w:space="0" w:num="1"/>
          <w:docGrid w:type="lines" w:linePitch="312" w:charSpace="0"/>
        </w:sectPr>
      </w:pPr>
      <w:bookmarkStart w:id="162" w:name="_Toc15103"/>
      <w:r>
        <w:rPr>
          <w:rFonts w:hint="eastAsia" w:ascii="Times New Roman"/>
          <w:b/>
          <w:bCs/>
          <w:color w:val="auto"/>
          <w:highlight w:val="none"/>
        </w:rPr>
        <w:t>附图3</w:t>
      </w:r>
      <w:r>
        <w:rPr>
          <w:rFonts w:ascii="Times New Roman" w:cs="Times New Roman"/>
          <w:b/>
          <w:bCs/>
          <w:color w:val="auto"/>
          <w:highlight w:val="none"/>
        </w:rPr>
        <w:t>-2</w:t>
      </w:r>
      <w:r>
        <w:rPr>
          <w:rFonts w:hint="eastAsia" w:ascii="Times New Roman"/>
          <w:b/>
          <w:bCs/>
          <w:color w:val="auto"/>
          <w:highlight w:val="none"/>
        </w:rPr>
        <w:t xml:space="preserve"> 厂区雨污管网图</w:t>
      </w:r>
      <w:bookmarkEnd w:id="162"/>
    </w:p>
    <w:p w14:paraId="6AA68A88">
      <w:pPr>
        <w:pStyle w:val="2"/>
        <w:autoSpaceDE/>
        <w:autoSpaceDN/>
        <w:snapToGrid w:val="0"/>
        <w:spacing w:line="240" w:lineRule="auto"/>
        <w:jc w:val="center"/>
        <w:rPr>
          <w:rFonts w:ascii="Times New Roman"/>
          <w:color w:val="auto"/>
          <w:sz w:val="21"/>
          <w:highlight w:val="none"/>
        </w:rPr>
      </w:pPr>
      <w:r>
        <w:rPr>
          <w:color w:val="auto"/>
          <w:highlight w:val="none"/>
        </w:rPr>
        <w:drawing>
          <wp:anchor distT="0" distB="0" distL="0" distR="0" simplePos="0" relativeHeight="251673600" behindDoc="0" locked="0" layoutInCell="1" allowOverlap="1">
            <wp:simplePos x="0" y="0"/>
            <wp:positionH relativeFrom="column">
              <wp:posOffset>7146290</wp:posOffset>
            </wp:positionH>
            <wp:positionV relativeFrom="paragraph">
              <wp:posOffset>11430</wp:posOffset>
            </wp:positionV>
            <wp:extent cx="972185" cy="1001395"/>
            <wp:effectExtent l="9525" t="9525" r="27940" b="17780"/>
            <wp:wrapNone/>
            <wp:docPr id="1071" name="图片 4"/>
            <wp:cNvGraphicFramePr/>
            <a:graphic xmlns:a="http://schemas.openxmlformats.org/drawingml/2006/main">
              <a:graphicData uri="http://schemas.openxmlformats.org/drawingml/2006/picture">
                <pic:pic xmlns:pic="http://schemas.openxmlformats.org/drawingml/2006/picture">
                  <pic:nvPicPr>
                    <pic:cNvPr id="1071" name="图片 4"/>
                    <pic:cNvPicPr/>
                  </pic:nvPicPr>
                  <pic:blipFill>
                    <a:blip r:embed="rId34" cstate="print"/>
                    <a:srcRect/>
                    <a:stretch>
                      <a:fillRect/>
                    </a:stretch>
                  </pic:blipFill>
                  <pic:spPr>
                    <a:xfrm>
                      <a:off x="0" y="0"/>
                      <a:ext cx="972184" cy="1001395"/>
                    </a:xfrm>
                    <a:prstGeom prst="rect">
                      <a:avLst/>
                    </a:prstGeom>
                    <a:ln w="9525" cap="flat" cmpd="sng">
                      <a:solidFill>
                        <a:srgbClr val="000000"/>
                      </a:solidFill>
                      <a:prstDash val="solid"/>
                      <a:round/>
                    </a:ln>
                  </pic:spPr>
                </pic:pic>
              </a:graphicData>
            </a:graphic>
          </wp:anchor>
        </w:drawing>
      </w:r>
      <w:r>
        <w:rPr>
          <w:color w:val="auto"/>
          <w:highlight w:val="none"/>
        </w:rPr>
        <mc:AlternateContent>
          <mc:Choice Requires="wps">
            <w:drawing>
              <wp:anchor distT="0" distB="0" distL="0" distR="0" simplePos="0" relativeHeight="251674624" behindDoc="0" locked="0" layoutInCell="1" allowOverlap="1">
                <wp:simplePos x="0" y="0"/>
                <wp:positionH relativeFrom="column">
                  <wp:posOffset>6515735</wp:posOffset>
                </wp:positionH>
                <wp:positionV relativeFrom="paragraph">
                  <wp:posOffset>3522980</wp:posOffset>
                </wp:positionV>
                <wp:extent cx="1511935" cy="1571625"/>
                <wp:effectExtent l="6350" t="6350" r="24765" b="22225"/>
                <wp:wrapNone/>
                <wp:docPr id="1073" name="矩形 171"/>
                <wp:cNvGraphicFramePr/>
                <a:graphic xmlns:a="http://schemas.openxmlformats.org/drawingml/2006/main">
                  <a:graphicData uri="http://schemas.microsoft.com/office/word/2010/wordprocessingShape">
                    <wps:wsp>
                      <wps:cNvSpPr/>
                      <wps:spPr>
                        <a:xfrm>
                          <a:off x="0" y="0"/>
                          <a:ext cx="1511935" cy="1571625"/>
                        </a:xfrm>
                        <a:prstGeom prst="rect">
                          <a:avLst/>
                        </a:prstGeom>
                        <a:solidFill>
                          <a:srgbClr val="E7E6E6"/>
                        </a:solidFill>
                        <a:ln w="12700" cap="flat" cmpd="sng">
                          <a:solidFill>
                            <a:srgbClr val="000000"/>
                          </a:solidFill>
                          <a:prstDash val="solid"/>
                          <a:miter/>
                        </a:ln>
                      </wps:spPr>
                      <wps:bodyPr/>
                    </wps:wsp>
                  </a:graphicData>
                </a:graphic>
              </wp:anchor>
            </w:drawing>
          </mc:Choice>
          <mc:Fallback>
            <w:pict>
              <v:rect id="矩形 171" o:spid="_x0000_s1026" o:spt="1" style="position:absolute;left:0pt;margin-left:513.05pt;margin-top:277.4pt;height:123.75pt;width:119.05pt;z-index:251674624;mso-width-relative:page;mso-height-relative:page;" fillcolor="#E7E6E6" filled="t" stroked="t" coordsize="21600,21600" o:gfxdata="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0xrijaAAAADQEAAA8A&#10;AAAAAAAAAQAgAAAAIgAAAGRycy9kb3ducmV2LnhtbFBLAQIUABQAAAAIAIdO4kCOSvfD3AEAAMUD&#10;AAAOAAAAAAAAAAEAIAAAACkBAABkcnMvZTJvRG9jLnhtbFBLBQYAAAAABgAGAFkBAAB3BQAAAAA=&#10;">
                <v:fill on="t" focussize="0,0"/>
                <v:stroke weight="1pt" color="#000000" joinstyle="miter"/>
                <v:imagedata o:title=""/>
                <o:lock v:ext="edit" aspectratio="f"/>
              </v:rect>
            </w:pict>
          </mc:Fallback>
        </mc:AlternateContent>
      </w:r>
      <w:r>
        <w:rPr>
          <w:color w:val="auto"/>
          <w:highlight w:val="none"/>
        </w:rPr>
        <mc:AlternateContent>
          <mc:Choice Requires="wpg">
            <w:drawing>
              <wp:anchor distT="0" distB="0" distL="0" distR="0" simplePos="0" relativeHeight="251675648" behindDoc="0" locked="0" layoutInCell="1" allowOverlap="1">
                <wp:simplePos x="0" y="0"/>
                <wp:positionH relativeFrom="column">
                  <wp:posOffset>6508115</wp:posOffset>
                </wp:positionH>
                <wp:positionV relativeFrom="paragraph">
                  <wp:posOffset>3443605</wp:posOffset>
                </wp:positionV>
                <wp:extent cx="1534160" cy="1597660"/>
                <wp:effectExtent l="0" t="0" r="0" b="1905"/>
                <wp:wrapNone/>
                <wp:docPr id="1074" name="组合 206"/>
                <wp:cNvGraphicFramePr/>
                <a:graphic xmlns:a="http://schemas.openxmlformats.org/drawingml/2006/main">
                  <a:graphicData uri="http://schemas.microsoft.com/office/word/2010/wordprocessingGroup">
                    <wpg:wgp>
                      <wpg:cNvGrpSpPr/>
                      <wpg:grpSpPr>
                        <a:xfrm>
                          <a:off x="0" y="0"/>
                          <a:ext cx="1534160" cy="1597659"/>
                          <a:chOff x="12779" y="1684314"/>
                          <a:chExt cx="2416" cy="2516"/>
                        </a:xfrm>
                      </wpg:grpSpPr>
                      <wps:wsp>
                        <wps:cNvPr id="18" name="矩形 8"/>
                        <wps:cNvSpPr/>
                        <wps:spPr>
                          <a:xfrm>
                            <a:off x="12779" y="1684314"/>
                            <a:ext cx="2416" cy="2517"/>
                          </a:xfrm>
                          <a:prstGeom prst="rect">
                            <a:avLst/>
                          </a:prstGeom>
                          <a:ln>
                            <a:noFill/>
                          </a:ln>
                        </wps:spPr>
                        <wps:txbx>
                          <w:txbxContent>
                            <w:p w14:paraId="2AAF8C41">
                              <w:pPr>
                                <w:jc w:val="center"/>
                                <w:rPr>
                                  <w:b/>
                                  <w:bCs/>
                                  <w:color w:val="000000"/>
                                  <w:sz w:val="21"/>
                                  <w:szCs w:val="21"/>
                                </w:rPr>
                              </w:pPr>
                              <w:r>
                                <w:rPr>
                                  <w:rFonts w:hint="eastAsia"/>
                                  <w:b/>
                                  <w:bCs/>
                                  <w:color w:val="000000"/>
                                  <w:sz w:val="21"/>
                                  <w:szCs w:val="21"/>
                                </w:rPr>
                                <w:t>图例</w:t>
                              </w:r>
                            </w:p>
                            <w:p w14:paraId="1998630E">
                              <w:pPr>
                                <w:pStyle w:val="10"/>
                                <w:numPr>
                                  <w:ilvl w:val="2"/>
                                  <w:numId w:val="0"/>
                                </w:numPr>
                                <w:rPr>
                                  <w:sz w:val="21"/>
                                  <w:szCs w:val="21"/>
                                </w:rPr>
                              </w:pPr>
                              <w:r>
                                <w:rPr>
                                  <w:rFonts w:hint="eastAsia"/>
                                  <w:sz w:val="21"/>
                                  <w:szCs w:val="21"/>
                                </w:rPr>
                                <w:t>项目红线范围：</w:t>
                              </w:r>
                            </w:p>
                            <w:p w14:paraId="57F84380">
                              <w:pPr>
                                <w:rPr>
                                  <w:b/>
                                  <w:bCs/>
                                  <w:color w:val="000000"/>
                                  <w:sz w:val="21"/>
                                  <w:szCs w:val="21"/>
                                </w:rPr>
                              </w:pPr>
                              <w:r>
                                <w:rPr>
                                  <w:rFonts w:hint="eastAsia"/>
                                  <w:b/>
                                  <w:bCs/>
                                  <w:color w:val="000000"/>
                                  <w:sz w:val="21"/>
                                  <w:szCs w:val="21"/>
                                </w:rPr>
                                <w:t>环境保护目标：</w:t>
                              </w:r>
                            </w:p>
                            <w:p w14:paraId="4EE93433">
                              <w:pPr>
                                <w:pStyle w:val="10"/>
                                <w:numPr>
                                  <w:ilvl w:val="2"/>
                                  <w:numId w:val="0"/>
                                </w:numPr>
                                <w:rPr>
                                  <w:sz w:val="21"/>
                                  <w:szCs w:val="21"/>
                                </w:rPr>
                              </w:pPr>
                              <w:r>
                                <w:rPr>
                                  <w:rFonts w:hint="eastAsia"/>
                                  <w:sz w:val="21"/>
                                  <w:szCs w:val="21"/>
                                </w:rPr>
                                <w:t>500m范围：</w:t>
                              </w:r>
                            </w:p>
                            <w:p w14:paraId="57179C5B">
                              <w:pPr>
                                <w:rPr>
                                  <w:b/>
                                  <w:bCs/>
                                  <w:color w:val="000000"/>
                                  <w:sz w:val="21"/>
                                  <w:szCs w:val="21"/>
                                </w:rPr>
                              </w:pPr>
                              <w:r>
                                <w:rPr>
                                  <w:rFonts w:hint="eastAsia"/>
                                  <w:b/>
                                  <w:bCs/>
                                  <w:color w:val="000000"/>
                                  <w:sz w:val="21"/>
                                  <w:szCs w:val="21"/>
                                </w:rPr>
                                <w:t>50m范围：</w:t>
                              </w:r>
                            </w:p>
                          </w:txbxContent>
                        </wps:txbx>
                        <wps:bodyPr vert="horz" wrap="square" lIns="91440" tIns="45720" rIns="91440" bIns="45720" anchor="t">
                          <a:noAutofit/>
                        </wps:bodyPr>
                      </wps:wsp>
                      <wps:wsp>
                        <wps:cNvPr id="19" name="矩形 9"/>
                        <wps:cNvSpPr/>
                        <wps:spPr>
                          <a:xfrm>
                            <a:off x="14381" y="1684942"/>
                            <a:ext cx="540" cy="330"/>
                          </a:xfrm>
                          <a:prstGeom prst="rect">
                            <a:avLst/>
                          </a:prstGeom>
                          <a:ln w="19050" cap="flat" cmpd="sng">
                            <a:solidFill>
                              <a:srgbClr val="FF0000"/>
                            </a:solidFill>
                            <a:prstDash val="solid"/>
                            <a:miter/>
                          </a:ln>
                        </wps:spPr>
                        <wps:bodyPr/>
                      </wps:wsp>
                      <wps:wsp>
                        <wps:cNvPr id="20" name="矩形 10"/>
                        <wps:cNvSpPr/>
                        <wps:spPr>
                          <a:xfrm>
                            <a:off x="14351" y="1686427"/>
                            <a:ext cx="540" cy="330"/>
                          </a:xfrm>
                          <a:prstGeom prst="rect">
                            <a:avLst/>
                          </a:prstGeom>
                          <a:ln w="19050" cap="flat" cmpd="sng">
                            <a:solidFill>
                              <a:srgbClr val="0AECEB"/>
                            </a:solidFill>
                            <a:prstDash val="solid"/>
                            <a:miter/>
                          </a:ln>
                        </wps:spPr>
                        <wps:bodyPr/>
                      </wps:wsp>
                      <wps:wsp>
                        <wps:cNvPr id="21" name="矩形 11"/>
                        <wps:cNvSpPr/>
                        <wps:spPr>
                          <a:xfrm>
                            <a:off x="14351" y="1685947"/>
                            <a:ext cx="540" cy="330"/>
                          </a:xfrm>
                          <a:prstGeom prst="rect">
                            <a:avLst/>
                          </a:prstGeom>
                          <a:ln w="19050" cap="flat" cmpd="sng">
                            <a:solidFill>
                              <a:srgbClr val="2735AC"/>
                            </a:solidFill>
                            <a:prstDash val="solid"/>
                            <a:miter/>
                          </a:ln>
                        </wps:spPr>
                        <wps:bodyPr/>
                      </wps:wsp>
                      <wps:wsp>
                        <wps:cNvPr id="22" name="矩形 12"/>
                        <wps:cNvSpPr/>
                        <wps:spPr>
                          <a:xfrm>
                            <a:off x="14366" y="1685437"/>
                            <a:ext cx="540" cy="330"/>
                          </a:xfrm>
                          <a:prstGeom prst="rect">
                            <a:avLst/>
                          </a:prstGeom>
                          <a:ln w="19050" cap="flat" cmpd="sng">
                            <a:solidFill>
                              <a:srgbClr val="00B050"/>
                            </a:solidFill>
                            <a:prstDash val="solid"/>
                            <a:miter/>
                          </a:ln>
                        </wps:spPr>
                        <wps:bodyPr/>
                      </wps:wsp>
                    </wpg:wgp>
                  </a:graphicData>
                </a:graphic>
              </wp:anchor>
            </w:drawing>
          </mc:Choice>
          <mc:Fallback>
            <w:pict>
              <v:group id="组合 206" o:spid="_x0000_s1026" o:spt="203" style="position:absolute;left:0pt;margin-left:512.45pt;margin-top:271.15pt;height:125.8pt;width:120.8pt;z-index:251675648;mso-width-relative:page;mso-height-relative:page;" coordorigin="12779,1684314" coordsize="2416,2516" o:gfxdata="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B7GMrp3AAAAA0BAAAPAAAAAAAAAAEAIAAAACIAAABkcnMvZG93bnJldi54&#10;bWxQSwECFAAUAAAACACHTuJAhJy0rxMDAACkCwAADgAAAAAAAAABACAAAAArAQAAZHJzL2Uyb0Rv&#10;Yy54bWxQSwUGAAAAAAYABgBZAQAAsAYAAAAA&#10;">
                <o:lock v:ext="edit" aspectratio="f"/>
                <v:rect id="矩形 8" o:spid="_x0000_s1026" o:spt="1" style="position:absolute;left:12779;top:1684314;height:2517;width:2416;" filled="f" stroked="f" coordsize="21600,21600" o:gfxdata="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Sag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AAF8C41">
                        <w:pPr>
                          <w:jc w:val="center"/>
                          <w:rPr>
                            <w:b/>
                            <w:bCs/>
                            <w:color w:val="000000"/>
                            <w:sz w:val="21"/>
                            <w:szCs w:val="21"/>
                          </w:rPr>
                        </w:pPr>
                        <w:r>
                          <w:rPr>
                            <w:rFonts w:hint="eastAsia"/>
                            <w:b/>
                            <w:bCs/>
                            <w:color w:val="000000"/>
                            <w:sz w:val="21"/>
                            <w:szCs w:val="21"/>
                          </w:rPr>
                          <w:t>图例</w:t>
                        </w:r>
                      </w:p>
                      <w:p w14:paraId="1998630E">
                        <w:pPr>
                          <w:pStyle w:val="10"/>
                          <w:numPr>
                            <w:ilvl w:val="2"/>
                            <w:numId w:val="0"/>
                          </w:numPr>
                          <w:rPr>
                            <w:sz w:val="21"/>
                            <w:szCs w:val="21"/>
                          </w:rPr>
                        </w:pPr>
                        <w:r>
                          <w:rPr>
                            <w:rFonts w:hint="eastAsia"/>
                            <w:sz w:val="21"/>
                            <w:szCs w:val="21"/>
                          </w:rPr>
                          <w:t>项目红线范围：</w:t>
                        </w:r>
                      </w:p>
                      <w:p w14:paraId="57F84380">
                        <w:pPr>
                          <w:rPr>
                            <w:b/>
                            <w:bCs/>
                            <w:color w:val="000000"/>
                            <w:sz w:val="21"/>
                            <w:szCs w:val="21"/>
                          </w:rPr>
                        </w:pPr>
                        <w:r>
                          <w:rPr>
                            <w:rFonts w:hint="eastAsia"/>
                            <w:b/>
                            <w:bCs/>
                            <w:color w:val="000000"/>
                            <w:sz w:val="21"/>
                            <w:szCs w:val="21"/>
                          </w:rPr>
                          <w:t>环境保护目标：</w:t>
                        </w:r>
                      </w:p>
                      <w:p w14:paraId="4EE93433">
                        <w:pPr>
                          <w:pStyle w:val="10"/>
                          <w:numPr>
                            <w:ilvl w:val="2"/>
                            <w:numId w:val="0"/>
                          </w:numPr>
                          <w:rPr>
                            <w:sz w:val="21"/>
                            <w:szCs w:val="21"/>
                          </w:rPr>
                        </w:pPr>
                        <w:r>
                          <w:rPr>
                            <w:rFonts w:hint="eastAsia"/>
                            <w:sz w:val="21"/>
                            <w:szCs w:val="21"/>
                          </w:rPr>
                          <w:t>500m范围：</w:t>
                        </w:r>
                      </w:p>
                      <w:p w14:paraId="57179C5B">
                        <w:pPr>
                          <w:rPr>
                            <w:b/>
                            <w:bCs/>
                            <w:color w:val="000000"/>
                            <w:sz w:val="21"/>
                            <w:szCs w:val="21"/>
                          </w:rPr>
                        </w:pPr>
                        <w:r>
                          <w:rPr>
                            <w:rFonts w:hint="eastAsia"/>
                            <w:b/>
                            <w:bCs/>
                            <w:color w:val="000000"/>
                            <w:sz w:val="21"/>
                            <w:szCs w:val="21"/>
                          </w:rPr>
                          <w:t>50m范围：</w:t>
                        </w:r>
                      </w:p>
                    </w:txbxContent>
                  </v:textbox>
                </v:rect>
                <v:rect id="矩形 9" o:spid="_x0000_s1026" o:spt="1" style="position:absolute;left:14381;top:1684942;height:330;width:540;" filled="f" stroked="t" coordsize="21600,21600" o:gfxdata="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HwCXugAAANsA&#10;AAAPAAAAAAAAAAEAIAAAACIAAABkcnMvZG93bnJldi54bWxQSwECFAAUAAAACACHTuJAMy8FnjsA&#10;AAA5AAAAEAAAAAAAAAABACAAAAAJAQAAZHJzL3NoYXBleG1sLnhtbFBLBQYAAAAABgAGAFsBAACz&#10;AwAAAAA=&#10;">
                  <v:fill on="f" focussize="0,0"/>
                  <v:stroke weight="1.5pt" color="#FF0000" joinstyle="miter"/>
                  <v:imagedata o:title=""/>
                  <o:lock v:ext="edit" aspectratio="f"/>
                </v:rect>
                <v:rect id="矩形 10" o:spid="_x0000_s1026" o:spt="1" style="position:absolute;left:14351;top:1686427;height:330;width:540;" filled="f" stroked="t" coordsize="21600,21600" o:gfxdata="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vVXCu2AAAA2wAAAA8A&#10;AAAAAAAAAQAgAAAAIgAAAGRycy9kb3ducmV2LnhtbFBLAQIUABQAAAAIAIdO4kAzLwWeOwAAADkA&#10;AAAQAAAAAAAAAAEAIAAAAAUBAABkcnMvc2hhcGV4bWwueG1sUEsFBgAAAAAGAAYAWwEAAK8DAAAA&#10;AA==&#10;">
                  <v:fill on="f" focussize="0,0"/>
                  <v:stroke weight="1.5pt" color="#0AECEB" joinstyle="miter"/>
                  <v:imagedata o:title=""/>
                  <o:lock v:ext="edit" aspectratio="f"/>
                </v:rect>
                <v:rect id="矩形 11" o:spid="_x0000_s1026" o:spt="1" style="position:absolute;left:14351;top:1685947;height:330;width:540;" filled="f" stroked="t" coordsize="21600,21600" o:gfxdata="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Gwpku/&#10;AAAA2wAAAA8AAAAAAAAAAQAgAAAAIgAAAGRycy9kb3ducmV2LnhtbFBLAQIUABQAAAAIAIdO4kAz&#10;LwWeOwAAADkAAAAQAAAAAAAAAAEAIAAAAA4BAABkcnMvc2hhcGV4bWwueG1sUEsFBgAAAAAGAAYA&#10;WwEAALgDAAAAAA==&#10;">
                  <v:fill on="f" focussize="0,0"/>
                  <v:stroke weight="1.5pt" color="#2735AC" joinstyle="miter"/>
                  <v:imagedata o:title=""/>
                  <o:lock v:ext="edit" aspectratio="f"/>
                </v:rect>
                <v:rect id="矩形 12" o:spid="_x0000_s1026" o:spt="1" style="position:absolute;left:14366;top:1685437;height:330;width:540;" filled="f" stroked="t" coordsize="21600,21600" o:gfxdata="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5nJcugAAANsA&#10;AAAPAAAAAAAAAAEAIAAAACIAAABkcnMvZG93bnJldi54bWxQSwECFAAUAAAACACHTuJAMy8FnjsA&#10;AAA5AAAAEAAAAAAAAAABACAAAAAJAQAAZHJzL3NoYXBleG1sLnhtbFBLBQYAAAAABgAGAFsBAACz&#10;AwAAAAA=&#10;">
                  <v:fill on="f" focussize="0,0"/>
                  <v:stroke weight="1.5pt" color="#00B050" joinstyle="miter"/>
                  <v:imagedata o:title=""/>
                  <o:lock v:ext="edit" aspectratio="f"/>
                </v:rect>
              </v:group>
            </w:pict>
          </mc:Fallback>
        </mc:AlternateContent>
      </w:r>
      <w:r>
        <w:rPr>
          <w:color w:val="auto"/>
          <w:highlight w:val="none"/>
        </w:rPr>
        <w:drawing>
          <wp:inline distT="0" distB="0" distL="114300" distR="114300">
            <wp:extent cx="7839075" cy="5248275"/>
            <wp:effectExtent l="0" t="0" r="9525" b="9525"/>
            <wp:docPr id="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
                    <pic:cNvPicPr>
                      <a:picLocks noChangeAspect="1"/>
                    </pic:cNvPicPr>
                  </pic:nvPicPr>
                  <pic:blipFill>
                    <a:blip r:embed="rId41"/>
                    <a:stretch>
                      <a:fillRect/>
                    </a:stretch>
                  </pic:blipFill>
                  <pic:spPr>
                    <a:xfrm>
                      <a:off x="0" y="0"/>
                      <a:ext cx="7839075" cy="5248275"/>
                    </a:xfrm>
                    <a:prstGeom prst="rect">
                      <a:avLst/>
                    </a:prstGeom>
                    <a:noFill/>
                    <a:ln>
                      <a:noFill/>
                    </a:ln>
                  </pic:spPr>
                </pic:pic>
              </a:graphicData>
            </a:graphic>
          </wp:inline>
        </w:drawing>
      </w:r>
      <w:r>
        <w:rPr>
          <w:rFonts w:ascii="Times New Roman"/>
          <w:color w:val="auto"/>
          <w:sz w:val="21"/>
          <w:highlight w:val="none"/>
        </w:rPr>
        <mc:AlternateContent>
          <mc:Choice Requires="wps">
            <w:drawing>
              <wp:anchor distT="0" distB="0" distL="0" distR="0" simplePos="0" relativeHeight="251676672" behindDoc="0" locked="0" layoutInCell="1" allowOverlap="1">
                <wp:simplePos x="0" y="0"/>
                <wp:positionH relativeFrom="column">
                  <wp:posOffset>5151755</wp:posOffset>
                </wp:positionH>
                <wp:positionV relativeFrom="paragraph">
                  <wp:posOffset>3616325</wp:posOffset>
                </wp:positionV>
                <wp:extent cx="635" cy="635"/>
                <wp:effectExtent l="0" t="0" r="0" b="0"/>
                <wp:wrapNone/>
                <wp:docPr id="1081" name="墨迹 161"/>
                <wp:cNvGraphicFramePr/>
                <a:graphic xmlns:a="http://schemas.openxmlformats.org/drawingml/2006/main">
                  <a:graphicData uri="http://schemas.microsoft.com/office/word/2010/wordprocessingInk">
                    <mc:AlternateContent xmlns:a14="http://schemas.microsoft.com/office/drawing/2010/main">
                      <mc:Choice Requires="a14">
                        <w14:contentPart bwMode="auto" r:id="rId42">
                          <w14:nvContentPartPr>
                            <w14:cNvPr id="1081" name="墨迹 161"/>
                            <w14:cNvContentPartPr/>
                          </w14:nvContentPartPr>
                          <w14:xfrm>
                            <a:off x="0" y="0"/>
                            <a:ext cx="634" cy="634"/>
                          </w14:xfrm>
                        </w14:contentPart>
                      </mc:Choice>
                    </mc:AlternateContent>
                  </a:graphicData>
                </a:graphic>
              </wp:anchor>
            </w:drawing>
          </mc:Choice>
          <mc:Fallback>
            <w:pict>
              <v:shape id="墨迹 161" o:spid="_x0000_s1026" o:spt="75" style="position:absolute;left:0pt;margin-left:405.65pt;margin-top:284.75pt;height:0.05pt;width:0.05pt;z-index:251676672;mso-width-relative:page;mso-height-relative:page;" coordsize="21600,21600" o:gfxdata="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">
                <v:imagedata r:id="rId43" o:title=""/>
                <o:lock v:ext="edit"/>
              </v:shape>
            </w:pict>
          </mc:Fallback>
        </mc:AlternateContent>
      </w:r>
      <w:r>
        <w:rPr>
          <w:rFonts w:ascii="Times New Roman"/>
          <w:color w:val="auto"/>
          <w:sz w:val="21"/>
          <w:highlight w:val="none"/>
        </w:rPr>
        <mc:AlternateContent>
          <mc:Choice Requires="wps">
            <w:drawing>
              <wp:anchor distT="0" distB="0" distL="0" distR="0" simplePos="0" relativeHeight="251677696" behindDoc="0" locked="0" layoutInCell="1" allowOverlap="1">
                <wp:simplePos x="0" y="0"/>
                <wp:positionH relativeFrom="column">
                  <wp:posOffset>4818380</wp:posOffset>
                </wp:positionH>
                <wp:positionV relativeFrom="paragraph">
                  <wp:posOffset>3616325</wp:posOffset>
                </wp:positionV>
                <wp:extent cx="635" cy="635"/>
                <wp:effectExtent l="0" t="0" r="0" b="0"/>
                <wp:wrapNone/>
                <wp:docPr id="1082" name="墨迹 1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44">
                          <w14:nvContentPartPr>
                            <w14:cNvPr id="1082" name="墨迹 158"/>
                            <w14:cNvContentPartPr/>
                          </w14:nvContentPartPr>
                          <w14:xfrm>
                            <a:off x="0" y="0"/>
                            <a:ext cx="634" cy="634"/>
                          </w14:xfrm>
                        </w14:contentPart>
                      </mc:Choice>
                    </mc:AlternateContent>
                  </a:graphicData>
                </a:graphic>
              </wp:anchor>
            </w:drawing>
          </mc:Choice>
          <mc:Fallback>
            <w:pict>
              <v:shape id="墨迹 158" o:spid="_x0000_s1026" o:spt="75" style="position:absolute;left:0pt;margin-left:379.4pt;margin-top:284.75pt;height:0.05pt;width:0.05pt;z-index:251677696;mso-width-relative:page;mso-height-relative:page;" coordsize="21600,21600" o:gfxdata="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">
                <v:imagedata r:id="rId43" o:title=""/>
                <o:lock v:ext="edit"/>
              </v:shape>
            </w:pict>
          </mc:Fallback>
        </mc:AlternateContent>
      </w:r>
      <w:r>
        <w:rPr>
          <w:rFonts w:ascii="Times New Roman"/>
          <w:color w:val="auto"/>
          <w:sz w:val="21"/>
          <w:highlight w:val="none"/>
        </w:rPr>
        <mc:AlternateContent>
          <mc:Choice Requires="wps">
            <w:drawing>
              <wp:anchor distT="0" distB="0" distL="0" distR="0" simplePos="0" relativeHeight="251678720" behindDoc="0" locked="0" layoutInCell="1" allowOverlap="1">
                <wp:simplePos x="0" y="0"/>
                <wp:positionH relativeFrom="column">
                  <wp:posOffset>5123180</wp:posOffset>
                </wp:positionH>
                <wp:positionV relativeFrom="paragraph">
                  <wp:posOffset>3711575</wp:posOffset>
                </wp:positionV>
                <wp:extent cx="635" cy="635"/>
                <wp:effectExtent l="0" t="0" r="0" b="0"/>
                <wp:wrapNone/>
                <wp:docPr id="1083" name="墨迹 1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45">
                          <w14:nvContentPartPr>
                            <w14:cNvPr id="1083" name="墨迹 156"/>
                            <w14:cNvContentPartPr/>
                          </w14:nvContentPartPr>
                          <w14:xfrm>
                            <a:off x="0" y="0"/>
                            <a:ext cx="634" cy="634"/>
                          </w14:xfrm>
                        </w14:contentPart>
                      </mc:Choice>
                    </mc:AlternateContent>
                  </a:graphicData>
                </a:graphic>
              </wp:anchor>
            </w:drawing>
          </mc:Choice>
          <mc:Fallback>
            <w:pict>
              <v:shape id="墨迹 156" o:spid="_x0000_s1026" o:spt="75" style="position:absolute;left:0pt;margin-left:403.4pt;margin-top:292.25pt;height:0.05pt;width:0.05pt;z-index:251678720;mso-width-relative:page;mso-height-relative:page;" coordsize="21600,21600" o:gfxdata="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">
                <v:imagedata r:id="rId43" o:title=""/>
                <o:lock v:ext="edit"/>
              </v:shape>
            </w:pict>
          </mc:Fallback>
        </mc:AlternateContent>
      </w:r>
      <w:r>
        <w:rPr>
          <w:rFonts w:ascii="Times New Roman"/>
          <w:color w:val="auto"/>
          <w:sz w:val="21"/>
          <w:highlight w:val="none"/>
        </w:rPr>
        <mc:AlternateContent>
          <mc:Choice Requires="wps">
            <w:drawing>
              <wp:anchor distT="0" distB="0" distL="0" distR="0" simplePos="0" relativeHeight="251679744" behindDoc="0" locked="0" layoutInCell="1" allowOverlap="1">
                <wp:simplePos x="0" y="0"/>
                <wp:positionH relativeFrom="column">
                  <wp:posOffset>5132705</wp:posOffset>
                </wp:positionH>
                <wp:positionV relativeFrom="paragraph">
                  <wp:posOffset>3606800</wp:posOffset>
                </wp:positionV>
                <wp:extent cx="635" cy="635"/>
                <wp:effectExtent l="0" t="0" r="0" b="0"/>
                <wp:wrapNone/>
                <wp:docPr id="1084" name="墨迹 154"/>
                <wp:cNvGraphicFramePr/>
                <a:graphic xmlns:a="http://schemas.openxmlformats.org/drawingml/2006/main">
                  <a:graphicData uri="http://schemas.microsoft.com/office/word/2010/wordprocessingInk">
                    <mc:AlternateContent xmlns:a14="http://schemas.microsoft.com/office/drawing/2010/main">
                      <mc:Choice Requires="a14">
                        <w14:contentPart bwMode="auto" r:id="rId46">
                          <w14:nvContentPartPr>
                            <w14:cNvPr id="1084" name="墨迹 154"/>
                            <w14:cNvContentPartPr/>
                          </w14:nvContentPartPr>
                          <w14:xfrm>
                            <a:off x="0" y="0"/>
                            <a:ext cx="634" cy="634"/>
                          </w14:xfrm>
                        </w14:contentPart>
                      </mc:Choice>
                    </mc:AlternateContent>
                  </a:graphicData>
                </a:graphic>
              </wp:anchor>
            </w:drawing>
          </mc:Choice>
          <mc:Fallback>
            <w:pict>
              <v:shape id="墨迹 154" o:spid="_x0000_s1026" o:spt="75" style="position:absolute;left:0pt;margin-left:404.15pt;margin-top:284pt;height:0.05pt;width:0.05pt;z-index:251679744;mso-width-relative:page;mso-height-relative:page;" coordsize="21600,21600" o:gfxdata="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">
                <v:imagedata r:id="rId43" o:title=""/>
                <o:lock v:ext="edit"/>
              </v:shape>
            </w:pict>
          </mc:Fallback>
        </mc:AlternateContent>
      </w:r>
      <w:bookmarkStart w:id="163" w:name="_Toc31546"/>
    </w:p>
    <w:p w14:paraId="30266A16">
      <w:pPr>
        <w:pStyle w:val="56"/>
        <w:snapToGrid w:val="0"/>
        <w:ind w:left="0"/>
        <w:jc w:val="center"/>
        <w:outlineLvl w:val="0"/>
        <w:rPr>
          <w:rFonts w:ascii="Times New Roman"/>
          <w:color w:val="auto"/>
          <w:sz w:val="24"/>
          <w:szCs w:val="24"/>
          <w:highlight w:val="none"/>
        </w:rPr>
      </w:pPr>
      <w:bookmarkStart w:id="164" w:name="_Toc4389"/>
      <w:bookmarkStart w:id="165" w:name="_Toc20587"/>
      <w:r>
        <w:rPr>
          <w:rFonts w:hint="eastAsia" w:ascii="Times New Roman"/>
          <w:color w:val="auto"/>
          <w:sz w:val="24"/>
          <w:szCs w:val="24"/>
          <w:highlight w:val="none"/>
        </w:rPr>
        <w:t>附图4 环境保护目标分布图</w:t>
      </w:r>
      <w:bookmarkEnd w:id="163"/>
      <w:bookmarkEnd w:id="164"/>
      <w:bookmarkEnd w:id="165"/>
    </w:p>
    <w:p w14:paraId="51A192CD">
      <w:pPr>
        <w:pStyle w:val="56"/>
        <w:jc w:val="center"/>
        <w:rPr>
          <w:rFonts w:ascii="Times New Roman"/>
          <w:color w:val="auto"/>
          <w:highlight w:val="none"/>
        </w:rPr>
        <w:sectPr>
          <w:pgSz w:w="16838" w:h="11906" w:orient="landscape"/>
          <w:pgMar w:top="1440" w:right="1800" w:bottom="1440" w:left="1800" w:header="851" w:footer="992" w:gutter="0"/>
          <w:pgNumType w:fmt="numberInDash"/>
          <w:cols w:space="0" w:num="1"/>
          <w:docGrid w:type="lines" w:linePitch="334" w:charSpace="0"/>
        </w:sectPr>
      </w:pPr>
      <w:r>
        <w:rPr>
          <w:color w:val="auto"/>
          <w:highlight w:val="none"/>
        </w:rPr>
        <mc:AlternateContent>
          <mc:Choice Requires="wps">
            <w:drawing>
              <wp:anchor distT="0" distB="0" distL="0" distR="0" simplePos="0" relativeHeight="251680768" behindDoc="0" locked="0" layoutInCell="1" allowOverlap="1">
                <wp:simplePos x="0" y="0"/>
                <wp:positionH relativeFrom="column">
                  <wp:posOffset>7571740</wp:posOffset>
                </wp:positionH>
                <wp:positionV relativeFrom="paragraph">
                  <wp:posOffset>3931285</wp:posOffset>
                </wp:positionV>
                <wp:extent cx="1513205" cy="1333500"/>
                <wp:effectExtent l="4445" t="4445" r="6350" b="14605"/>
                <wp:wrapNone/>
                <wp:docPr id="1085" name="文本框 277"/>
                <wp:cNvGraphicFramePr/>
                <a:graphic xmlns:a="http://schemas.openxmlformats.org/drawingml/2006/main">
                  <a:graphicData uri="http://schemas.microsoft.com/office/word/2010/wordprocessingShape">
                    <wps:wsp>
                      <wps:cNvSpPr/>
                      <wps:spPr>
                        <a:xfrm>
                          <a:off x="0" y="0"/>
                          <a:ext cx="1513205" cy="1333500"/>
                        </a:xfrm>
                        <a:prstGeom prst="rect">
                          <a:avLst/>
                        </a:prstGeom>
                        <a:solidFill>
                          <a:srgbClr val="F2F2F2"/>
                        </a:solidFill>
                        <a:ln w="6350" cap="flat" cmpd="sng">
                          <a:solidFill>
                            <a:srgbClr val="000000"/>
                          </a:solidFill>
                          <a:prstDash val="solid"/>
                          <a:round/>
                        </a:ln>
                      </wps:spPr>
                      <wps:txbx>
                        <w:txbxContent>
                          <w:p w14:paraId="31389B07">
                            <w:pPr>
                              <w:jc w:val="center"/>
                              <w:rPr>
                                <w:b/>
                                <w:bCs/>
                              </w:rPr>
                            </w:pPr>
                            <w:r>
                              <w:rPr>
                                <w:b/>
                                <w:bCs/>
                              </w:rPr>
                              <w:t>图 例</w:t>
                            </w:r>
                          </w:p>
                          <w:p w14:paraId="63704C75">
                            <w:pPr>
                              <w:pStyle w:val="2"/>
                              <w:rPr>
                                <w:rFonts w:ascii="Times New Roman" w:cs="Times New Roman"/>
                                <w:b/>
                                <w:bCs/>
                              </w:rPr>
                            </w:pPr>
                            <w:r>
                              <w:rPr>
                                <w:rFonts w:ascii="Times New Roman" w:cs="Times New Roman"/>
                                <w:b/>
                                <w:bCs/>
                              </w:rPr>
                              <w:t>项目位置：</w:t>
                            </w:r>
                          </w:p>
                          <w:p w14:paraId="365C7C68">
                            <w:pPr>
                              <w:pStyle w:val="4"/>
                              <w:spacing w:before="50" w:line="360" w:lineRule="auto"/>
                              <w:ind w:right="-120" w:firstLine="0"/>
                              <w:jc w:val="left"/>
                              <w:rPr>
                                <w:b/>
                                <w:bCs/>
                                <w:sz w:val="24"/>
                                <w:szCs w:val="24"/>
                              </w:rPr>
                            </w:pPr>
                            <w:r>
                              <w:rPr>
                                <w:b/>
                                <w:bCs/>
                                <w:sz w:val="24"/>
                                <w:szCs w:val="24"/>
                              </w:rPr>
                              <w:t>500m范围：</w:t>
                            </w:r>
                          </w:p>
                          <w:p w14:paraId="1E53A0F6">
                            <w:pPr>
                              <w:pStyle w:val="11"/>
                              <w:spacing w:before="0" w:after="0"/>
                            </w:pPr>
                            <w:r>
                              <w:rPr>
                                <w:rFonts w:hint="eastAsia"/>
                                <w:b/>
                                <w:bCs/>
                                <w:sz w:val="24"/>
                              </w:rPr>
                              <w:t>敏感点：</w:t>
                            </w:r>
                          </w:p>
                        </w:txbxContent>
                      </wps:txbx>
                      <wps:bodyPr vert="horz" wrap="square" lIns="91440" tIns="45720" rIns="91440" bIns="45720" anchor="t">
                        <a:noAutofit/>
                      </wps:bodyPr>
                    </wps:wsp>
                  </a:graphicData>
                </a:graphic>
              </wp:anchor>
            </w:drawing>
          </mc:Choice>
          <mc:Fallback>
            <w:pict>
              <v:rect id="文本框 277" o:spid="_x0000_s1026" o:spt="1" style="position:absolute;left:0pt;margin-left:596.2pt;margin-top:309.55pt;height:105pt;width:119.15pt;z-index:251680768;mso-width-relative:page;mso-height-relative:page;" fillcolor="#F2F2F2" filled="t" stroked="t" coordsize="21600,21600" o:gfxdata="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Ftkfy&#10;2gAAAA0BAAAPAAAAAAAAAAEAIAAAACIAAABkcnMvZG93bnJldi54bWxQSwECFAAUAAAACACHTuJA&#10;SEXURR8CAABFBAAADgAAAAAAAAABACAAAAApAQAAZHJzL2Uyb0RvYy54bWxQSwUGAAAAAAYABgBZ&#10;AQAAugUAAAAA&#10;">
                <v:fill on="t" focussize="0,0"/>
                <v:stroke weight="0.5pt" color="#000000" joinstyle="round"/>
                <v:imagedata o:title=""/>
                <o:lock v:ext="edit" aspectratio="f"/>
                <v:textbox>
                  <w:txbxContent>
                    <w:p w14:paraId="31389B07">
                      <w:pPr>
                        <w:jc w:val="center"/>
                        <w:rPr>
                          <w:b/>
                          <w:bCs/>
                        </w:rPr>
                      </w:pPr>
                      <w:r>
                        <w:rPr>
                          <w:b/>
                          <w:bCs/>
                        </w:rPr>
                        <w:t>图 例</w:t>
                      </w:r>
                    </w:p>
                    <w:p w14:paraId="63704C75">
                      <w:pPr>
                        <w:pStyle w:val="2"/>
                        <w:rPr>
                          <w:rFonts w:ascii="Times New Roman" w:cs="Times New Roman"/>
                          <w:b/>
                          <w:bCs/>
                        </w:rPr>
                      </w:pPr>
                      <w:r>
                        <w:rPr>
                          <w:rFonts w:ascii="Times New Roman" w:cs="Times New Roman"/>
                          <w:b/>
                          <w:bCs/>
                        </w:rPr>
                        <w:t>项目位置：</w:t>
                      </w:r>
                    </w:p>
                    <w:p w14:paraId="365C7C68">
                      <w:pPr>
                        <w:pStyle w:val="4"/>
                        <w:spacing w:before="50" w:line="360" w:lineRule="auto"/>
                        <w:ind w:right="-120" w:firstLine="0"/>
                        <w:jc w:val="left"/>
                        <w:rPr>
                          <w:b/>
                          <w:bCs/>
                          <w:sz w:val="24"/>
                          <w:szCs w:val="24"/>
                        </w:rPr>
                      </w:pPr>
                      <w:r>
                        <w:rPr>
                          <w:b/>
                          <w:bCs/>
                          <w:sz w:val="24"/>
                          <w:szCs w:val="24"/>
                        </w:rPr>
                        <w:t>500m范围：</w:t>
                      </w:r>
                    </w:p>
                    <w:p w14:paraId="1E53A0F6">
                      <w:pPr>
                        <w:pStyle w:val="11"/>
                        <w:spacing w:before="0" w:after="0"/>
                      </w:pPr>
                      <w:r>
                        <w:rPr>
                          <w:rFonts w:hint="eastAsia"/>
                          <w:b/>
                          <w:bCs/>
                          <w:sz w:val="24"/>
                        </w:rPr>
                        <w:t>敏感点：</w:t>
                      </w:r>
                    </w:p>
                  </w:txbxContent>
                </v:textbox>
              </v:rect>
            </w:pict>
          </mc:Fallback>
        </mc:AlternateContent>
      </w:r>
    </w:p>
    <w:p w14:paraId="46385E88">
      <w:pPr>
        <w:pStyle w:val="2"/>
        <w:snapToGrid w:val="0"/>
        <w:jc w:val="center"/>
        <w:rPr>
          <w:rFonts w:ascii="Times New Roman" w:cs="Times New Roman"/>
          <w:color w:val="auto"/>
          <w:highlight w:val="none"/>
        </w:rPr>
      </w:pPr>
      <w:r>
        <w:rPr>
          <w:color w:val="auto"/>
          <w:highlight w:val="none"/>
        </w:rPr>
        <mc:AlternateContent>
          <mc:Choice Requires="wps">
            <w:drawing>
              <wp:anchor distT="0" distB="0" distL="0" distR="0" simplePos="0" relativeHeight="251681792" behindDoc="0" locked="0" layoutInCell="1" allowOverlap="1">
                <wp:simplePos x="0" y="0"/>
                <wp:positionH relativeFrom="column">
                  <wp:posOffset>3068955</wp:posOffset>
                </wp:positionH>
                <wp:positionV relativeFrom="paragraph">
                  <wp:posOffset>561975</wp:posOffset>
                </wp:positionV>
                <wp:extent cx="1111250" cy="550545"/>
                <wp:effectExtent l="543560" t="9525" r="18415" b="109220"/>
                <wp:wrapNone/>
                <wp:docPr id="1086" name="圆角矩形标注 289"/>
                <wp:cNvGraphicFramePr/>
                <a:graphic xmlns:a="http://schemas.openxmlformats.org/drawingml/2006/main">
                  <a:graphicData uri="http://schemas.microsoft.com/office/word/2010/wordprocessingShape">
                    <wps:wsp>
                      <wps:cNvSpPr/>
                      <wps:spPr>
                        <a:xfrm>
                          <a:off x="0" y="0"/>
                          <a:ext cx="1111250" cy="550545"/>
                        </a:xfrm>
                        <a:prstGeom prst="wedgeRoundRectCallout">
                          <a:avLst>
                            <a:gd name="adj1" fmla="val -92685"/>
                            <a:gd name="adj2" fmla="val 62918"/>
                            <a:gd name="adj3" fmla="val 16667"/>
                          </a:avLst>
                        </a:prstGeom>
                        <a:solidFill>
                          <a:srgbClr val="F2F2F2"/>
                        </a:solidFill>
                        <a:ln w="19050" cap="flat" cmpd="sng">
                          <a:solidFill>
                            <a:srgbClr val="000000"/>
                          </a:solidFill>
                          <a:prstDash val="solid"/>
                          <a:miter/>
                        </a:ln>
                      </wps:spPr>
                      <wps:txbx>
                        <w:txbxContent>
                          <w:p w14:paraId="40C3BB69">
                            <w:pPr>
                              <w:jc w:val="center"/>
                              <w:rPr>
                                <w:b/>
                                <w:bCs/>
                              </w:rPr>
                            </w:pPr>
                            <w:r>
                              <w:rPr>
                                <w:rFonts w:hint="eastAsia"/>
                                <w:b/>
                                <w:bCs/>
                              </w:rPr>
                              <w:t>项目位置</w:t>
                            </w:r>
                          </w:p>
                        </w:txbxContent>
                      </wps:txbx>
                      <wps:bodyPr vert="horz" wrap="square" lIns="91440" tIns="45720" rIns="91440" bIns="45720" anchor="ctr">
                        <a:noAutofit/>
                      </wps:bodyPr>
                    </wps:wsp>
                  </a:graphicData>
                </a:graphic>
              </wp:anchor>
            </w:drawing>
          </mc:Choice>
          <mc:Fallback>
            <w:pict>
              <v:shape id="圆角矩形标注 289" o:spid="_x0000_s1026" o:spt="62" type="#_x0000_t62" style="position:absolute;left:0pt;margin-left:241.65pt;margin-top:44.25pt;height:43.35pt;width:87.5pt;z-index:251681792;v-text-anchor:middle;mso-width-relative:page;mso-height-relative:page;" fillcolor="#F2F2F2" filled="t" stroked="t" coordsize="21600,21600" o:gfxdata="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S9dyTNkAAAAKAQAADwAAAAAAAAABACAAAAAiAAAAZHJzL2Rvd25yZXYu&#10;eG1sUEsBAhQAFAAAAAgAh07iQMmXvS9sAgAA1wQAAA4AAAAAAAAAAQAgAAAAKAEAAGRycy9lMm9E&#10;b2MueG1sUEsFBgAAAAAGAAYAWQEAAAYGAAAAAA==&#10;" adj="-9220,24390,14400">
                <v:fill on="t" focussize="0,0"/>
                <v:stroke weight="1.5pt" color="#000000" joinstyle="miter"/>
                <v:imagedata o:title=""/>
                <o:lock v:ext="edit" aspectratio="f"/>
                <v:textbox>
                  <w:txbxContent>
                    <w:p w14:paraId="40C3BB69">
                      <w:pPr>
                        <w:jc w:val="center"/>
                        <w:rPr>
                          <w:b/>
                          <w:bCs/>
                        </w:rPr>
                      </w:pPr>
                      <w:r>
                        <w:rPr>
                          <w:rFonts w:hint="eastAsia"/>
                          <w:b/>
                          <w:bCs/>
                        </w:rPr>
                        <w:t>项目位置</w:t>
                      </w:r>
                    </w:p>
                  </w:txbxContent>
                </v:textbox>
              </v:shape>
            </w:pict>
          </mc:Fallback>
        </mc:AlternateContent>
      </w:r>
      <w:r>
        <w:rPr>
          <w:color w:val="auto"/>
          <w:highlight w:val="none"/>
        </w:rPr>
        <mc:AlternateContent>
          <mc:Choice Requires="wps">
            <w:drawing>
              <wp:anchor distT="0" distB="0" distL="0" distR="0" simplePos="0" relativeHeight="251682816" behindDoc="0" locked="0" layoutInCell="1" allowOverlap="1">
                <wp:simplePos x="0" y="0"/>
                <wp:positionH relativeFrom="column">
                  <wp:posOffset>2463800</wp:posOffset>
                </wp:positionH>
                <wp:positionV relativeFrom="paragraph">
                  <wp:posOffset>1178560</wp:posOffset>
                </wp:positionV>
                <wp:extent cx="88265" cy="92710"/>
                <wp:effectExtent l="1905" t="0" r="5080" b="21590"/>
                <wp:wrapNone/>
                <wp:docPr id="1087" name="五角星 286"/>
                <wp:cNvGraphicFramePr/>
                <a:graphic xmlns:a="http://schemas.openxmlformats.org/drawingml/2006/main">
                  <a:graphicData uri="http://schemas.microsoft.com/office/word/2010/wordprocessingShape">
                    <wps:wsp>
                      <wps:cNvSpPr/>
                      <wps:spPr>
                        <a:xfrm>
                          <a:off x="0" y="0"/>
                          <a:ext cx="88264" cy="92710"/>
                        </a:xfrm>
                        <a:prstGeom prst="star5">
                          <a:avLst>
                            <a:gd name="adj" fmla="val 0"/>
                            <a:gd name="hf" fmla="val 105146"/>
                            <a:gd name="vf" fmla="val 110557"/>
                          </a:avLst>
                        </a:prstGeom>
                        <a:solidFill>
                          <a:srgbClr val="FF0000"/>
                        </a:solidFill>
                        <a:ln w="12700" cap="flat" cmpd="sng">
                          <a:solidFill>
                            <a:srgbClr val="000000"/>
                          </a:solidFill>
                          <a:prstDash val="solid"/>
                          <a:miter/>
                        </a:ln>
                      </wps:spPr>
                      <wps:bodyPr/>
                    </wps:wsp>
                  </a:graphicData>
                </a:graphic>
              </wp:anchor>
            </w:drawing>
          </mc:Choice>
          <mc:Fallback>
            <w:pict>
              <v:shape id="五角星 286" o:spid="_x0000_s1026" style="position:absolute;left:0pt;margin-left:194pt;margin-top:92.8pt;height:7.3pt;width:6.95pt;z-index:251682816;mso-width-relative:page;mso-height-relative:page;" fillcolor="#FF0000" filled="t" stroked="t" coordsize="88264,92710" o:gfxdata="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ptQ9tgAAAALAQAADwAAAAAAAAABACAAAAAi&#10;AAAAZHJzL2Rvd25yZXYueG1sUEsBAhQAFAAAAAgAh07iQNyUR3UKAgAAMwQAAA4AAAAAAAAAAQAg&#10;AAAAJwEAAGRycy9lMm9Eb2MueG1sUEsFBgAAAAAGAAYAWQEAAKMFAAAAAA==&#10;" path="m0,35411l44132,51248,44132,0,44132,51248,88263,35411,44132,51248,71407,92709,44132,51248,16856,92709,44132,51248xe">
                <v:path o:connectlocs="44132,0;0,35411;16856,92709;71407,92709;88263,35411" o:connectangles="247,164,82,82,0"/>
                <v:fill on="t" focussize="0,0"/>
                <v:stroke weight="1pt" color="#000000" joinstyle="miter"/>
                <v:imagedata o:title=""/>
                <o:lock v:ext="edit" aspectratio="f"/>
              </v:shape>
            </w:pict>
          </mc:Fallback>
        </mc:AlternateContent>
      </w:r>
      <w:r>
        <w:rPr>
          <w:rFonts w:hint="eastAsia"/>
          <w:color w:val="auto"/>
          <w:highlight w:val="none"/>
        </w:rPr>
        <w:drawing>
          <wp:inline distT="0" distB="0" distL="0" distR="0">
            <wp:extent cx="8046720" cy="5445760"/>
            <wp:effectExtent l="9525" t="9525" r="18415" b="17780"/>
            <wp:docPr id="1088" name="图片 62" descr="01城东法定图则"/>
            <wp:cNvGraphicFramePr/>
            <a:graphic xmlns:a="http://schemas.openxmlformats.org/drawingml/2006/main">
              <a:graphicData uri="http://schemas.openxmlformats.org/drawingml/2006/picture">
                <pic:pic xmlns:pic="http://schemas.openxmlformats.org/drawingml/2006/picture">
                  <pic:nvPicPr>
                    <pic:cNvPr id="1088" name="图片 62" descr="01城东法定图则"/>
                    <pic:cNvPicPr/>
                  </pic:nvPicPr>
                  <pic:blipFill>
                    <a:blip r:embed="rId47" cstate="print"/>
                    <a:srcRect/>
                    <a:stretch>
                      <a:fillRect/>
                    </a:stretch>
                  </pic:blipFill>
                  <pic:spPr>
                    <a:xfrm>
                      <a:off x="0" y="0"/>
                      <a:ext cx="8046720" cy="5445760"/>
                    </a:xfrm>
                    <a:prstGeom prst="rect">
                      <a:avLst/>
                    </a:prstGeom>
                    <a:ln w="9525" cap="flat" cmpd="sng">
                      <a:solidFill>
                        <a:srgbClr val="000000"/>
                      </a:solidFill>
                      <a:prstDash val="solid"/>
                      <a:round/>
                    </a:ln>
                  </pic:spPr>
                </pic:pic>
              </a:graphicData>
            </a:graphic>
          </wp:inline>
        </w:drawing>
      </w:r>
    </w:p>
    <w:p w14:paraId="46C6FD9E">
      <w:pPr>
        <w:kinsoku w:val="0"/>
        <w:overflowPunct w:val="0"/>
        <w:adjustRightInd w:val="0"/>
        <w:snapToGrid w:val="0"/>
        <w:ind w:firstLine="482" w:firstLineChars="200"/>
        <w:jc w:val="center"/>
        <w:outlineLvl w:val="0"/>
        <w:rPr>
          <w:b/>
          <w:bCs/>
          <w:color w:val="auto"/>
          <w:szCs w:val="22"/>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66" w:name="_Toc28121"/>
      <w:bookmarkStart w:id="167" w:name="_Toc30352"/>
      <w:bookmarkStart w:id="168" w:name="_Toc10032"/>
      <w:r>
        <w:rPr>
          <w:b/>
          <w:bCs/>
          <w:color w:val="auto"/>
          <w:szCs w:val="22"/>
          <w:highlight w:val="none"/>
        </w:rPr>
        <w:t>附图</w:t>
      </w:r>
      <w:r>
        <w:rPr>
          <w:rFonts w:hint="eastAsia"/>
          <w:b/>
          <w:bCs/>
          <w:color w:val="auto"/>
          <w:szCs w:val="22"/>
          <w:highlight w:val="none"/>
        </w:rPr>
        <w:t>5</w:t>
      </w:r>
      <w:r>
        <w:rPr>
          <w:b/>
          <w:bCs/>
          <w:color w:val="auto"/>
          <w:szCs w:val="22"/>
          <w:highlight w:val="none"/>
        </w:rPr>
        <w:t xml:space="preserve"> </w:t>
      </w:r>
      <w:bookmarkEnd w:id="166"/>
      <w:r>
        <w:rPr>
          <w:rFonts w:hint="eastAsia"/>
          <w:b/>
          <w:bCs/>
          <w:color w:val="auto"/>
          <w:szCs w:val="22"/>
          <w:highlight w:val="none"/>
        </w:rPr>
        <w:t>建设项目土地利用规划图</w:t>
      </w:r>
      <w:bookmarkEnd w:id="167"/>
      <w:bookmarkEnd w:id="168"/>
    </w:p>
    <w:p w14:paraId="5948B1E2">
      <w:pPr>
        <w:pStyle w:val="2"/>
        <w:jc w:val="center"/>
        <w:rPr>
          <w:rFonts w:ascii="Times New Roman" w:cs="Times New Roman"/>
          <w:color w:val="auto"/>
          <w:highlight w:val="none"/>
        </w:rPr>
      </w:pPr>
      <w:r>
        <w:rPr>
          <w:color w:val="auto"/>
          <w:sz w:val="32"/>
          <w:highlight w:val="none"/>
        </w:rPr>
        <mc:AlternateContent>
          <mc:Choice Requires="wps">
            <w:drawing>
              <wp:anchor distT="0" distB="0" distL="0" distR="0" simplePos="0" relativeHeight="251683840" behindDoc="0" locked="0" layoutInCell="1" allowOverlap="1">
                <wp:simplePos x="0" y="0"/>
                <wp:positionH relativeFrom="column">
                  <wp:posOffset>5603875</wp:posOffset>
                </wp:positionH>
                <wp:positionV relativeFrom="paragraph">
                  <wp:posOffset>3580130</wp:posOffset>
                </wp:positionV>
                <wp:extent cx="139065" cy="141605"/>
                <wp:effectExtent l="13970" t="16510" r="18415" b="13334"/>
                <wp:wrapNone/>
                <wp:docPr id="1089" name="五角星 291"/>
                <wp:cNvGraphicFramePr/>
                <a:graphic xmlns:a="http://schemas.openxmlformats.org/drawingml/2006/main">
                  <a:graphicData uri="http://schemas.microsoft.com/office/word/2010/wordprocessingShape">
                    <wps:wsp>
                      <wps:cNvSpPr/>
                      <wps:spPr>
                        <a:xfrm>
                          <a:off x="0" y="0"/>
                          <a:ext cx="139065" cy="141604"/>
                        </a:xfrm>
                        <a:prstGeom prst="star5">
                          <a:avLst/>
                        </a:prstGeom>
                        <a:solidFill>
                          <a:srgbClr val="FF0000"/>
                        </a:solidFill>
                        <a:ln w="9525" cap="flat" cmpd="sng">
                          <a:solidFill>
                            <a:srgbClr val="000000"/>
                          </a:solidFill>
                          <a:prstDash val="solid"/>
                          <a:miter/>
                        </a:ln>
                      </wps:spPr>
                      <wps:bodyPr/>
                    </wps:wsp>
                  </a:graphicData>
                </a:graphic>
              </wp:anchor>
            </w:drawing>
          </mc:Choice>
          <mc:Fallback>
            <w:pict>
              <v:shape id="五角星 291" o:spid="_x0000_s1026" style="position:absolute;left:0pt;margin-left:441.25pt;margin-top:281.9pt;height:11.15pt;width:10.95pt;z-index:251683840;mso-width-relative:page;mso-height-relative:page;" fillcolor="#FF0000" filled="t" stroked="t" coordsize="139065,141604" o:gfxdata="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Urgub2wAAAAsB&#10;AAAPAAAAAAAAAAEAIAAAACIAAABkcnMvZG93bnJldi54bWxQSwECFAAUAAAACACHTuJA2SshHt8B&#10;AADGAwAADgAAAAAAAAABACAAAAAqAQAAZHJzL2Uyb0RvYy54bWxQSwUGAAAAAAYABgBZAQAAewUA&#10;AAAA&#10;" path="m0,54087l53118,54088,69532,0,85946,54088,139064,54087,96091,87515,112505,141603,69532,108175,26559,141603,42973,87515xe">
                <v:path o:connectlocs="69532,0;0,54087;26559,141603;112505,141603;139064,54087" o:connectangles="247,164,82,82,0"/>
                <v:fill on="t" focussize="0,0"/>
                <v:stroke color="#000000" joinstyle="miter"/>
                <v:imagedata o:title=""/>
                <o:lock v:ext="edit" aspectratio="f"/>
              </v:shape>
            </w:pict>
          </mc:Fallback>
        </mc:AlternateContent>
      </w:r>
      <w:r>
        <w:rPr>
          <w:color w:val="auto"/>
          <w:sz w:val="32"/>
          <w:highlight w:val="none"/>
        </w:rPr>
        <mc:AlternateContent>
          <mc:Choice Requires="wps">
            <w:drawing>
              <wp:anchor distT="0" distB="0" distL="0" distR="0" simplePos="0" relativeHeight="251684864" behindDoc="0" locked="0" layoutInCell="1" allowOverlap="1">
                <wp:simplePos x="0" y="0"/>
                <wp:positionH relativeFrom="column">
                  <wp:posOffset>5770245</wp:posOffset>
                </wp:positionH>
                <wp:positionV relativeFrom="paragraph">
                  <wp:posOffset>2940685</wp:posOffset>
                </wp:positionV>
                <wp:extent cx="1087120" cy="422275"/>
                <wp:effectExtent l="107950" t="5080" r="5080" b="277495"/>
                <wp:wrapNone/>
                <wp:docPr id="1090" name="圆角矩形标注 292"/>
                <wp:cNvGraphicFramePr/>
                <a:graphic xmlns:a="http://schemas.openxmlformats.org/drawingml/2006/main">
                  <a:graphicData uri="http://schemas.microsoft.com/office/word/2010/wordprocessingShape">
                    <wps:wsp>
                      <wps:cNvSpPr/>
                      <wps:spPr>
                        <a:xfrm>
                          <a:off x="0" y="0"/>
                          <a:ext cx="1087120" cy="422274"/>
                        </a:xfrm>
                        <a:prstGeom prst="wedgeRoundRectCallout">
                          <a:avLst>
                            <a:gd name="adj1" fmla="val -57710"/>
                            <a:gd name="adj2" fmla="val 110751"/>
                            <a:gd name="adj3" fmla="val 16667"/>
                          </a:avLst>
                        </a:prstGeom>
                        <a:solidFill>
                          <a:srgbClr val="FFFFFF"/>
                        </a:solidFill>
                        <a:ln w="9525" cap="flat" cmpd="sng">
                          <a:solidFill>
                            <a:srgbClr val="000000"/>
                          </a:solidFill>
                          <a:prstDash val="solid"/>
                          <a:miter/>
                        </a:ln>
                      </wps:spPr>
                      <wps:txbx>
                        <w:txbxContent>
                          <w:p w14:paraId="6D24856D">
                            <w:pPr>
                              <w:snapToGrid w:val="0"/>
                              <w:jc w:val="center"/>
                              <w:rPr>
                                <w:b/>
                                <w:bCs/>
                                <w:color w:val="000000"/>
                                <w:sz w:val="28"/>
                                <w:szCs w:val="28"/>
                              </w:rPr>
                            </w:pPr>
                            <w:r>
                              <w:rPr>
                                <w:rFonts w:hint="eastAsia"/>
                                <w:b/>
                                <w:bCs/>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292" o:spid="_x0000_s1026" o:spt="62" type="#_x0000_t62" style="position:absolute;left:0pt;margin-left:454.35pt;margin-top:231.55pt;height:33.25pt;width:85.6pt;z-index:251684864;v-text-anchor:middle;mso-width-relative:page;mso-height-relative:page;" fillcolor="#FFFFFF" filled="t" stroked="t" coordsize="21600,21600" o:gfxdata="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uWmk90AAAAMAQAADwAAAAAAAAABACAAAAAiAAAAZHJzL2Rvd25y&#10;ZXYueG1sUEsBAhQAFAAAAAgAh07iQCMxzxlrAgAA1wQAAA4AAAAAAAAAAQAgAAAALAEAAGRycy9l&#10;Mm9Eb2MueG1sUEsFBgAAAAAGAAYAWQEAAAkGAAAAAA==&#10;" adj="-1665,34722,14400">
                <v:fill on="t" focussize="0,0"/>
                <v:stroke color="#000000" joinstyle="miter"/>
                <v:imagedata o:title=""/>
                <o:lock v:ext="edit" aspectratio="f"/>
                <v:textbox>
                  <w:txbxContent>
                    <w:p w14:paraId="6D24856D">
                      <w:pPr>
                        <w:snapToGrid w:val="0"/>
                        <w:jc w:val="center"/>
                        <w:rPr>
                          <w:b/>
                          <w:bCs/>
                          <w:color w:val="000000"/>
                          <w:sz w:val="28"/>
                          <w:szCs w:val="28"/>
                        </w:rPr>
                      </w:pPr>
                      <w:r>
                        <w:rPr>
                          <w:rFonts w:hint="eastAsia"/>
                          <w:b/>
                          <w:bCs/>
                          <w:color w:val="000000"/>
                          <w:sz w:val="28"/>
                          <w:szCs w:val="28"/>
                        </w:rPr>
                        <w:t>项目位置</w:t>
                      </w:r>
                    </w:p>
                  </w:txbxContent>
                </v:textbox>
              </v:shape>
            </w:pict>
          </mc:Fallback>
        </mc:AlternateContent>
      </w:r>
      <w:r>
        <w:rPr>
          <w:color w:val="auto"/>
          <w:highlight w:val="none"/>
        </w:rPr>
        <w:drawing>
          <wp:inline distT="0" distB="0" distL="0" distR="0">
            <wp:extent cx="7646670" cy="5318760"/>
            <wp:effectExtent l="28575" t="28575" r="40005" b="43815"/>
            <wp:docPr id="1091" name="图片 15"/>
            <wp:cNvGraphicFramePr/>
            <a:graphic xmlns:a="http://schemas.openxmlformats.org/drawingml/2006/main">
              <a:graphicData uri="http://schemas.openxmlformats.org/drawingml/2006/picture">
                <pic:pic xmlns:pic="http://schemas.openxmlformats.org/drawingml/2006/picture">
                  <pic:nvPicPr>
                    <pic:cNvPr id="1091" name="图片 15"/>
                    <pic:cNvPicPr/>
                  </pic:nvPicPr>
                  <pic:blipFill>
                    <a:blip r:embed="rId48" cstate="print"/>
                    <a:srcRect/>
                    <a:stretch>
                      <a:fillRect/>
                    </a:stretch>
                  </pic:blipFill>
                  <pic:spPr>
                    <a:xfrm>
                      <a:off x="0" y="0"/>
                      <a:ext cx="7646670" cy="5318760"/>
                    </a:xfrm>
                    <a:prstGeom prst="rect">
                      <a:avLst/>
                    </a:prstGeom>
                    <a:ln w="28575" cap="flat" cmpd="sng">
                      <a:solidFill>
                        <a:srgbClr val="000000"/>
                      </a:solidFill>
                      <a:prstDash val="solid"/>
                      <a:round/>
                    </a:ln>
                  </pic:spPr>
                </pic:pic>
              </a:graphicData>
            </a:graphic>
          </wp:inline>
        </w:drawing>
      </w:r>
    </w:p>
    <w:p w14:paraId="753DC096">
      <w:pPr>
        <w:kinsoku w:val="0"/>
        <w:overflowPunct w:val="0"/>
        <w:adjustRightInd w:val="0"/>
        <w:snapToGrid w:val="0"/>
        <w:ind w:firstLine="482" w:firstLineChars="200"/>
        <w:jc w:val="center"/>
        <w:outlineLvl w:val="0"/>
        <w:rPr>
          <w:b/>
          <w:bCs/>
          <w:color w:val="auto"/>
          <w:szCs w:val="22"/>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69" w:name="_Toc7414"/>
      <w:bookmarkStart w:id="170" w:name="_Toc20853"/>
      <w:bookmarkStart w:id="171" w:name="_Toc9577"/>
      <w:r>
        <w:rPr>
          <w:b/>
          <w:bCs/>
          <w:color w:val="auto"/>
          <w:szCs w:val="22"/>
          <w:highlight w:val="none"/>
        </w:rPr>
        <w:t>附图</w:t>
      </w:r>
      <w:r>
        <w:rPr>
          <w:rFonts w:hint="eastAsia"/>
          <w:b/>
          <w:bCs/>
          <w:color w:val="auto"/>
          <w:szCs w:val="22"/>
          <w:highlight w:val="none"/>
        </w:rPr>
        <w:t>6</w:t>
      </w:r>
      <w:r>
        <w:rPr>
          <w:b/>
          <w:bCs/>
          <w:color w:val="auto"/>
          <w:szCs w:val="22"/>
          <w:highlight w:val="none"/>
        </w:rPr>
        <w:t xml:space="preserve"> </w:t>
      </w:r>
      <w:bookmarkEnd w:id="169"/>
      <w:r>
        <w:rPr>
          <w:rFonts w:hint="eastAsia"/>
          <w:b/>
          <w:bCs/>
          <w:color w:val="auto"/>
          <w:szCs w:val="22"/>
          <w:highlight w:val="none"/>
        </w:rPr>
        <w:t>大气环境功能区划图</w:t>
      </w:r>
      <w:bookmarkEnd w:id="170"/>
      <w:bookmarkEnd w:id="171"/>
    </w:p>
    <w:p w14:paraId="0AADF72A">
      <w:pPr>
        <w:kinsoku w:val="0"/>
        <w:overflowPunct w:val="0"/>
        <w:adjustRightInd w:val="0"/>
        <w:snapToGrid w:val="0"/>
        <w:ind w:firstLine="480" w:firstLineChars="200"/>
        <w:jc w:val="center"/>
        <w:rPr>
          <w:color w:val="auto"/>
          <w:highlight w:val="none"/>
        </w:rPr>
      </w:pPr>
      <w:r>
        <w:rPr>
          <w:color w:val="auto"/>
          <w:highlight w:val="none"/>
        </w:rPr>
        <mc:AlternateContent>
          <mc:Choice Requires="wps">
            <w:drawing>
              <wp:anchor distT="0" distB="0" distL="0" distR="0" simplePos="0" relativeHeight="251685888" behindDoc="0" locked="0" layoutInCell="1" allowOverlap="1">
                <wp:simplePos x="0" y="0"/>
                <wp:positionH relativeFrom="column">
                  <wp:posOffset>5824855</wp:posOffset>
                </wp:positionH>
                <wp:positionV relativeFrom="paragraph">
                  <wp:posOffset>3559810</wp:posOffset>
                </wp:positionV>
                <wp:extent cx="161290" cy="154305"/>
                <wp:effectExtent l="19685" t="20955" r="28575" b="34290"/>
                <wp:wrapNone/>
                <wp:docPr id="1092" name="五角星 314"/>
                <wp:cNvGraphicFramePr/>
                <a:graphic xmlns:a="http://schemas.openxmlformats.org/drawingml/2006/main">
                  <a:graphicData uri="http://schemas.microsoft.com/office/word/2010/wordprocessingShape">
                    <wps:wsp>
                      <wps:cNvSpPr/>
                      <wps:spPr>
                        <a:xfrm>
                          <a:off x="0" y="0"/>
                          <a:ext cx="161290" cy="154304"/>
                        </a:xfrm>
                        <a:prstGeom prst="star5">
                          <a:avLst/>
                        </a:prstGeom>
                        <a:solidFill>
                          <a:srgbClr val="FF0000"/>
                        </a:solidFill>
                        <a:ln w="12700" cap="flat" cmpd="sng">
                          <a:solidFill>
                            <a:srgbClr val="000000"/>
                          </a:solidFill>
                          <a:prstDash val="solid"/>
                          <a:miter/>
                        </a:ln>
                      </wps:spPr>
                      <wps:txbx>
                        <w:txbxContent>
                          <w:p w14:paraId="156B559E">
                            <w:pPr>
                              <w:jc w:val="center"/>
                            </w:pPr>
                          </w:p>
                        </w:txbxContent>
                      </wps:txbx>
                      <wps:bodyPr vert="horz" wrap="square" lIns="91440" tIns="45720" rIns="91440" bIns="45720" anchor="ctr">
                        <a:noAutofit/>
                      </wps:bodyPr>
                    </wps:wsp>
                  </a:graphicData>
                </a:graphic>
              </wp:anchor>
            </w:drawing>
          </mc:Choice>
          <mc:Fallback>
            <w:pict>
              <v:shape id="五角星 314" o:spid="_x0000_s1026" style="position:absolute;left:0pt;margin-left:458.65pt;margin-top:280.3pt;height:12.15pt;width:12.7pt;z-index:251685888;v-text-anchor:middle;mso-width-relative:page;mso-height-relative:page;" fillcolor="#FF0000" filled="t" stroked="t" coordsize="161290,154304" o:gfxdata="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TzmUS3AAAAAsBAAAPAAAAAAAAAAEAIAAAACIAAABkcnMvZG93bnJldi54bWxQSwECFAAUAAAA&#10;CACHTuJAUk6zTiMCAABHBAAADgAAAAAAAAABACAAAAArAQAAZHJzL2Uyb0RvYy54bWxQSwUGAAAA&#10;AAYABgBZAQAAwAUAAAAA&#10;" path="m0,58938l61607,58939,80645,0,99682,58939,161289,58938,111448,95364,130486,154303,80645,117876,30803,154303,49841,95364xe">
                <v:path textboxrect="0,0,161290,154304" o:connectlocs="80645,0;0,58938;30803,154303;130486,154303;161289,58938" o:connectangles="247,164,82,82,0"/>
                <v:fill on="t" focussize="0,0"/>
                <v:stroke weight="1pt" color="#000000" joinstyle="miter"/>
                <v:imagedata o:title=""/>
                <o:lock v:ext="edit" aspectratio="f"/>
                <v:textbox>
                  <w:txbxContent>
                    <w:p w14:paraId="156B559E">
                      <w:pPr>
                        <w:jc w:val="center"/>
                      </w:pPr>
                    </w:p>
                  </w:txbxContent>
                </v:textbox>
              </v:shape>
            </w:pict>
          </mc:Fallback>
        </mc:AlternateContent>
      </w:r>
      <w:r>
        <w:rPr>
          <w:color w:val="auto"/>
          <w:highlight w:val="none"/>
        </w:rPr>
        <mc:AlternateContent>
          <mc:Choice Requires="wps">
            <w:drawing>
              <wp:anchor distT="0" distB="0" distL="0" distR="0" simplePos="0" relativeHeight="251686912" behindDoc="0" locked="0" layoutInCell="1" allowOverlap="1">
                <wp:simplePos x="0" y="0"/>
                <wp:positionH relativeFrom="column">
                  <wp:posOffset>5936615</wp:posOffset>
                </wp:positionH>
                <wp:positionV relativeFrom="paragraph">
                  <wp:posOffset>852170</wp:posOffset>
                </wp:positionV>
                <wp:extent cx="219075" cy="209550"/>
                <wp:effectExtent l="19685" t="20955" r="27940" b="17145"/>
                <wp:wrapNone/>
                <wp:docPr id="1093" name="五角星 313"/>
                <wp:cNvGraphicFramePr/>
                <a:graphic xmlns:a="http://schemas.openxmlformats.org/drawingml/2006/main">
                  <a:graphicData uri="http://schemas.microsoft.com/office/word/2010/wordprocessingShape">
                    <wps:wsp>
                      <wps:cNvSpPr/>
                      <wps:spPr>
                        <a:xfrm>
                          <a:off x="0" y="0"/>
                          <a:ext cx="219075" cy="209550"/>
                        </a:xfrm>
                        <a:prstGeom prst="star5">
                          <a:avLst/>
                        </a:prstGeom>
                        <a:solidFill>
                          <a:srgbClr val="FF0000"/>
                        </a:solidFill>
                        <a:ln w="12700" cap="flat" cmpd="sng">
                          <a:solidFill>
                            <a:srgbClr val="000000"/>
                          </a:solidFill>
                          <a:prstDash val="solid"/>
                          <a:miter/>
                        </a:ln>
                      </wps:spPr>
                      <wps:txbx>
                        <w:txbxContent>
                          <w:p w14:paraId="3A0E49B4">
                            <w:pPr>
                              <w:jc w:val="center"/>
                            </w:pPr>
                          </w:p>
                        </w:txbxContent>
                      </wps:txbx>
                      <wps:bodyPr vert="horz" wrap="square" lIns="91440" tIns="45720" rIns="91440" bIns="45720" anchor="ctr">
                        <a:noAutofit/>
                      </wps:bodyPr>
                    </wps:wsp>
                  </a:graphicData>
                </a:graphic>
              </wp:anchor>
            </w:drawing>
          </mc:Choice>
          <mc:Fallback>
            <w:pict>
              <v:shape id="五角星 313" o:spid="_x0000_s1026" style="position:absolute;left:0pt;margin-left:467.45pt;margin-top:67.1pt;height:16.5pt;width:17.25pt;z-index:251686912;v-text-anchor:middle;mso-width-relative:page;mso-height-relative:page;" fillcolor="#FF0000" filled="t" stroked="t" coordsize="219075,209550" o:gfxdata="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y&#10;w88z2QAAAAsBAAAPAAAAAAAAAAEAIAAAACIAAABkcnMvZG93bnJldi54bWxQSwECFAAUAAAACACH&#10;TuJAsTyc6SMCAABHBAAADgAAAAAAAAABACAAAAAoAQAAZHJzL2Uyb0RvYy54bWxQSwUGAAAAAAYA&#10;BgBZAQAAvQUAAAAA&#10;" path="m0,80040l83679,80041,109537,0,135395,80041,219074,80040,151376,129508,177235,209549,109537,160080,41839,209549,67698,129508xe">
                <v:path textboxrect="0,0,219075,209550" o:connectlocs="109537,0;0,80040;41839,209549;177235,209549;219074,80040" o:connectangles="247,164,82,82,0"/>
                <v:fill on="t" focussize="0,0"/>
                <v:stroke weight="1pt" color="#000000" joinstyle="miter"/>
                <v:imagedata o:title=""/>
                <o:lock v:ext="edit" aspectratio="f"/>
                <v:textbox>
                  <w:txbxContent>
                    <w:p w14:paraId="3A0E49B4">
                      <w:pPr>
                        <w:jc w:val="center"/>
                      </w:pPr>
                    </w:p>
                  </w:txbxContent>
                </v:textbox>
              </v:shape>
            </w:pict>
          </mc:Fallback>
        </mc:AlternateContent>
      </w:r>
      <w:r>
        <w:rPr>
          <w:color w:val="auto"/>
          <w:highlight w:val="none"/>
        </w:rPr>
        <mc:AlternateContent>
          <mc:Choice Requires="wps">
            <w:drawing>
              <wp:anchor distT="0" distB="0" distL="0" distR="0" simplePos="0" relativeHeight="251687936" behindDoc="0" locked="0" layoutInCell="1" allowOverlap="1">
                <wp:simplePos x="0" y="0"/>
                <wp:positionH relativeFrom="column">
                  <wp:posOffset>4161155</wp:posOffset>
                </wp:positionH>
                <wp:positionV relativeFrom="paragraph">
                  <wp:posOffset>3081655</wp:posOffset>
                </wp:positionV>
                <wp:extent cx="1276350" cy="589915"/>
                <wp:effectExtent l="13970" t="13970" r="462280" b="24765"/>
                <wp:wrapNone/>
                <wp:docPr id="1094" name="圆角矩形标注 317"/>
                <wp:cNvGraphicFramePr/>
                <a:graphic xmlns:a="http://schemas.openxmlformats.org/drawingml/2006/main">
                  <a:graphicData uri="http://schemas.microsoft.com/office/word/2010/wordprocessingShape">
                    <wps:wsp>
                      <wps:cNvSpPr/>
                      <wps:spPr>
                        <a:xfrm>
                          <a:off x="0" y="0"/>
                          <a:ext cx="1276350" cy="589914"/>
                        </a:xfrm>
                        <a:prstGeom prst="wedgeRoundRectCallout">
                          <a:avLst>
                            <a:gd name="adj1" fmla="val 79186"/>
                            <a:gd name="adj2" fmla="val 39275"/>
                            <a:gd name="adj3" fmla="val 16667"/>
                          </a:avLst>
                        </a:prstGeom>
                        <a:solidFill>
                          <a:srgbClr val="FFFFFF"/>
                        </a:solidFill>
                        <a:ln w="28575" cap="flat" cmpd="sng">
                          <a:solidFill>
                            <a:srgbClr val="000000"/>
                          </a:solidFill>
                          <a:prstDash val="solid"/>
                          <a:miter/>
                        </a:ln>
                      </wps:spPr>
                      <wps:txbx>
                        <w:txbxContent>
                          <w:p w14:paraId="6E9517B0">
                            <w:pPr>
                              <w:jc w:val="center"/>
                              <w:rPr>
                                <w:color w:val="000000"/>
                                <w:sz w:val="28"/>
                                <w:szCs w:val="28"/>
                              </w:rPr>
                            </w:pPr>
                            <w:r>
                              <w:rPr>
                                <w:rFonts w:hint="eastAsia"/>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317" o:spid="_x0000_s1026" o:spt="62" type="#_x0000_t62" style="position:absolute;left:0pt;margin-left:327.65pt;margin-top:242.65pt;height:46.45pt;width:100.5pt;z-index:251687936;v-text-anchor:middle;mso-width-relative:page;mso-height-relative:page;" fillcolor="#FFFFFF" filled="t" stroked="t" coordsize="21600,21600" o:gfxdata="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RFDjdsAAAALAQAADwAAAAAAAAABACAAAAAiAAAAZHJzL2Rvd25yZXYu&#10;eG1sUEsBAhQAFAAAAAgAh07iQLnRtdpqAgAA1gQAAA4AAAAAAAAAAQAgAAAAKgEAAGRycy9lMm9E&#10;b2MueG1sUEsFBgAAAAAGAAYAWQEAAAYGAAAAAA==&#10;" adj="27904,19283,14400">
                <v:fill on="t" focussize="0,0"/>
                <v:stroke weight="2.25pt" color="#000000" joinstyle="miter"/>
                <v:imagedata o:title=""/>
                <o:lock v:ext="edit" aspectratio="f"/>
                <v:textbox>
                  <w:txbxContent>
                    <w:p w14:paraId="6E9517B0">
                      <w:pPr>
                        <w:jc w:val="center"/>
                        <w:rPr>
                          <w:color w:val="000000"/>
                          <w:sz w:val="28"/>
                          <w:szCs w:val="28"/>
                        </w:rPr>
                      </w:pPr>
                      <w:r>
                        <w:rPr>
                          <w:rFonts w:hint="eastAsia"/>
                          <w:color w:val="000000"/>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688960" behindDoc="0" locked="0" layoutInCell="1" allowOverlap="1">
                <wp:simplePos x="0" y="0"/>
                <wp:positionH relativeFrom="column">
                  <wp:posOffset>4067810</wp:posOffset>
                </wp:positionH>
                <wp:positionV relativeFrom="paragraph">
                  <wp:posOffset>823595</wp:posOffset>
                </wp:positionV>
                <wp:extent cx="1276350" cy="589915"/>
                <wp:effectExtent l="13970" t="13970" r="633730" b="24765"/>
                <wp:wrapNone/>
                <wp:docPr id="1095" name="圆角矩形标注 315"/>
                <wp:cNvGraphicFramePr/>
                <a:graphic xmlns:a="http://schemas.openxmlformats.org/drawingml/2006/main">
                  <a:graphicData uri="http://schemas.microsoft.com/office/word/2010/wordprocessingShape">
                    <wps:wsp>
                      <wps:cNvSpPr/>
                      <wps:spPr>
                        <a:xfrm>
                          <a:off x="0" y="0"/>
                          <a:ext cx="1276350" cy="589915"/>
                        </a:xfrm>
                        <a:prstGeom prst="wedgeRoundRectCallout">
                          <a:avLst>
                            <a:gd name="adj1" fmla="val 90398"/>
                            <a:gd name="adj2" fmla="val -24273"/>
                            <a:gd name="adj3" fmla="val 16667"/>
                          </a:avLst>
                        </a:prstGeom>
                        <a:solidFill>
                          <a:srgbClr val="FFFFFF"/>
                        </a:solidFill>
                        <a:ln w="28575" cap="flat" cmpd="sng">
                          <a:solidFill>
                            <a:srgbClr val="000000"/>
                          </a:solidFill>
                          <a:prstDash val="solid"/>
                          <a:miter/>
                        </a:ln>
                      </wps:spPr>
                      <wps:txbx>
                        <w:txbxContent>
                          <w:p w14:paraId="76D4C2C8">
                            <w:pPr>
                              <w:jc w:val="center"/>
                              <w:rPr>
                                <w:color w:val="000000"/>
                                <w:sz w:val="28"/>
                                <w:szCs w:val="28"/>
                              </w:rPr>
                            </w:pPr>
                            <w:r>
                              <w:rPr>
                                <w:rFonts w:hint="eastAsia"/>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315" o:spid="_x0000_s1026" o:spt="62" type="#_x0000_t62" style="position:absolute;left:0pt;margin-left:320.3pt;margin-top:64.85pt;height:46.45pt;width:100.5pt;z-index:251688960;v-text-anchor:middle;mso-width-relative:page;mso-height-relative:page;" fillcolor="#FFFFFF" filled="t" stroked="t" coordsize="21600,21600" o:gfxdata="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3Gg0s2AAAAAsBAAAPAAAAAAAAAAEAIAAAACIAAABkcnMvZG93bnJldi54bWxQ&#10;SwECFAAUAAAACACHTuJA643r4mkCAADXBAAADgAAAAAAAAABACAAAAAnAQAAZHJzL2Uyb0RvYy54&#10;bWxQSwUGAAAAAAYABgBZAQAAAgYAAAAA&#10;" adj="30326,5557,14400">
                <v:fill on="t" focussize="0,0"/>
                <v:stroke weight="2.25pt" color="#000000" joinstyle="miter"/>
                <v:imagedata o:title=""/>
                <o:lock v:ext="edit" aspectratio="f"/>
                <v:textbox>
                  <w:txbxContent>
                    <w:p w14:paraId="76D4C2C8">
                      <w:pPr>
                        <w:jc w:val="center"/>
                        <w:rPr>
                          <w:color w:val="000000"/>
                          <w:sz w:val="28"/>
                          <w:szCs w:val="28"/>
                        </w:rPr>
                      </w:pPr>
                      <w:r>
                        <w:rPr>
                          <w:rFonts w:hint="eastAsia"/>
                          <w:color w:val="000000"/>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689984" behindDoc="0" locked="0" layoutInCell="1" allowOverlap="1">
                <wp:simplePos x="0" y="0"/>
                <wp:positionH relativeFrom="column">
                  <wp:posOffset>5900420</wp:posOffset>
                </wp:positionH>
                <wp:positionV relativeFrom="paragraph">
                  <wp:posOffset>2379345</wp:posOffset>
                </wp:positionV>
                <wp:extent cx="5080" cy="1180465"/>
                <wp:effectExtent l="59690" t="0" r="68580" b="635"/>
                <wp:wrapNone/>
                <wp:docPr id="1096" name="直接箭头连接符 316"/>
                <wp:cNvGraphicFramePr/>
                <a:graphic xmlns:a="http://schemas.openxmlformats.org/drawingml/2006/main">
                  <a:graphicData uri="http://schemas.microsoft.com/office/word/2010/wordprocessingShape">
                    <wps:wsp>
                      <wps:cNvCnPr/>
                      <wps:spPr>
                        <a:xfrm>
                          <a:off x="0" y="0"/>
                          <a:ext cx="5079" cy="1180464"/>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16" o:spid="_x0000_s1026" o:spt="32" type="#_x0000_t32" style="position:absolute;left:0pt;margin-left:464.6pt;margin-top:187.35pt;height:92.95pt;width:0.4pt;z-index:251689984;mso-width-relative:page;mso-height-relative:page;" filled="f" stroked="t" coordsize="21600,21600" o:gfxdata="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uBQ4I2AAAAAsBAAAPAAAAAAAAAAEAIAAAACIAAABk&#10;cnMvZG93bnJldi54bWxQSwECFAAUAAAACACHTuJAhGVpKgYCAADWAwAADgAAAAAAAAABACAAAAAn&#10;AQAAZHJzL2Uyb0RvYy54bWxQSwUGAAAAAAYABgBZAQAAnwUAAAAA&#10;">
                <v:fill on="f" focussize="0,0"/>
                <v:stroke weight="2.25pt" color="#000000" joinstyle="miter" endarrow="open"/>
                <v:imagedata o:title=""/>
                <o:lock v:ext="edit" aspectratio="f"/>
              </v:shape>
            </w:pict>
          </mc:Fallback>
        </mc:AlternateContent>
      </w:r>
      <w:r>
        <w:rPr>
          <w:color w:val="auto"/>
          <w:highlight w:val="none"/>
        </w:rPr>
        <w:drawing>
          <wp:anchor distT="0" distB="0" distL="0" distR="0" simplePos="0" relativeHeight="251659264" behindDoc="0" locked="0" layoutInCell="1" allowOverlap="1">
            <wp:simplePos x="0" y="0"/>
            <wp:positionH relativeFrom="column">
              <wp:posOffset>4533265</wp:posOffset>
            </wp:positionH>
            <wp:positionV relativeFrom="paragraph">
              <wp:posOffset>360045</wp:posOffset>
            </wp:positionV>
            <wp:extent cx="2734310" cy="2019300"/>
            <wp:effectExtent l="28575" t="28575" r="37465" b="28575"/>
            <wp:wrapNone/>
            <wp:docPr id="1097" name="图片 17"/>
            <wp:cNvGraphicFramePr/>
            <a:graphic xmlns:a="http://schemas.openxmlformats.org/drawingml/2006/main">
              <a:graphicData uri="http://schemas.openxmlformats.org/drawingml/2006/picture">
                <pic:pic xmlns:pic="http://schemas.openxmlformats.org/drawingml/2006/picture">
                  <pic:nvPicPr>
                    <pic:cNvPr id="1097" name="图片 17"/>
                    <pic:cNvPicPr/>
                  </pic:nvPicPr>
                  <pic:blipFill>
                    <a:blip r:embed="rId49" cstate="print"/>
                    <a:srcRect/>
                    <a:stretch>
                      <a:fillRect/>
                    </a:stretch>
                  </pic:blipFill>
                  <pic:spPr>
                    <a:xfrm>
                      <a:off x="0" y="0"/>
                      <a:ext cx="2734310" cy="2019299"/>
                    </a:xfrm>
                    <a:prstGeom prst="rect">
                      <a:avLst/>
                    </a:prstGeom>
                    <a:ln w="28575" cap="flat" cmpd="sng">
                      <a:solidFill>
                        <a:srgbClr val="000000"/>
                      </a:solidFill>
                      <a:prstDash val="solid"/>
                      <a:round/>
                    </a:ln>
                  </pic:spPr>
                </pic:pic>
              </a:graphicData>
            </a:graphic>
          </wp:anchor>
        </w:drawing>
      </w:r>
      <w:r>
        <w:rPr>
          <w:color w:val="auto"/>
          <w:highlight w:val="none"/>
        </w:rPr>
        <w:drawing>
          <wp:inline distT="0" distB="0" distL="0" distR="0">
            <wp:extent cx="7670800" cy="5344795"/>
            <wp:effectExtent l="28575" t="28575" r="34925" b="36830"/>
            <wp:docPr id="1098" name="图片 16"/>
            <wp:cNvGraphicFramePr/>
            <a:graphic xmlns:a="http://schemas.openxmlformats.org/drawingml/2006/main">
              <a:graphicData uri="http://schemas.openxmlformats.org/drawingml/2006/picture">
                <pic:pic xmlns:pic="http://schemas.openxmlformats.org/drawingml/2006/picture">
                  <pic:nvPicPr>
                    <pic:cNvPr id="1098" name="图片 16"/>
                    <pic:cNvPicPr/>
                  </pic:nvPicPr>
                  <pic:blipFill>
                    <a:blip r:embed="rId50" cstate="print"/>
                    <a:srcRect/>
                    <a:stretch>
                      <a:fillRect/>
                    </a:stretch>
                  </pic:blipFill>
                  <pic:spPr>
                    <a:xfrm>
                      <a:off x="0" y="0"/>
                      <a:ext cx="7670800" cy="5344795"/>
                    </a:xfrm>
                    <a:prstGeom prst="rect">
                      <a:avLst/>
                    </a:prstGeom>
                    <a:ln w="28575" cap="flat" cmpd="sng">
                      <a:solidFill>
                        <a:srgbClr val="000000"/>
                      </a:solidFill>
                      <a:prstDash val="solid"/>
                      <a:round/>
                    </a:ln>
                  </pic:spPr>
                </pic:pic>
              </a:graphicData>
            </a:graphic>
          </wp:inline>
        </w:drawing>
      </w:r>
    </w:p>
    <w:p w14:paraId="05713ECC">
      <w:pPr>
        <w:kinsoku w:val="0"/>
        <w:overflowPunct w:val="0"/>
        <w:adjustRightInd w:val="0"/>
        <w:snapToGrid w:val="0"/>
        <w:ind w:firstLine="482" w:firstLineChars="200"/>
        <w:jc w:val="center"/>
        <w:outlineLvl w:val="0"/>
        <w:rPr>
          <w:b/>
          <w:bCs/>
          <w:color w:val="auto"/>
          <w:szCs w:val="22"/>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72" w:name="_Toc3229"/>
      <w:bookmarkStart w:id="173" w:name="_Toc11225"/>
      <w:bookmarkStart w:id="174" w:name="_Toc1410"/>
      <w:r>
        <w:rPr>
          <w:b/>
          <w:bCs/>
          <w:color w:val="auto"/>
          <w:szCs w:val="22"/>
          <w:highlight w:val="none"/>
        </w:rPr>
        <w:t xml:space="preserve">附图7 </w:t>
      </w:r>
      <w:bookmarkEnd w:id="172"/>
      <w:r>
        <w:rPr>
          <w:b/>
          <w:bCs/>
          <w:color w:val="auto"/>
          <w:szCs w:val="22"/>
          <w:highlight w:val="none"/>
        </w:rPr>
        <w:t>水环境功能区划图</w:t>
      </w:r>
      <w:bookmarkEnd w:id="173"/>
      <w:bookmarkEnd w:id="174"/>
    </w:p>
    <w:p w14:paraId="62DA5191">
      <w:pPr>
        <w:pStyle w:val="3"/>
        <w:jc w:val="center"/>
        <w:rPr>
          <w:color w:val="auto"/>
          <w:highlight w:val="none"/>
        </w:rPr>
      </w:pPr>
      <w:r>
        <w:rPr>
          <w:color w:val="auto"/>
          <w:highlight w:val="none"/>
        </w:rPr>
        <mc:AlternateContent>
          <mc:Choice Requires="wps">
            <w:drawing>
              <wp:anchor distT="0" distB="0" distL="0" distR="0" simplePos="0" relativeHeight="251691008" behindDoc="0" locked="0" layoutInCell="1" allowOverlap="1">
                <wp:simplePos x="0" y="0"/>
                <wp:positionH relativeFrom="column">
                  <wp:posOffset>5909945</wp:posOffset>
                </wp:positionH>
                <wp:positionV relativeFrom="paragraph">
                  <wp:posOffset>522605</wp:posOffset>
                </wp:positionV>
                <wp:extent cx="233045" cy="186690"/>
                <wp:effectExtent l="22225" t="17780" r="30480" b="24130"/>
                <wp:wrapNone/>
                <wp:docPr id="1099" name="五角星 301"/>
                <wp:cNvGraphicFramePr/>
                <a:graphic xmlns:a="http://schemas.openxmlformats.org/drawingml/2006/main">
                  <a:graphicData uri="http://schemas.microsoft.com/office/word/2010/wordprocessingShape">
                    <wps:wsp>
                      <wps:cNvSpPr/>
                      <wps:spPr>
                        <a:xfrm>
                          <a:off x="0" y="0"/>
                          <a:ext cx="233045" cy="186690"/>
                        </a:xfrm>
                        <a:prstGeom prst="star5">
                          <a:avLst/>
                        </a:prstGeom>
                        <a:solidFill>
                          <a:srgbClr val="FF0000"/>
                        </a:solidFill>
                        <a:ln w="12700" cap="flat" cmpd="sng">
                          <a:solidFill>
                            <a:srgbClr val="000000"/>
                          </a:solidFill>
                          <a:prstDash val="solid"/>
                          <a:miter/>
                        </a:ln>
                      </wps:spPr>
                      <wps:bodyPr/>
                    </wps:wsp>
                  </a:graphicData>
                </a:graphic>
              </wp:anchor>
            </w:drawing>
          </mc:Choice>
          <mc:Fallback>
            <w:pict>
              <v:shape id="五角星 301" o:spid="_x0000_s1026" style="position:absolute;left:0pt;margin-left:465.35pt;margin-top:41.15pt;height:14.7pt;width:18.35pt;z-index:251691008;mso-width-relative:page;mso-height-relative:page;" fillcolor="#FF0000" filled="t" stroked="t" coordsize="233045,186690" o:gfxdata="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vpj8PYAAAACgEA&#10;AA8AAAAAAAAAAQAgAAAAIgAAAGRycy9kb3ducmV2LnhtbFBLAQIUABQAAAAIAIdO4kDlmS+04QEA&#10;AMcDAAAOAAAAAAAAAAEAIAAAACcBAABkcnMvZTJvRG9jLnhtbFBLBQYAAAAABgAGAFkBAAB6BQAA&#10;AAA=&#10;" path="m0,71309l89015,71309,116522,0,144029,71309,233044,71309,161029,115380,188537,186689,116522,142617,44507,186689,72015,115380xe">
                <v:path o:connectlocs="116522,0;0,71309;44507,186689;188537,186689;233044,71309" o:connectangles="247,164,82,82,0"/>
                <v:fill on="t" focussize="0,0"/>
                <v:stroke weight="1pt" color="#000000" joinstyle="miter"/>
                <v:imagedata o:title=""/>
                <o:lock v:ext="edit" aspectratio="f"/>
              </v:shape>
            </w:pict>
          </mc:Fallback>
        </mc:AlternateContent>
      </w:r>
      <w:r>
        <w:rPr>
          <w:color w:val="auto"/>
          <w:highlight w:val="none"/>
        </w:rPr>
        <mc:AlternateContent>
          <mc:Choice Requires="wps">
            <w:drawing>
              <wp:anchor distT="0" distB="0" distL="0" distR="0" simplePos="0" relativeHeight="251692032" behindDoc="0" locked="0" layoutInCell="1" allowOverlap="1">
                <wp:simplePos x="0" y="0"/>
                <wp:positionH relativeFrom="column">
                  <wp:posOffset>4098925</wp:posOffset>
                </wp:positionH>
                <wp:positionV relativeFrom="paragraph">
                  <wp:posOffset>3068955</wp:posOffset>
                </wp:positionV>
                <wp:extent cx="1181735" cy="589915"/>
                <wp:effectExtent l="13970" t="13970" r="423545" b="24765"/>
                <wp:wrapNone/>
                <wp:docPr id="1100" name="圆角矩形标注 303"/>
                <wp:cNvGraphicFramePr/>
                <a:graphic xmlns:a="http://schemas.openxmlformats.org/drawingml/2006/main">
                  <a:graphicData uri="http://schemas.microsoft.com/office/word/2010/wordprocessingShape">
                    <wps:wsp>
                      <wps:cNvSpPr/>
                      <wps:spPr>
                        <a:xfrm>
                          <a:off x="0" y="0"/>
                          <a:ext cx="1181734" cy="589915"/>
                        </a:xfrm>
                        <a:prstGeom prst="wedgeRoundRectCallout">
                          <a:avLst>
                            <a:gd name="adj1" fmla="val 79186"/>
                            <a:gd name="adj2" fmla="val 39275"/>
                            <a:gd name="adj3" fmla="val 16667"/>
                          </a:avLst>
                        </a:prstGeom>
                        <a:solidFill>
                          <a:srgbClr val="FFFFFF"/>
                        </a:solidFill>
                        <a:ln w="28575" cap="flat" cmpd="sng">
                          <a:solidFill>
                            <a:srgbClr val="000000"/>
                          </a:solidFill>
                          <a:prstDash val="solid"/>
                          <a:miter/>
                        </a:ln>
                      </wps:spPr>
                      <wps:txbx>
                        <w:txbxContent>
                          <w:p w14:paraId="0E4C5EA3">
                            <w:pPr>
                              <w:jc w:val="center"/>
                              <w:rPr>
                                <w:color w:val="000000"/>
                                <w:sz w:val="28"/>
                                <w:szCs w:val="28"/>
                              </w:rPr>
                            </w:pPr>
                            <w:r>
                              <w:rPr>
                                <w:rFonts w:hint="eastAsia"/>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303" o:spid="_x0000_s1026" o:spt="62" type="#_x0000_t62" style="position:absolute;left:0pt;margin-left:322.75pt;margin-top:241.65pt;height:46.45pt;width:93.05pt;z-index:251692032;v-text-anchor:middle;mso-width-relative:page;mso-height-relative:page;" fillcolor="#FFFFFF" filled="t" stroked="t" coordsize="21600,21600" o:gfxdata="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6NYldwAAAALAQAADwAAAAAAAAABACAAAAAiAAAAZHJzL2Rvd25y&#10;ZXYueG1sUEsBAhQAFAAAAAgAh07iQNiz54VsAgAA1gQAAA4AAAAAAAAAAQAgAAAAKwEAAGRycy9l&#10;Mm9Eb2MueG1sUEsFBgAAAAAGAAYAWQEAAAkGAAAAAA==&#10;" adj="27904,19283,14400">
                <v:fill on="t" focussize="0,0"/>
                <v:stroke weight="2.25pt" color="#000000" joinstyle="miter"/>
                <v:imagedata o:title=""/>
                <o:lock v:ext="edit" aspectratio="f"/>
                <v:textbox>
                  <w:txbxContent>
                    <w:p w14:paraId="0E4C5EA3">
                      <w:pPr>
                        <w:jc w:val="center"/>
                        <w:rPr>
                          <w:color w:val="000000"/>
                          <w:sz w:val="28"/>
                          <w:szCs w:val="28"/>
                        </w:rPr>
                      </w:pPr>
                      <w:r>
                        <w:rPr>
                          <w:rFonts w:hint="eastAsia"/>
                          <w:color w:val="000000"/>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693056" behindDoc="0" locked="0" layoutInCell="1" allowOverlap="1">
                <wp:simplePos x="0" y="0"/>
                <wp:positionH relativeFrom="column">
                  <wp:posOffset>5659120</wp:posOffset>
                </wp:positionH>
                <wp:positionV relativeFrom="paragraph">
                  <wp:posOffset>3535045</wp:posOffset>
                </wp:positionV>
                <wp:extent cx="159385" cy="152400"/>
                <wp:effectExtent l="19685" t="20955" r="30480" b="17145"/>
                <wp:wrapNone/>
                <wp:docPr id="1101" name="五角星 295"/>
                <wp:cNvGraphicFramePr/>
                <a:graphic xmlns:a="http://schemas.openxmlformats.org/drawingml/2006/main">
                  <a:graphicData uri="http://schemas.microsoft.com/office/word/2010/wordprocessingShape">
                    <wps:wsp>
                      <wps:cNvSpPr/>
                      <wps:spPr>
                        <a:xfrm>
                          <a:off x="0" y="0"/>
                          <a:ext cx="159384" cy="152400"/>
                        </a:xfrm>
                        <a:prstGeom prst="star5">
                          <a:avLst/>
                        </a:prstGeom>
                        <a:solidFill>
                          <a:srgbClr val="FF0000"/>
                        </a:solidFill>
                        <a:ln w="12700" cap="flat" cmpd="sng">
                          <a:solidFill>
                            <a:srgbClr val="000000"/>
                          </a:solidFill>
                          <a:prstDash val="solid"/>
                          <a:miter/>
                        </a:ln>
                      </wps:spPr>
                      <wps:txbx>
                        <w:txbxContent>
                          <w:p w14:paraId="02DB714D">
                            <w:pPr>
                              <w:jc w:val="center"/>
                            </w:pPr>
                          </w:p>
                        </w:txbxContent>
                      </wps:txbx>
                      <wps:bodyPr vert="horz" wrap="square" lIns="91440" tIns="45720" rIns="91440" bIns="45720" anchor="ctr">
                        <a:noAutofit/>
                      </wps:bodyPr>
                    </wps:wsp>
                  </a:graphicData>
                </a:graphic>
              </wp:anchor>
            </w:drawing>
          </mc:Choice>
          <mc:Fallback>
            <w:pict>
              <v:shape id="五角星 295" o:spid="_x0000_s1026" style="position:absolute;left:0pt;margin-left:445.6pt;margin-top:278.35pt;height:12pt;width:12.55pt;z-index:251693056;v-text-anchor:middle;mso-width-relative:page;mso-height-relative:page;" fillcolor="#FF0000" filled="t" stroked="t" coordsize="159384,152400" o:gfxdata="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J&#10;cbq82QAAAAsBAAAPAAAAAAAAAAEAIAAAACIAAABkcnMvZG93bnJldi54bWxQSwECFAAUAAAACACH&#10;TuJAaW49PyMCAABHBAAADgAAAAAAAAABACAAAAAoAQAAZHJzL2Uyb0RvYy54bWxQSwUGAAAAAAYA&#10;BgBZAQAAvQUAAAAA&#10;" path="m0,58211l60879,58211,79692,0,98504,58211,159383,58211,110131,94187,128944,152399,79692,116422,30439,152399,49252,94187xe">
                <v:path textboxrect="0,0,159384,152400" o:connectlocs="79692,0;0,58211;30439,152399;128944,152399;159383,58211" o:connectangles="247,164,82,82,0"/>
                <v:fill on="t" focussize="0,0"/>
                <v:stroke weight="1pt" color="#000000" joinstyle="miter"/>
                <v:imagedata o:title=""/>
                <o:lock v:ext="edit" aspectratio="f"/>
                <v:textbox>
                  <w:txbxContent>
                    <w:p w14:paraId="02DB714D">
                      <w:pPr>
                        <w:jc w:val="center"/>
                      </w:pPr>
                    </w:p>
                  </w:txbxContent>
                </v:textbox>
              </v:shape>
            </w:pict>
          </mc:Fallback>
        </mc:AlternateContent>
      </w:r>
      <w:r>
        <w:rPr>
          <w:color w:val="auto"/>
          <w:highlight w:val="none"/>
        </w:rPr>
        <mc:AlternateContent>
          <mc:Choice Requires="wps">
            <w:drawing>
              <wp:anchor distT="0" distB="0" distL="0" distR="0" simplePos="0" relativeHeight="251694080" behindDoc="0" locked="0" layoutInCell="1" allowOverlap="1">
                <wp:simplePos x="0" y="0"/>
                <wp:positionH relativeFrom="column">
                  <wp:posOffset>5739130</wp:posOffset>
                </wp:positionH>
                <wp:positionV relativeFrom="paragraph">
                  <wp:posOffset>2268220</wp:posOffset>
                </wp:positionV>
                <wp:extent cx="207645" cy="1266825"/>
                <wp:effectExtent l="45085" t="2540" r="13970" b="6985"/>
                <wp:wrapNone/>
                <wp:docPr id="1102" name="直接箭头连接符 302"/>
                <wp:cNvGraphicFramePr/>
                <a:graphic xmlns:a="http://schemas.openxmlformats.org/drawingml/2006/main">
                  <a:graphicData uri="http://schemas.microsoft.com/office/word/2010/wordprocessingShape">
                    <wps:wsp>
                      <wps:cNvCnPr/>
                      <wps:spPr>
                        <a:xfrm flipH="1">
                          <a:off x="0" y="0"/>
                          <a:ext cx="207645" cy="1266825"/>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02" o:spid="_x0000_s1026" o:spt="32" type="#_x0000_t32" style="position:absolute;left:0pt;flip:x;margin-left:451.9pt;margin-top:178.6pt;height:99.75pt;width:16.35pt;z-index:251694080;mso-width-relative:page;mso-height-relative:page;" filled="f" stroked="t" coordsize="21600,21600" o:gfxdata="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1F7I2QAAAAsBAAAPAAAAAAAAAAEAIAAA&#10;ACIAAABkcnMvZG93bnJldi54bWxQSwECFAAUAAAACACHTuJALpDYmAsCAADiAwAADgAAAAAAAAAB&#10;ACAAAAAoAQAAZHJzL2Uyb0RvYy54bWxQSwUGAAAAAAYABgBZAQAApQUAAAAA&#10;">
                <v:fill on="f" focussize="0,0"/>
                <v:stroke weight="2.25pt" color="#000000" joinstyle="miter" endarrow="open"/>
                <v:imagedata o:title=""/>
                <o:lock v:ext="edit" aspectratio="f"/>
              </v:shape>
            </w:pict>
          </mc:Fallback>
        </mc:AlternateContent>
      </w:r>
      <w:r>
        <w:rPr>
          <w:color w:val="auto"/>
          <w:highlight w:val="none"/>
        </w:rPr>
        <mc:AlternateContent>
          <mc:Choice Requires="wps">
            <w:drawing>
              <wp:anchor distT="0" distB="0" distL="0" distR="0" simplePos="0" relativeHeight="251746304" behindDoc="0" locked="0" layoutInCell="1" allowOverlap="1">
                <wp:simplePos x="0" y="0"/>
                <wp:positionH relativeFrom="column">
                  <wp:posOffset>4146550</wp:posOffset>
                </wp:positionH>
                <wp:positionV relativeFrom="paragraph">
                  <wp:posOffset>491490</wp:posOffset>
                </wp:positionV>
                <wp:extent cx="1276350" cy="589915"/>
                <wp:effectExtent l="13970" t="13970" r="538480" b="24765"/>
                <wp:wrapNone/>
                <wp:docPr id="1103" name="圆角矩形标注 297"/>
                <wp:cNvGraphicFramePr/>
                <a:graphic xmlns:a="http://schemas.openxmlformats.org/drawingml/2006/main">
                  <a:graphicData uri="http://schemas.microsoft.com/office/word/2010/wordprocessingShape">
                    <wps:wsp>
                      <wps:cNvSpPr/>
                      <wps:spPr>
                        <a:xfrm>
                          <a:off x="0" y="0"/>
                          <a:ext cx="1276350" cy="589914"/>
                        </a:xfrm>
                        <a:prstGeom prst="wedgeRoundRectCallout">
                          <a:avLst>
                            <a:gd name="adj1" fmla="val 83980"/>
                            <a:gd name="adj2" fmla="val -31162"/>
                            <a:gd name="adj3" fmla="val 16667"/>
                          </a:avLst>
                        </a:prstGeom>
                        <a:solidFill>
                          <a:srgbClr val="FFFFFF"/>
                        </a:solidFill>
                        <a:ln w="28575" cap="flat" cmpd="sng">
                          <a:solidFill>
                            <a:srgbClr val="000000"/>
                          </a:solidFill>
                          <a:prstDash val="solid"/>
                          <a:miter/>
                        </a:ln>
                      </wps:spPr>
                      <wps:txbx>
                        <w:txbxContent>
                          <w:p w14:paraId="659EE403">
                            <w:pPr>
                              <w:jc w:val="center"/>
                              <w:rPr>
                                <w:color w:val="000000"/>
                                <w:sz w:val="28"/>
                                <w:szCs w:val="28"/>
                              </w:rPr>
                            </w:pPr>
                            <w:r>
                              <w:rPr>
                                <w:rFonts w:hint="eastAsia"/>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297" o:spid="_x0000_s1026" o:spt="62" type="#_x0000_t62" style="position:absolute;left:0pt;margin-left:326.5pt;margin-top:38.7pt;height:46.45pt;width:100.5pt;z-index:251746304;v-text-anchor:middle;mso-width-relative:page;mso-height-relative:page;" fillcolor="#FFFFFF" filled="t" stroked="t" coordsize="21600,21600" o:gfxdata="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odnVF2QAAAAoBAAAPAAAAAAAAAAEAIAAAACIAAABkcnMvZG93bnJl&#10;di54bWxQSwECFAAUAAAACACHTuJAa2xGgG4CAADXBAAADgAAAAAAAAABACAAAAAoAQAAZHJzL2Uy&#10;b0RvYy54bWxQSwUGAAAAAAYABgBZAQAACAYAAAAA&#10;" adj="28940,4069,14400">
                <v:fill on="t" focussize="0,0"/>
                <v:stroke weight="2.25pt" color="#000000" joinstyle="miter"/>
                <v:imagedata o:title=""/>
                <o:lock v:ext="edit" aspectratio="f"/>
                <v:textbox>
                  <w:txbxContent>
                    <w:p w14:paraId="659EE403">
                      <w:pPr>
                        <w:jc w:val="center"/>
                        <w:rPr>
                          <w:color w:val="000000"/>
                          <w:sz w:val="28"/>
                          <w:szCs w:val="28"/>
                        </w:rPr>
                      </w:pPr>
                      <w:r>
                        <w:rPr>
                          <w:rFonts w:hint="eastAsia"/>
                          <w:color w:val="000000"/>
                          <w:sz w:val="28"/>
                          <w:szCs w:val="28"/>
                        </w:rPr>
                        <w:t>项目位置</w:t>
                      </w:r>
                    </w:p>
                  </w:txbxContent>
                </v:textbox>
              </v:shape>
            </w:pict>
          </mc:Fallback>
        </mc:AlternateContent>
      </w:r>
      <w:r>
        <w:rPr>
          <w:color w:val="auto"/>
          <w:highlight w:val="none"/>
        </w:rPr>
        <w:drawing>
          <wp:anchor distT="0" distB="0" distL="0" distR="0" simplePos="0" relativeHeight="251660288" behindDoc="0" locked="0" layoutInCell="1" allowOverlap="1">
            <wp:simplePos x="0" y="0"/>
            <wp:positionH relativeFrom="column">
              <wp:posOffset>4425950</wp:posOffset>
            </wp:positionH>
            <wp:positionV relativeFrom="paragraph">
              <wp:posOffset>333375</wp:posOffset>
            </wp:positionV>
            <wp:extent cx="2755900" cy="1914525"/>
            <wp:effectExtent l="28575" t="28575" r="34925" b="38100"/>
            <wp:wrapNone/>
            <wp:docPr id="1104" name="图片 14"/>
            <wp:cNvGraphicFramePr/>
            <a:graphic xmlns:a="http://schemas.openxmlformats.org/drawingml/2006/main">
              <a:graphicData uri="http://schemas.openxmlformats.org/drawingml/2006/picture">
                <pic:pic xmlns:pic="http://schemas.openxmlformats.org/drawingml/2006/picture">
                  <pic:nvPicPr>
                    <pic:cNvPr id="1104" name="图片 14"/>
                    <pic:cNvPicPr/>
                  </pic:nvPicPr>
                  <pic:blipFill>
                    <a:blip r:embed="rId51" cstate="print"/>
                    <a:srcRect/>
                    <a:stretch>
                      <a:fillRect/>
                    </a:stretch>
                  </pic:blipFill>
                  <pic:spPr>
                    <a:xfrm>
                      <a:off x="0" y="0"/>
                      <a:ext cx="2755900" cy="1914525"/>
                    </a:xfrm>
                    <a:prstGeom prst="rect">
                      <a:avLst/>
                    </a:prstGeom>
                    <a:ln w="28575" cap="flat" cmpd="sng">
                      <a:solidFill>
                        <a:srgbClr val="000000"/>
                      </a:solidFill>
                      <a:prstDash val="solid"/>
                      <a:round/>
                    </a:ln>
                  </pic:spPr>
                </pic:pic>
              </a:graphicData>
            </a:graphic>
          </wp:anchor>
        </w:drawing>
      </w:r>
      <w:r>
        <w:rPr>
          <w:color w:val="auto"/>
          <w:highlight w:val="none"/>
        </w:rPr>
        <w:drawing>
          <wp:inline distT="0" distB="0" distL="0" distR="0">
            <wp:extent cx="7590155" cy="5273040"/>
            <wp:effectExtent l="28575" t="9525" r="39370" b="32385"/>
            <wp:docPr id="1105" name="图片 13"/>
            <wp:cNvGraphicFramePr/>
            <a:graphic xmlns:a="http://schemas.openxmlformats.org/drawingml/2006/main">
              <a:graphicData uri="http://schemas.openxmlformats.org/drawingml/2006/picture">
                <pic:pic xmlns:pic="http://schemas.openxmlformats.org/drawingml/2006/picture">
                  <pic:nvPicPr>
                    <pic:cNvPr id="1105" name="图片 13"/>
                    <pic:cNvPicPr/>
                  </pic:nvPicPr>
                  <pic:blipFill>
                    <a:blip r:embed="rId52" cstate="print"/>
                    <a:srcRect/>
                    <a:stretch>
                      <a:fillRect/>
                    </a:stretch>
                  </pic:blipFill>
                  <pic:spPr>
                    <a:xfrm>
                      <a:off x="0" y="0"/>
                      <a:ext cx="7590155" cy="5273040"/>
                    </a:xfrm>
                    <a:prstGeom prst="rect">
                      <a:avLst/>
                    </a:prstGeom>
                    <a:ln w="28575" cap="flat" cmpd="sng">
                      <a:solidFill>
                        <a:srgbClr val="000000"/>
                      </a:solidFill>
                      <a:prstDash val="solid"/>
                      <a:round/>
                    </a:ln>
                  </pic:spPr>
                </pic:pic>
              </a:graphicData>
            </a:graphic>
          </wp:inline>
        </w:drawing>
      </w:r>
    </w:p>
    <w:p w14:paraId="52014E7D">
      <w:pPr>
        <w:pStyle w:val="3"/>
        <w:jc w:val="center"/>
        <w:outlineLvl w:val="0"/>
        <w:rPr>
          <w:rFonts w:ascii="Times New Roman" w:hAnsi="Times New Roman"/>
          <w:color w:val="auto"/>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75" w:name="_Toc16764"/>
      <w:bookmarkStart w:id="176" w:name="_Toc8772"/>
      <w:r>
        <w:rPr>
          <w:rFonts w:ascii="Times New Roman" w:hAnsi="Times New Roman"/>
          <w:b/>
          <w:bCs/>
          <w:color w:val="auto"/>
          <w:szCs w:val="22"/>
          <w:highlight w:val="none"/>
        </w:rPr>
        <w:t xml:space="preserve">附图8 </w:t>
      </w:r>
      <w:r>
        <w:rPr>
          <w:rFonts w:ascii="Times New Roman" w:hAnsi="Times New Roman"/>
          <w:color w:val="auto"/>
          <w:highlight w:val="none"/>
        </w:rPr>
        <mc:AlternateContent>
          <mc:Choice Requires="wps">
            <w:drawing>
              <wp:anchor distT="0" distB="0" distL="0" distR="0" simplePos="0" relativeHeight="251695104" behindDoc="0" locked="0" layoutInCell="1" allowOverlap="1">
                <wp:simplePos x="0" y="0"/>
                <wp:positionH relativeFrom="column">
                  <wp:posOffset>4244975</wp:posOffset>
                </wp:positionH>
                <wp:positionV relativeFrom="paragraph">
                  <wp:posOffset>3159760</wp:posOffset>
                </wp:positionV>
                <wp:extent cx="1209675" cy="589915"/>
                <wp:effectExtent l="13970" t="13970" r="433705" b="24765"/>
                <wp:wrapNone/>
                <wp:docPr id="1106" name="圆角矩形标注 306"/>
                <wp:cNvGraphicFramePr/>
                <a:graphic xmlns:a="http://schemas.openxmlformats.org/drawingml/2006/main">
                  <a:graphicData uri="http://schemas.microsoft.com/office/word/2010/wordprocessingShape">
                    <wps:wsp>
                      <wps:cNvSpPr/>
                      <wps:spPr>
                        <a:xfrm>
                          <a:off x="0" y="0"/>
                          <a:ext cx="1209675" cy="589915"/>
                        </a:xfrm>
                        <a:prstGeom prst="wedgeRoundRectCallout">
                          <a:avLst>
                            <a:gd name="adj1" fmla="val 79186"/>
                            <a:gd name="adj2" fmla="val 39275"/>
                            <a:gd name="adj3" fmla="val 16667"/>
                          </a:avLst>
                        </a:prstGeom>
                        <a:solidFill>
                          <a:srgbClr val="FFFFFF"/>
                        </a:solidFill>
                        <a:ln w="28575" cap="flat" cmpd="sng">
                          <a:solidFill>
                            <a:srgbClr val="000000"/>
                          </a:solidFill>
                          <a:prstDash val="solid"/>
                          <a:miter/>
                        </a:ln>
                      </wps:spPr>
                      <wps:txbx>
                        <w:txbxContent>
                          <w:p w14:paraId="1616B14F">
                            <w:pPr>
                              <w:jc w:val="center"/>
                              <w:rPr>
                                <w:color w:val="000000"/>
                              </w:rPr>
                            </w:pPr>
                            <w:r>
                              <w:rPr>
                                <w:rFonts w:hint="eastAsia"/>
                                <w:color w:val="000000"/>
                              </w:rPr>
                              <w:t>项目位置</w:t>
                            </w:r>
                          </w:p>
                        </w:txbxContent>
                      </wps:txbx>
                      <wps:bodyPr vert="horz" wrap="square" lIns="91440" tIns="45720" rIns="91440" bIns="45720" anchor="ctr">
                        <a:noAutofit/>
                      </wps:bodyPr>
                    </wps:wsp>
                  </a:graphicData>
                </a:graphic>
              </wp:anchor>
            </w:drawing>
          </mc:Choice>
          <mc:Fallback>
            <w:pict>
              <v:shape id="圆角矩形标注 306" o:spid="_x0000_s1026" o:spt="62" type="#_x0000_t62" style="position:absolute;left:0pt;margin-left:334.25pt;margin-top:248.8pt;height:46.45pt;width:95.25pt;z-index:251695104;v-text-anchor:middle;mso-width-relative:page;mso-height-relative:page;" fillcolor="#FFFFFF" filled="t" stroked="t" coordsize="21600,21600" o:gfxdata="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Ehl8DbAAAACwEAAA8AAAAAAAAAAQAgAAAAIgAAAGRycy9kb3ducmV2&#10;LnhtbFBLAQIUABQAAAAIAIdO4kB24g8fawIAANYEAAAOAAAAAAAAAAEAIAAAACoBAABkcnMvZTJv&#10;RG9jLnhtbFBLBQYAAAAABgAGAFkBAAAHBgAAAAA=&#10;" adj="27904,19283,14400">
                <v:fill on="t" focussize="0,0"/>
                <v:stroke weight="2.25pt" color="#000000" joinstyle="miter"/>
                <v:imagedata o:title=""/>
                <o:lock v:ext="edit" aspectratio="f"/>
                <v:textbox>
                  <w:txbxContent>
                    <w:p w14:paraId="1616B14F">
                      <w:pPr>
                        <w:jc w:val="center"/>
                        <w:rPr>
                          <w:color w:val="000000"/>
                        </w:rPr>
                      </w:pPr>
                      <w:r>
                        <w:rPr>
                          <w:rFonts w:hint="eastAsia"/>
                          <w:color w:val="000000"/>
                        </w:rPr>
                        <w:t>项目位置</w:t>
                      </w:r>
                    </w:p>
                  </w:txbxContent>
                </v:textbox>
              </v:shape>
            </w:pict>
          </mc:Fallback>
        </mc:AlternateContent>
      </w:r>
      <w:r>
        <w:rPr>
          <w:rFonts w:ascii="Times New Roman" w:hAnsi="Times New Roman"/>
          <w:color w:val="auto"/>
          <w:highlight w:val="none"/>
        </w:rPr>
        <mc:AlternateContent>
          <mc:Choice Requires="wps">
            <w:drawing>
              <wp:anchor distT="0" distB="0" distL="0" distR="0" simplePos="0" relativeHeight="251696128" behindDoc="0" locked="0" layoutInCell="1" allowOverlap="1">
                <wp:simplePos x="0" y="0"/>
                <wp:positionH relativeFrom="column">
                  <wp:posOffset>5802630</wp:posOffset>
                </wp:positionH>
                <wp:positionV relativeFrom="paragraph">
                  <wp:posOffset>2149475</wp:posOffset>
                </wp:positionV>
                <wp:extent cx="342900" cy="1366520"/>
                <wp:effectExtent l="34925" t="3175" r="22225" b="1905"/>
                <wp:wrapNone/>
                <wp:docPr id="1107" name="直接箭头连接符 307"/>
                <wp:cNvGraphicFramePr/>
                <a:graphic xmlns:a="http://schemas.openxmlformats.org/drawingml/2006/main">
                  <a:graphicData uri="http://schemas.microsoft.com/office/word/2010/wordprocessingShape">
                    <wps:wsp>
                      <wps:cNvCnPr/>
                      <wps:spPr>
                        <a:xfrm flipH="1">
                          <a:off x="0" y="0"/>
                          <a:ext cx="342900" cy="1366520"/>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07" o:spid="_x0000_s1026" o:spt="32" type="#_x0000_t32" style="position:absolute;left:0pt;flip:x;margin-left:456.9pt;margin-top:169.25pt;height:107.6pt;width:27pt;z-index:251696128;mso-width-relative:page;mso-height-relative:page;" filled="f" stroked="t" coordsize="21600,21600" o:gfxdata="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u4Ak9oAAAALAQAADwAAAAAAAAAB&#10;ACAAAAAiAAAAZHJzL2Rvd25yZXYueG1sUEsBAhQAFAAAAAgAh07iQKY7Y20OAgAA4gMAAA4AAAAA&#10;AAAAAQAgAAAAKQEAAGRycy9lMm9Eb2MueG1sUEsFBgAAAAAGAAYAWQEAAKkFAAAAAA==&#10;">
                <v:fill on="f" focussize="0,0"/>
                <v:stroke weight="2.25pt" color="#000000" joinstyle="miter" endarrow="open"/>
                <v:imagedata o:title=""/>
                <o:lock v:ext="edit" aspectratio="f"/>
              </v:shape>
            </w:pict>
          </mc:Fallback>
        </mc:AlternateContent>
      </w:r>
      <w:r>
        <w:rPr>
          <w:rFonts w:ascii="Times New Roman" w:hAnsi="Times New Roman"/>
          <w:color w:val="auto"/>
          <w:highlight w:val="none"/>
        </w:rPr>
        <mc:AlternateContent>
          <mc:Choice Requires="wps">
            <w:drawing>
              <wp:anchor distT="0" distB="0" distL="0" distR="0" simplePos="0" relativeHeight="251697152" behindDoc="0" locked="0" layoutInCell="1" allowOverlap="1">
                <wp:simplePos x="0" y="0"/>
                <wp:positionH relativeFrom="column">
                  <wp:posOffset>5668645</wp:posOffset>
                </wp:positionH>
                <wp:positionV relativeFrom="paragraph">
                  <wp:posOffset>3515995</wp:posOffset>
                </wp:positionV>
                <wp:extent cx="267970" cy="294005"/>
                <wp:effectExtent l="17145" t="23495" r="19685" b="25400"/>
                <wp:wrapNone/>
                <wp:docPr id="1108" name="五角星 308"/>
                <wp:cNvGraphicFramePr/>
                <a:graphic xmlns:a="http://schemas.openxmlformats.org/drawingml/2006/main">
                  <a:graphicData uri="http://schemas.microsoft.com/office/word/2010/wordprocessingShape">
                    <wps:wsp>
                      <wps:cNvSpPr/>
                      <wps:spPr>
                        <a:xfrm>
                          <a:off x="0" y="0"/>
                          <a:ext cx="267970" cy="294004"/>
                        </a:xfrm>
                        <a:prstGeom prst="star5">
                          <a:avLst/>
                        </a:prstGeom>
                        <a:solidFill>
                          <a:srgbClr val="FFFF00"/>
                        </a:solidFill>
                        <a:ln w="12700" cap="flat" cmpd="sng">
                          <a:solidFill>
                            <a:srgbClr val="000000"/>
                          </a:solidFill>
                          <a:prstDash val="solid"/>
                          <a:miter/>
                        </a:ln>
                      </wps:spPr>
                      <wps:bodyPr/>
                    </wps:wsp>
                  </a:graphicData>
                </a:graphic>
              </wp:anchor>
            </w:drawing>
          </mc:Choice>
          <mc:Fallback>
            <w:pict>
              <v:shape id="五角星 308" o:spid="_x0000_s1026" style="position:absolute;left:0pt;margin-left:446.35pt;margin-top:276.85pt;height:23.15pt;width:21.1pt;z-index:251697152;mso-width-relative:page;mso-height-relative:page;" fillcolor="#FFFF00" filled="t" stroked="t" coordsize="267970,294004" o:gfxdata="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x3mAdoAAAAL&#10;AQAADwAAAAAAAAABACAAAAAiAAAAZHJzL2Rvd25yZXYueG1sUEsBAhQAFAAAAAgAh07iQFfROlPh&#10;AQAAxwMAAA4AAAAAAAAAAQAgAAAAKQEAAGRycy9lMm9Eb2MueG1sUEsFBgAAAAAGAAYAWQEAAHwF&#10;AAAAAA==&#10;" path="m0,112299l102355,112300,133985,0,165614,112300,267969,112299,185161,181703,216792,294003,133985,224597,51177,294003,82808,181703xe">
                <v:path o:connectlocs="133985,0;0,112299;51177,294003;216792,294003;267969,112299" o:connectangles="247,164,82,82,0"/>
                <v:fill on="t" focussize="0,0"/>
                <v:stroke weight="1pt" color="#000000" joinstyle="miter"/>
                <v:imagedata o:title=""/>
                <o:lock v:ext="edit" aspectratio="f"/>
              </v:shape>
            </w:pict>
          </mc:Fallback>
        </mc:AlternateContent>
      </w:r>
      <w:r>
        <w:rPr>
          <w:rFonts w:ascii="Times New Roman" w:hAnsi="Times New Roman"/>
          <w:b/>
          <w:bCs/>
          <w:color w:val="auto"/>
          <w:szCs w:val="22"/>
          <w:highlight w:val="none"/>
        </w:rPr>
        <w:t>生态</w:t>
      </w:r>
      <w:r>
        <w:rPr>
          <w:rFonts w:hint="eastAsia" w:ascii="Times New Roman" w:hAnsi="Times New Roman"/>
          <w:b/>
          <w:bCs/>
          <w:color w:val="auto"/>
          <w:szCs w:val="22"/>
          <w:highlight w:val="none"/>
        </w:rPr>
        <w:t>保护</w:t>
      </w:r>
      <w:r>
        <w:rPr>
          <w:rFonts w:ascii="Times New Roman" w:hAnsi="Times New Roman"/>
          <w:b/>
          <w:bCs/>
          <w:color w:val="auto"/>
          <w:szCs w:val="22"/>
          <w:highlight w:val="none"/>
        </w:rPr>
        <w:t>红线分布图</w:t>
      </w:r>
      <w:bookmarkEnd w:id="175"/>
      <w:bookmarkEnd w:id="176"/>
    </w:p>
    <w:p w14:paraId="41F6A60F">
      <w:pPr>
        <w:pStyle w:val="3"/>
        <w:jc w:val="center"/>
        <w:rPr>
          <w:color w:val="auto"/>
          <w:highlight w:val="none"/>
        </w:rPr>
      </w:pPr>
      <w:r>
        <w:rPr>
          <w:color w:val="auto"/>
          <w:highlight w:val="none"/>
        </w:rPr>
        <mc:AlternateContent>
          <mc:Choice Requires="wps">
            <w:drawing>
              <wp:anchor distT="0" distB="0" distL="0" distR="0" simplePos="0" relativeHeight="251698176" behindDoc="0" locked="0" layoutInCell="1" allowOverlap="1">
                <wp:simplePos x="0" y="0"/>
                <wp:positionH relativeFrom="column">
                  <wp:posOffset>5673725</wp:posOffset>
                </wp:positionH>
                <wp:positionV relativeFrom="paragraph">
                  <wp:posOffset>3526790</wp:posOffset>
                </wp:positionV>
                <wp:extent cx="180975" cy="167640"/>
                <wp:effectExtent l="19685" t="20320" r="27940" b="21590"/>
                <wp:wrapNone/>
                <wp:docPr id="1109" name="五角星 324"/>
                <wp:cNvGraphicFramePr/>
                <a:graphic xmlns:a="http://schemas.openxmlformats.org/drawingml/2006/main">
                  <a:graphicData uri="http://schemas.microsoft.com/office/word/2010/wordprocessingShape">
                    <wps:wsp>
                      <wps:cNvSpPr/>
                      <wps:spPr>
                        <a:xfrm>
                          <a:off x="0" y="0"/>
                          <a:ext cx="180975" cy="167640"/>
                        </a:xfrm>
                        <a:prstGeom prst="star5">
                          <a:avLst/>
                        </a:prstGeom>
                        <a:solidFill>
                          <a:srgbClr val="FF0000"/>
                        </a:solidFill>
                        <a:ln w="12700" cap="flat" cmpd="sng">
                          <a:solidFill>
                            <a:srgbClr val="000000"/>
                          </a:solidFill>
                          <a:prstDash val="solid"/>
                          <a:miter/>
                        </a:ln>
                      </wps:spPr>
                      <wps:txbx>
                        <w:txbxContent>
                          <w:p w14:paraId="395C5B2F">
                            <w:pPr>
                              <w:jc w:val="center"/>
                            </w:pPr>
                          </w:p>
                        </w:txbxContent>
                      </wps:txbx>
                      <wps:bodyPr vert="horz" wrap="square" lIns="91440" tIns="45720" rIns="91440" bIns="45720" anchor="ctr">
                        <a:noAutofit/>
                      </wps:bodyPr>
                    </wps:wsp>
                  </a:graphicData>
                </a:graphic>
              </wp:anchor>
            </w:drawing>
          </mc:Choice>
          <mc:Fallback>
            <w:pict>
              <v:shape id="五角星 324" o:spid="_x0000_s1026" style="position:absolute;left:0pt;margin-left:446.75pt;margin-top:277.7pt;height:13.2pt;width:14.25pt;z-index:251698176;v-text-anchor:middle;mso-width-relative:page;mso-height-relative:page;" fillcolor="#FF0000" filled="t" stroked="t" coordsize="180975,167640" o:gfxdata="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YHyStkAAAALAQAADwAAAAAAAAABACAAAAAiAAAAZHJzL2Rvd25yZXYueG1sUEsBAhQAFAAAAAgA&#10;h07iQIxOScQkAgAARwQAAA4AAAAAAAAAAQAgAAAAKAEAAGRycy9lMm9Eb2MueG1sUEsFBgAAAAAG&#10;AAYAWQEAAL4FAAAAAA==&#10;" path="m0,64032l69126,64033,90487,0,111848,64033,180974,64032,125050,103606,146411,167639,90487,128064,34563,167639,55924,103606xe">
                <v:path textboxrect="0,0,180975,167640" o:connectlocs="90487,0;0,64032;34563,167639;146411,167639;180974,64032" o:connectangles="247,164,82,82,0"/>
                <v:fill on="t" focussize="0,0"/>
                <v:stroke weight="1pt" color="#000000" joinstyle="miter"/>
                <v:imagedata o:title=""/>
                <o:lock v:ext="edit" aspectratio="f"/>
                <v:textbox>
                  <w:txbxContent>
                    <w:p w14:paraId="395C5B2F">
                      <w:pPr>
                        <w:jc w:val="center"/>
                      </w:pPr>
                    </w:p>
                  </w:txbxContent>
                </v:textbox>
              </v:shape>
            </w:pict>
          </mc:Fallback>
        </mc:AlternateContent>
      </w:r>
      <w:r>
        <w:rPr>
          <w:color w:val="auto"/>
          <w:highlight w:val="none"/>
        </w:rPr>
        <mc:AlternateContent>
          <mc:Choice Requires="wps">
            <w:drawing>
              <wp:anchor distT="0" distB="0" distL="0" distR="0" simplePos="0" relativeHeight="251699200" behindDoc="0" locked="0" layoutInCell="1" allowOverlap="1">
                <wp:simplePos x="0" y="0"/>
                <wp:positionH relativeFrom="column">
                  <wp:posOffset>3756025</wp:posOffset>
                </wp:positionH>
                <wp:positionV relativeFrom="paragraph">
                  <wp:posOffset>765810</wp:posOffset>
                </wp:positionV>
                <wp:extent cx="251460" cy="254000"/>
                <wp:effectExtent l="18415" t="21590" r="34925" b="29210"/>
                <wp:wrapNone/>
                <wp:docPr id="1110" name="五角星 323"/>
                <wp:cNvGraphicFramePr/>
                <a:graphic xmlns:a="http://schemas.openxmlformats.org/drawingml/2006/main">
                  <a:graphicData uri="http://schemas.microsoft.com/office/word/2010/wordprocessingShape">
                    <wps:wsp>
                      <wps:cNvSpPr/>
                      <wps:spPr>
                        <a:xfrm>
                          <a:off x="0" y="0"/>
                          <a:ext cx="251459" cy="254000"/>
                        </a:xfrm>
                        <a:prstGeom prst="star5">
                          <a:avLst/>
                        </a:prstGeom>
                        <a:solidFill>
                          <a:srgbClr val="FF0000"/>
                        </a:solidFill>
                        <a:ln w="12700" cap="flat" cmpd="sng">
                          <a:solidFill>
                            <a:srgbClr val="000000"/>
                          </a:solidFill>
                          <a:prstDash val="solid"/>
                          <a:miter/>
                        </a:ln>
                      </wps:spPr>
                      <wps:txbx>
                        <w:txbxContent>
                          <w:p w14:paraId="62AB428E">
                            <w:pPr>
                              <w:jc w:val="center"/>
                            </w:pPr>
                          </w:p>
                        </w:txbxContent>
                      </wps:txbx>
                      <wps:bodyPr vert="horz" wrap="square" lIns="91440" tIns="45720" rIns="91440" bIns="45720" anchor="ctr">
                        <a:noAutofit/>
                      </wps:bodyPr>
                    </wps:wsp>
                  </a:graphicData>
                </a:graphic>
              </wp:anchor>
            </w:drawing>
          </mc:Choice>
          <mc:Fallback>
            <w:pict>
              <v:shape id="五角星 323" o:spid="_x0000_s1026" style="position:absolute;left:0pt;margin-left:295.75pt;margin-top:60.3pt;height:20pt;width:19.8pt;z-index:251699200;v-text-anchor:middle;mso-width-relative:page;mso-height-relative:page;" fillcolor="#FF0000" filled="t" stroked="t" coordsize="251459,254000" o:gfxdata="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P19cA&#10;AAALAQAADwAAAAAAAAABACAAAAAiAAAAZHJzL2Rvd25yZXYueG1sUEsBAhQAFAAAAAgAh07iQHgL&#10;u3QgAgAARwQAAA4AAAAAAAAAAQAgAAAAJgEAAGRycy9lMm9Eb2MueG1sUEsFBgAAAAAGAAYAWQEA&#10;ALgFAAAAAA==&#10;" path="m0,97019l96049,97019,125729,0,155409,97019,251458,97019,173753,156979,203434,253999,125729,194037,48024,253999,77705,156979xe">
                <v:path textboxrect="0,0,251459,254000" o:connectlocs="125729,0;0,97019;48024,253999;203434,253999;251458,97019" o:connectangles="247,164,82,82,0"/>
                <v:fill on="t" focussize="0,0"/>
                <v:stroke weight="1pt" color="#000000" joinstyle="miter"/>
                <v:imagedata o:title=""/>
                <o:lock v:ext="edit" aspectratio="f"/>
                <v:textbox>
                  <w:txbxContent>
                    <w:p w14:paraId="62AB428E">
                      <w:pPr>
                        <w:jc w:val="center"/>
                      </w:pPr>
                    </w:p>
                  </w:txbxContent>
                </v:textbox>
              </v:shape>
            </w:pict>
          </mc:Fallback>
        </mc:AlternateContent>
      </w:r>
      <w:r>
        <w:rPr>
          <w:color w:val="auto"/>
          <w:highlight w:val="none"/>
        </w:rPr>
        <mc:AlternateContent>
          <mc:Choice Requires="wps">
            <w:drawing>
              <wp:anchor distT="0" distB="0" distL="0" distR="0" simplePos="0" relativeHeight="251700224" behindDoc="0" locked="0" layoutInCell="1" allowOverlap="1">
                <wp:simplePos x="0" y="0"/>
                <wp:positionH relativeFrom="column">
                  <wp:posOffset>5887720</wp:posOffset>
                </wp:positionH>
                <wp:positionV relativeFrom="paragraph">
                  <wp:posOffset>2799715</wp:posOffset>
                </wp:positionV>
                <wp:extent cx="1276350" cy="533400"/>
                <wp:effectExtent l="116205" t="13970" r="17145" b="290830"/>
                <wp:wrapNone/>
                <wp:docPr id="1111" name="圆角矩形标注 326"/>
                <wp:cNvGraphicFramePr/>
                <a:graphic xmlns:a="http://schemas.openxmlformats.org/drawingml/2006/main">
                  <a:graphicData uri="http://schemas.microsoft.com/office/word/2010/wordprocessingShape">
                    <wps:wsp>
                      <wps:cNvSpPr/>
                      <wps:spPr>
                        <a:xfrm>
                          <a:off x="0" y="0"/>
                          <a:ext cx="1276349" cy="533400"/>
                        </a:xfrm>
                        <a:prstGeom prst="wedgeRoundRectCallout">
                          <a:avLst>
                            <a:gd name="adj1" fmla="val -53681"/>
                            <a:gd name="adj2" fmla="val 94232"/>
                            <a:gd name="adj3" fmla="val 16667"/>
                          </a:avLst>
                        </a:prstGeom>
                        <a:solidFill>
                          <a:srgbClr val="F2F2F2"/>
                        </a:solidFill>
                        <a:ln w="28575" cap="flat" cmpd="sng">
                          <a:solidFill>
                            <a:srgbClr val="000000"/>
                          </a:solidFill>
                          <a:prstDash val="solid"/>
                          <a:miter/>
                        </a:ln>
                      </wps:spPr>
                      <wps:txbx>
                        <w:txbxContent>
                          <w:p w14:paraId="668CB334">
                            <w:pPr>
                              <w:jc w:val="center"/>
                              <w:rPr>
                                <w:sz w:val="28"/>
                                <w:szCs w:val="28"/>
                              </w:rPr>
                            </w:pPr>
                            <w:r>
                              <w:rPr>
                                <w:rFonts w:hint="eastAsia"/>
                                <w:sz w:val="28"/>
                                <w:szCs w:val="28"/>
                              </w:rPr>
                              <w:t>项目位置</w:t>
                            </w:r>
                          </w:p>
                        </w:txbxContent>
                      </wps:txbx>
                      <wps:bodyPr vert="horz" wrap="square" lIns="91440" tIns="45720" rIns="91440" bIns="45720" anchor="ctr">
                        <a:noAutofit/>
                      </wps:bodyPr>
                    </wps:wsp>
                  </a:graphicData>
                </a:graphic>
              </wp:anchor>
            </w:drawing>
          </mc:Choice>
          <mc:Fallback>
            <w:pict>
              <v:shape id="圆角矩形标注 326" o:spid="_x0000_s1026" o:spt="62" type="#_x0000_t62" style="position:absolute;left:0pt;margin-left:463.6pt;margin-top:220.45pt;height:42pt;width:100.5pt;z-index:251700224;v-text-anchor:middle;mso-width-relative:page;mso-height-relative:page;" fillcolor="#F2F2F2" filled="t" stroked="t" coordsize="21600,21600" o:gfxdata="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DOJLLcAAAADAEAAA8AAAAAAAAAAQAgAAAAIgAAAGRycy9kb3du&#10;cmV2LnhtbFBLAQIUABQAAAAIAIdO4kA+90OBbQIAANcEAAAOAAAAAAAAAAEAIAAAACsBAABkcnMv&#10;ZTJvRG9jLnhtbFBLBQYAAAAABgAGAFkBAAAKBgAAAAA=&#10;" adj="-795,31154,14400">
                <v:fill on="t" focussize="0,0"/>
                <v:stroke weight="2.25pt" color="#000000" joinstyle="miter"/>
                <v:imagedata o:title=""/>
                <o:lock v:ext="edit" aspectratio="f"/>
                <v:textbox>
                  <w:txbxContent>
                    <w:p w14:paraId="668CB334">
                      <w:pPr>
                        <w:jc w:val="center"/>
                        <w:rPr>
                          <w:sz w:val="28"/>
                          <w:szCs w:val="28"/>
                        </w:rPr>
                      </w:pPr>
                      <w:r>
                        <w:rPr>
                          <w:rFonts w:hint="eastAsia"/>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747328" behindDoc="0" locked="0" layoutInCell="1" allowOverlap="1">
                <wp:simplePos x="0" y="0"/>
                <wp:positionH relativeFrom="column">
                  <wp:posOffset>1801495</wp:posOffset>
                </wp:positionH>
                <wp:positionV relativeFrom="paragraph">
                  <wp:posOffset>356870</wp:posOffset>
                </wp:positionV>
                <wp:extent cx="1276350" cy="600075"/>
                <wp:effectExtent l="13970" t="13970" r="786130" b="14605"/>
                <wp:wrapNone/>
                <wp:docPr id="1112" name="圆角矩形标注 325"/>
                <wp:cNvGraphicFramePr/>
                <a:graphic xmlns:a="http://schemas.openxmlformats.org/drawingml/2006/main">
                  <a:graphicData uri="http://schemas.microsoft.com/office/word/2010/wordprocessingShape">
                    <wps:wsp>
                      <wps:cNvSpPr/>
                      <wps:spPr>
                        <a:xfrm>
                          <a:off x="0" y="0"/>
                          <a:ext cx="1276350" cy="600075"/>
                        </a:xfrm>
                        <a:prstGeom prst="wedgeRoundRectCallout">
                          <a:avLst>
                            <a:gd name="adj1" fmla="val 101542"/>
                            <a:gd name="adj2" fmla="val 32116"/>
                            <a:gd name="adj3" fmla="val 16667"/>
                          </a:avLst>
                        </a:prstGeom>
                        <a:solidFill>
                          <a:srgbClr val="F2F2F2"/>
                        </a:solidFill>
                        <a:ln w="28575" cap="flat" cmpd="sng">
                          <a:solidFill>
                            <a:srgbClr val="000000"/>
                          </a:solidFill>
                          <a:prstDash val="solid"/>
                          <a:miter/>
                        </a:ln>
                      </wps:spPr>
                      <wps:txbx>
                        <w:txbxContent>
                          <w:p w14:paraId="4AFD91E9">
                            <w:pPr>
                              <w:jc w:val="center"/>
                              <w:rPr>
                                <w:sz w:val="28"/>
                                <w:szCs w:val="28"/>
                              </w:rPr>
                            </w:pPr>
                            <w:r>
                              <w:rPr>
                                <w:rFonts w:hint="eastAsia"/>
                                <w:sz w:val="28"/>
                                <w:szCs w:val="28"/>
                              </w:rPr>
                              <w:t>项目位置</w:t>
                            </w:r>
                          </w:p>
                        </w:txbxContent>
                      </wps:txbx>
                      <wps:bodyPr vert="horz" wrap="square" lIns="91440" tIns="45720" rIns="91440" bIns="45720" anchor="ctr">
                        <a:noAutofit/>
                      </wps:bodyPr>
                    </wps:wsp>
                  </a:graphicData>
                </a:graphic>
              </wp:anchor>
            </w:drawing>
          </mc:Choice>
          <mc:Fallback>
            <w:pict>
              <v:shape id="圆角矩形标注 325" o:spid="_x0000_s1026" o:spt="62" type="#_x0000_t62" style="position:absolute;left:0pt;margin-left:141.85pt;margin-top:28.1pt;height:47.25pt;width:100.5pt;z-index:251747328;v-text-anchor:middle;mso-width-relative:page;mso-height-relative:page;" fillcolor="#F2F2F2" filled="t" stroked="t" coordsize="21600,21600" o:gfxdata="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COBINgAAAAKAQAADwAAAAAAAAABACAAAAAiAAAAZHJzL2Rvd25yZXYu&#10;eG1sUEsBAhQAFAAAAAgAh07iQJaeO8ttAgAA1wQAAA4AAAAAAAAAAQAgAAAAJwEAAGRycy9lMm9E&#10;b2MueG1sUEsFBgAAAAAGAAYAWQEAAAYGAAAAAA==&#10;" adj="32733,17737,14400">
                <v:fill on="t" focussize="0,0"/>
                <v:stroke weight="2.25pt" color="#000000" joinstyle="miter"/>
                <v:imagedata o:title=""/>
                <o:lock v:ext="edit" aspectratio="f"/>
                <v:textbox>
                  <w:txbxContent>
                    <w:p w14:paraId="4AFD91E9">
                      <w:pPr>
                        <w:jc w:val="center"/>
                        <w:rPr>
                          <w:sz w:val="28"/>
                          <w:szCs w:val="28"/>
                        </w:rPr>
                      </w:pPr>
                      <w:r>
                        <w:rPr>
                          <w:rFonts w:hint="eastAsia"/>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701248" behindDoc="0" locked="0" layoutInCell="1" allowOverlap="1">
                <wp:simplePos x="0" y="0"/>
                <wp:positionH relativeFrom="column">
                  <wp:posOffset>5144135</wp:posOffset>
                </wp:positionH>
                <wp:positionV relativeFrom="paragraph">
                  <wp:posOffset>2479675</wp:posOffset>
                </wp:positionV>
                <wp:extent cx="529590" cy="1111250"/>
                <wp:effectExtent l="12700" t="6350" r="29210" b="6350"/>
                <wp:wrapNone/>
                <wp:docPr id="1113" name="直接箭头连接符 327"/>
                <wp:cNvGraphicFramePr/>
                <a:graphic xmlns:a="http://schemas.openxmlformats.org/drawingml/2006/main">
                  <a:graphicData uri="http://schemas.microsoft.com/office/word/2010/wordprocessingShape">
                    <wps:wsp>
                      <wps:cNvCnPr/>
                      <wps:spPr>
                        <a:xfrm>
                          <a:off x="0" y="0"/>
                          <a:ext cx="529590" cy="1111250"/>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27" o:spid="_x0000_s1026" o:spt="32" type="#_x0000_t32" style="position:absolute;left:0pt;margin-left:405.05pt;margin-top:195.25pt;height:87.5pt;width:41.7pt;z-index:251701248;mso-width-relative:page;mso-height-relative:page;" filled="f" stroked="t" coordsize="21600,21600" o:gfxdata="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&#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hW1lXXAAAACwEAAA8AAAAAAAAAAQAgAAAAIgAAAGRy&#10;cy9kb3ducmV2LnhtbFBLAQIUABQAAAAIAIdO4kDqjWKkBgIAANgDAAAOAAAAAAAAAAEAIAAAACYB&#10;AABkcnMvZTJvRG9jLnhtbFBLBQYAAAAABgAGAFkBAACeBQAAAAA=&#10;">
                <v:fill on="f" focussize="0,0"/>
                <v:stroke weight="2.25pt" color="#000000" joinstyle="miter" endarrow="open"/>
                <v:imagedata o:title=""/>
                <o:lock v:ext="edit" aspectratio="f"/>
              </v:shape>
            </w:pict>
          </mc:Fallback>
        </mc:AlternateContent>
      </w:r>
      <w:r>
        <w:rPr>
          <w:color w:val="auto"/>
          <w:highlight w:val="none"/>
        </w:rPr>
        <w:drawing>
          <wp:anchor distT="0" distB="0" distL="0" distR="0" simplePos="0" relativeHeight="251702272" behindDoc="0" locked="0" layoutInCell="1" allowOverlap="1">
            <wp:simplePos x="0" y="0"/>
            <wp:positionH relativeFrom="column">
              <wp:posOffset>2209800</wp:posOffset>
            </wp:positionH>
            <wp:positionV relativeFrom="paragraph">
              <wp:posOffset>347980</wp:posOffset>
            </wp:positionV>
            <wp:extent cx="2924175" cy="2164715"/>
            <wp:effectExtent l="28575" t="28575" r="38100" b="35560"/>
            <wp:wrapNone/>
            <wp:docPr id="1114" name="图片 19"/>
            <wp:cNvGraphicFramePr/>
            <a:graphic xmlns:a="http://schemas.openxmlformats.org/drawingml/2006/main">
              <a:graphicData uri="http://schemas.openxmlformats.org/drawingml/2006/picture">
                <pic:pic xmlns:pic="http://schemas.openxmlformats.org/drawingml/2006/picture">
                  <pic:nvPicPr>
                    <pic:cNvPr id="1114" name="图片 19"/>
                    <pic:cNvPicPr/>
                  </pic:nvPicPr>
                  <pic:blipFill>
                    <a:blip r:embed="rId53" cstate="print"/>
                    <a:srcRect/>
                    <a:stretch>
                      <a:fillRect/>
                    </a:stretch>
                  </pic:blipFill>
                  <pic:spPr>
                    <a:xfrm>
                      <a:off x="0" y="0"/>
                      <a:ext cx="2924175" cy="2164715"/>
                    </a:xfrm>
                    <a:prstGeom prst="rect">
                      <a:avLst/>
                    </a:prstGeom>
                    <a:ln w="28575" cap="flat" cmpd="sng">
                      <a:solidFill>
                        <a:srgbClr val="000000"/>
                      </a:solidFill>
                      <a:prstDash val="solid"/>
                      <a:round/>
                    </a:ln>
                  </pic:spPr>
                </pic:pic>
              </a:graphicData>
            </a:graphic>
          </wp:anchor>
        </w:drawing>
      </w:r>
      <w:r>
        <w:rPr>
          <w:color w:val="auto"/>
          <w:highlight w:val="none"/>
        </w:rPr>
        <w:drawing>
          <wp:inline distT="0" distB="0" distL="0" distR="0">
            <wp:extent cx="7498080" cy="5197475"/>
            <wp:effectExtent l="28575" t="28575" r="36195" b="31750"/>
            <wp:docPr id="1115" name="图片 18"/>
            <wp:cNvGraphicFramePr/>
            <a:graphic xmlns:a="http://schemas.openxmlformats.org/drawingml/2006/main">
              <a:graphicData uri="http://schemas.openxmlformats.org/drawingml/2006/picture">
                <pic:pic xmlns:pic="http://schemas.openxmlformats.org/drawingml/2006/picture">
                  <pic:nvPicPr>
                    <pic:cNvPr id="1115" name="图片 18"/>
                    <pic:cNvPicPr/>
                  </pic:nvPicPr>
                  <pic:blipFill>
                    <a:blip r:embed="rId54" cstate="print"/>
                    <a:srcRect/>
                    <a:stretch>
                      <a:fillRect/>
                    </a:stretch>
                  </pic:blipFill>
                  <pic:spPr>
                    <a:xfrm>
                      <a:off x="0" y="0"/>
                      <a:ext cx="7498080" cy="5197475"/>
                    </a:xfrm>
                    <a:prstGeom prst="rect">
                      <a:avLst/>
                    </a:prstGeom>
                    <a:ln w="28575" cap="flat" cmpd="sng">
                      <a:solidFill>
                        <a:srgbClr val="000000"/>
                      </a:solidFill>
                      <a:prstDash val="solid"/>
                      <a:round/>
                    </a:ln>
                  </pic:spPr>
                </pic:pic>
              </a:graphicData>
            </a:graphic>
          </wp:inline>
        </w:drawing>
      </w:r>
    </w:p>
    <w:p w14:paraId="31EDE6AF">
      <w:pPr>
        <w:pStyle w:val="3"/>
        <w:jc w:val="center"/>
        <w:outlineLvl w:val="0"/>
        <w:rPr>
          <w:rFonts w:ascii="Times New Roman" w:hAnsi="Times New Roman"/>
          <w:b/>
          <w:bCs/>
          <w:color w:val="auto"/>
          <w:szCs w:val="22"/>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77" w:name="_Toc15018"/>
      <w:bookmarkStart w:id="178" w:name="_Toc21031"/>
      <w:r>
        <w:rPr>
          <w:rFonts w:ascii="Times New Roman" w:hAnsi="Times New Roman"/>
          <w:b/>
          <w:bCs/>
          <w:color w:val="auto"/>
          <w:szCs w:val="22"/>
          <w:highlight w:val="none"/>
        </w:rPr>
        <w:t xml:space="preserve">附图9 </w:t>
      </w:r>
      <w:r>
        <w:rPr>
          <w:rFonts w:ascii="Times New Roman" w:hAnsi="Times New Roman"/>
          <w:b/>
          <w:bCs/>
          <w:color w:val="auto"/>
          <w:highlight w:val="none"/>
        </w:rPr>
        <mc:AlternateContent>
          <mc:Choice Requires="wps">
            <w:drawing>
              <wp:anchor distT="0" distB="0" distL="0" distR="0" simplePos="0" relativeHeight="251703296" behindDoc="0" locked="0" layoutInCell="1" allowOverlap="1">
                <wp:simplePos x="0" y="0"/>
                <wp:positionH relativeFrom="column">
                  <wp:posOffset>4244975</wp:posOffset>
                </wp:positionH>
                <wp:positionV relativeFrom="paragraph">
                  <wp:posOffset>3159760</wp:posOffset>
                </wp:positionV>
                <wp:extent cx="1209675" cy="589915"/>
                <wp:effectExtent l="13970" t="13970" r="433705" b="24765"/>
                <wp:wrapNone/>
                <wp:docPr id="1116" name="圆角矩形标注 319"/>
                <wp:cNvGraphicFramePr/>
                <a:graphic xmlns:a="http://schemas.openxmlformats.org/drawingml/2006/main">
                  <a:graphicData uri="http://schemas.microsoft.com/office/word/2010/wordprocessingShape">
                    <wps:wsp>
                      <wps:cNvSpPr/>
                      <wps:spPr>
                        <a:xfrm>
                          <a:off x="0" y="0"/>
                          <a:ext cx="1209675" cy="589915"/>
                        </a:xfrm>
                        <a:prstGeom prst="wedgeRoundRectCallout">
                          <a:avLst>
                            <a:gd name="adj1" fmla="val 79186"/>
                            <a:gd name="adj2" fmla="val 39275"/>
                            <a:gd name="adj3" fmla="val 16667"/>
                          </a:avLst>
                        </a:prstGeom>
                        <a:solidFill>
                          <a:srgbClr val="FFFFFF"/>
                        </a:solidFill>
                        <a:ln w="28575" cap="flat" cmpd="sng">
                          <a:solidFill>
                            <a:srgbClr val="000000"/>
                          </a:solidFill>
                          <a:prstDash val="solid"/>
                          <a:miter/>
                        </a:ln>
                      </wps:spPr>
                      <wps:txbx>
                        <w:txbxContent>
                          <w:p w14:paraId="507C6DD6">
                            <w:pPr>
                              <w:jc w:val="center"/>
                              <w:rPr>
                                <w:color w:val="000000"/>
                              </w:rPr>
                            </w:pPr>
                            <w:r>
                              <w:rPr>
                                <w:rFonts w:hint="eastAsia"/>
                                <w:color w:val="000000"/>
                              </w:rPr>
                              <w:t>项目位置</w:t>
                            </w:r>
                          </w:p>
                        </w:txbxContent>
                      </wps:txbx>
                      <wps:bodyPr vert="horz" wrap="square" lIns="91440" tIns="45720" rIns="91440" bIns="45720" anchor="ctr">
                        <a:noAutofit/>
                      </wps:bodyPr>
                    </wps:wsp>
                  </a:graphicData>
                </a:graphic>
              </wp:anchor>
            </w:drawing>
          </mc:Choice>
          <mc:Fallback>
            <w:pict>
              <v:shape id="圆角矩形标注 319" o:spid="_x0000_s1026" o:spt="62" type="#_x0000_t62" style="position:absolute;left:0pt;margin-left:334.25pt;margin-top:248.8pt;height:46.45pt;width:95.25pt;z-index:251703296;v-text-anchor:middle;mso-width-relative:page;mso-height-relative:page;" fillcolor="#FFFFFF" filled="t" stroked="t" coordsize="21600,21600" o:gfxdata="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BIZfA2wAAAAsBAAAPAAAAAAAAAAEAIAAAACIAAABkcnMvZG93bnJl&#10;di54bWxQSwECFAAUAAAACACHTuJArVIL+GwCAADWBAAADgAAAAAAAAABACAAAAAqAQAAZHJzL2Uy&#10;b0RvYy54bWxQSwUGAAAAAAYABgBZAQAACAYAAAAA&#10;" adj="27904,19283,14400">
                <v:fill on="t" focussize="0,0"/>
                <v:stroke weight="2.25pt" color="#000000" joinstyle="miter"/>
                <v:imagedata o:title=""/>
                <o:lock v:ext="edit" aspectratio="f"/>
                <v:textbox>
                  <w:txbxContent>
                    <w:p w14:paraId="507C6DD6">
                      <w:pPr>
                        <w:jc w:val="center"/>
                        <w:rPr>
                          <w:color w:val="000000"/>
                        </w:rPr>
                      </w:pPr>
                      <w:r>
                        <w:rPr>
                          <w:rFonts w:hint="eastAsia"/>
                          <w:color w:val="000000"/>
                        </w:rPr>
                        <w:t>项目位置</w:t>
                      </w:r>
                    </w:p>
                  </w:txbxContent>
                </v:textbox>
              </v:shape>
            </w:pict>
          </mc:Fallback>
        </mc:AlternateContent>
      </w:r>
      <w:r>
        <w:rPr>
          <w:rFonts w:ascii="Times New Roman" w:hAnsi="Times New Roman"/>
          <w:b/>
          <w:bCs/>
          <w:color w:val="auto"/>
          <w:highlight w:val="none"/>
        </w:rPr>
        <mc:AlternateContent>
          <mc:Choice Requires="wps">
            <w:drawing>
              <wp:anchor distT="0" distB="0" distL="0" distR="0" simplePos="0" relativeHeight="251704320" behindDoc="0" locked="0" layoutInCell="1" allowOverlap="1">
                <wp:simplePos x="0" y="0"/>
                <wp:positionH relativeFrom="column">
                  <wp:posOffset>5802630</wp:posOffset>
                </wp:positionH>
                <wp:positionV relativeFrom="paragraph">
                  <wp:posOffset>2149475</wp:posOffset>
                </wp:positionV>
                <wp:extent cx="342900" cy="1366520"/>
                <wp:effectExtent l="34925" t="3175" r="22225" b="1905"/>
                <wp:wrapNone/>
                <wp:docPr id="1117" name="直接箭头连接符 320"/>
                <wp:cNvGraphicFramePr/>
                <a:graphic xmlns:a="http://schemas.openxmlformats.org/drawingml/2006/main">
                  <a:graphicData uri="http://schemas.microsoft.com/office/word/2010/wordprocessingShape">
                    <wps:wsp>
                      <wps:cNvCnPr/>
                      <wps:spPr>
                        <a:xfrm flipH="1">
                          <a:off x="0" y="0"/>
                          <a:ext cx="342900" cy="1366520"/>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20" o:spid="_x0000_s1026" o:spt="32" type="#_x0000_t32" style="position:absolute;left:0pt;flip:x;margin-left:456.9pt;margin-top:169.25pt;height:107.6pt;width:27pt;z-index:251704320;mso-width-relative:page;mso-height-relative:page;" filled="f" stroked="t" coordsize="21600,21600" o:gfxdata="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i7gCT2gAAAAsBAAAPAAAAAAAAAAEA&#10;IAAAACIAAABkcnMvZG93bnJldi54bWxQSwECFAAUAAAACACHTuJAznONuw0CAADiAwAADgAAAAAA&#10;AAABACAAAAApAQAAZHJzL2Uyb0RvYy54bWxQSwUGAAAAAAYABgBZAQAAqAUAAAAA&#10;">
                <v:fill on="f" focussize="0,0"/>
                <v:stroke weight="2.25pt" color="#000000" joinstyle="miter" endarrow="open"/>
                <v:imagedata o:title=""/>
                <o:lock v:ext="edit" aspectratio="f"/>
              </v:shape>
            </w:pict>
          </mc:Fallback>
        </mc:AlternateContent>
      </w:r>
      <w:r>
        <w:rPr>
          <w:rFonts w:ascii="Times New Roman" w:hAnsi="Times New Roman"/>
          <w:b/>
          <w:bCs/>
          <w:color w:val="auto"/>
          <w:highlight w:val="none"/>
        </w:rPr>
        <mc:AlternateContent>
          <mc:Choice Requires="wps">
            <w:drawing>
              <wp:anchor distT="0" distB="0" distL="0" distR="0" simplePos="0" relativeHeight="251705344" behindDoc="0" locked="0" layoutInCell="1" allowOverlap="1">
                <wp:simplePos x="0" y="0"/>
                <wp:positionH relativeFrom="column">
                  <wp:posOffset>5668645</wp:posOffset>
                </wp:positionH>
                <wp:positionV relativeFrom="paragraph">
                  <wp:posOffset>3515995</wp:posOffset>
                </wp:positionV>
                <wp:extent cx="267970" cy="294005"/>
                <wp:effectExtent l="17145" t="23495" r="19685" b="25400"/>
                <wp:wrapNone/>
                <wp:docPr id="1118" name="五角星 321"/>
                <wp:cNvGraphicFramePr/>
                <a:graphic xmlns:a="http://schemas.openxmlformats.org/drawingml/2006/main">
                  <a:graphicData uri="http://schemas.microsoft.com/office/word/2010/wordprocessingShape">
                    <wps:wsp>
                      <wps:cNvSpPr/>
                      <wps:spPr>
                        <a:xfrm>
                          <a:off x="0" y="0"/>
                          <a:ext cx="267970" cy="294004"/>
                        </a:xfrm>
                        <a:prstGeom prst="star5">
                          <a:avLst/>
                        </a:prstGeom>
                        <a:solidFill>
                          <a:srgbClr val="FFFF00"/>
                        </a:solidFill>
                        <a:ln w="12700" cap="flat" cmpd="sng">
                          <a:solidFill>
                            <a:srgbClr val="000000"/>
                          </a:solidFill>
                          <a:prstDash val="solid"/>
                          <a:miter/>
                        </a:ln>
                      </wps:spPr>
                      <wps:bodyPr/>
                    </wps:wsp>
                  </a:graphicData>
                </a:graphic>
              </wp:anchor>
            </w:drawing>
          </mc:Choice>
          <mc:Fallback>
            <w:pict>
              <v:shape id="五角星 321" o:spid="_x0000_s1026" style="position:absolute;left:0pt;margin-left:446.35pt;margin-top:276.85pt;height:23.15pt;width:21.1pt;z-index:251705344;mso-width-relative:page;mso-height-relative:page;" fillcolor="#FFFF00" filled="t" stroked="t" coordsize="267970,294004" o:gfxdata="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x3mAdoAAAAL&#10;AQAADwAAAAAAAAABACAAAAAiAAAAZHJzL2Rvd25yZXYueG1sUEsBAhQAFAAAAAgAh07iQI73PTbh&#10;AQAAxwMAAA4AAAAAAAAAAQAgAAAAKQEAAGRycy9lMm9Eb2MueG1sUEsFBgAAAAAGAAYAWQEAAHwF&#10;AAAAAA==&#10;" path="m0,112299l102355,112300,133985,0,165614,112300,267969,112299,185161,181703,216792,294003,133985,224597,51177,294003,82808,181703xe">
                <v:path o:connectlocs="133985,0;0,112299;51177,294003;216792,294003;267969,112299" o:connectangles="247,164,82,82,0"/>
                <v:fill on="t" focussize="0,0"/>
                <v:stroke weight="1pt" color="#000000" joinstyle="miter"/>
                <v:imagedata o:title=""/>
                <o:lock v:ext="edit" aspectratio="f"/>
              </v:shape>
            </w:pict>
          </mc:Fallback>
        </mc:AlternateContent>
      </w:r>
      <w:r>
        <w:rPr>
          <w:rFonts w:ascii="Times New Roman" w:hAnsi="Times New Roman"/>
          <w:b/>
          <w:bCs/>
          <w:color w:val="auto"/>
          <w:highlight w:val="none"/>
        </w:rPr>
        <w:t>水环境管控单元</w:t>
      </w:r>
      <w:r>
        <w:rPr>
          <w:rFonts w:hint="eastAsia" w:ascii="Times New Roman" w:hAnsi="Times New Roman"/>
          <w:b/>
          <w:bCs/>
          <w:color w:val="auto"/>
          <w:highlight w:val="none"/>
        </w:rPr>
        <w:t>分区</w:t>
      </w:r>
      <w:r>
        <w:rPr>
          <w:rFonts w:ascii="Times New Roman" w:hAnsi="Times New Roman"/>
          <w:b/>
          <w:bCs/>
          <w:color w:val="auto"/>
          <w:szCs w:val="22"/>
          <w:highlight w:val="none"/>
        </w:rPr>
        <w:t>图</w:t>
      </w:r>
      <w:bookmarkEnd w:id="177"/>
      <w:bookmarkEnd w:id="178"/>
    </w:p>
    <w:p w14:paraId="247FE47C">
      <w:pPr>
        <w:pStyle w:val="3"/>
        <w:jc w:val="center"/>
        <w:rPr>
          <w:color w:val="auto"/>
          <w:highlight w:val="none"/>
        </w:rPr>
      </w:pPr>
      <w:r>
        <w:rPr>
          <w:color w:val="auto"/>
          <w:highlight w:val="none"/>
        </w:rPr>
        <mc:AlternateContent>
          <mc:Choice Requires="wps">
            <w:drawing>
              <wp:anchor distT="0" distB="0" distL="0" distR="0" simplePos="0" relativeHeight="251706368" behindDoc="0" locked="0" layoutInCell="1" allowOverlap="1">
                <wp:simplePos x="0" y="0"/>
                <wp:positionH relativeFrom="column">
                  <wp:posOffset>6029325</wp:posOffset>
                </wp:positionH>
                <wp:positionV relativeFrom="paragraph">
                  <wp:posOffset>864870</wp:posOffset>
                </wp:positionV>
                <wp:extent cx="222250" cy="201295"/>
                <wp:effectExtent l="20320" t="19685" r="24130" b="26669"/>
                <wp:wrapNone/>
                <wp:docPr id="1119" name="五角星 330"/>
                <wp:cNvGraphicFramePr/>
                <a:graphic xmlns:a="http://schemas.openxmlformats.org/drawingml/2006/main">
                  <a:graphicData uri="http://schemas.microsoft.com/office/word/2010/wordprocessingShape">
                    <wps:wsp>
                      <wps:cNvSpPr/>
                      <wps:spPr>
                        <a:xfrm>
                          <a:off x="0" y="0"/>
                          <a:ext cx="222250" cy="201294"/>
                        </a:xfrm>
                        <a:prstGeom prst="star5">
                          <a:avLst/>
                        </a:prstGeom>
                        <a:solidFill>
                          <a:srgbClr val="FF0000"/>
                        </a:solidFill>
                        <a:ln w="12700" cap="flat" cmpd="sng">
                          <a:solidFill>
                            <a:srgbClr val="000000"/>
                          </a:solidFill>
                          <a:prstDash val="solid"/>
                          <a:miter/>
                        </a:ln>
                      </wps:spPr>
                      <wps:bodyPr/>
                    </wps:wsp>
                  </a:graphicData>
                </a:graphic>
              </wp:anchor>
            </w:drawing>
          </mc:Choice>
          <mc:Fallback>
            <w:pict>
              <v:shape id="五角星 330" o:spid="_x0000_s1026" style="position:absolute;left:0pt;margin-left:474.75pt;margin-top:68.1pt;height:15.85pt;width:17.5pt;z-index:251706368;mso-width-relative:page;mso-height-relative:page;" fillcolor="#FF0000" filled="t" stroked="t" coordsize="222250,201294" o:gfxdata="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NUETkLcAAAACwEAAA8A&#10;AAAAAAAAAQAgAAAAIgAAAGRycy9kb3ducmV2LnhtbFBLAQIUABQAAAAIAIdO4kBdacIn2gEAAMcD&#10;AAAOAAAAAAAAAAEAIAAAACsBAABkcnMvZTJvRG9jLnhtbFBLBQYAAAAABgAGAFkBAAB3BQAAAAA=&#10;" path="m0,76887l84892,76887,111125,0,137357,76887,222249,76887,153570,124406,179803,201293,111125,153773,42446,201293,68679,124406xe">
                <v:path o:connectlocs="111125,0;0,76887;42446,201293;179803,201293;222249,76887" o:connectangles="247,164,82,82,0"/>
                <v:fill on="t" focussize="0,0"/>
                <v:stroke weight="1pt" color="#000000" joinstyle="miter"/>
                <v:imagedata o:title=""/>
                <o:lock v:ext="edit" aspectratio="f"/>
              </v:shape>
            </w:pict>
          </mc:Fallback>
        </mc:AlternateContent>
      </w:r>
      <w:r>
        <w:rPr>
          <w:color w:val="auto"/>
          <w:highlight w:val="none"/>
        </w:rPr>
        <mc:AlternateContent>
          <mc:Choice Requires="wps">
            <w:drawing>
              <wp:anchor distT="0" distB="0" distL="0" distR="0" simplePos="0" relativeHeight="251707392" behindDoc="0" locked="0" layoutInCell="1" allowOverlap="1">
                <wp:simplePos x="0" y="0"/>
                <wp:positionH relativeFrom="column">
                  <wp:posOffset>5718810</wp:posOffset>
                </wp:positionH>
                <wp:positionV relativeFrom="paragraph">
                  <wp:posOffset>3582670</wp:posOffset>
                </wp:positionV>
                <wp:extent cx="155575" cy="146050"/>
                <wp:effectExtent l="19685" t="20320" r="34290" b="24130"/>
                <wp:wrapNone/>
                <wp:docPr id="1120" name="五角星 331"/>
                <wp:cNvGraphicFramePr/>
                <a:graphic xmlns:a="http://schemas.openxmlformats.org/drawingml/2006/main">
                  <a:graphicData uri="http://schemas.microsoft.com/office/word/2010/wordprocessingShape">
                    <wps:wsp>
                      <wps:cNvSpPr/>
                      <wps:spPr>
                        <a:xfrm>
                          <a:off x="0" y="0"/>
                          <a:ext cx="155575" cy="146050"/>
                        </a:xfrm>
                        <a:prstGeom prst="star5">
                          <a:avLst/>
                        </a:prstGeom>
                        <a:solidFill>
                          <a:srgbClr val="FF0000"/>
                        </a:solidFill>
                        <a:ln w="12700" cap="flat" cmpd="sng">
                          <a:solidFill>
                            <a:srgbClr val="000000"/>
                          </a:solidFill>
                          <a:prstDash val="solid"/>
                          <a:miter/>
                        </a:ln>
                      </wps:spPr>
                      <wps:bodyPr/>
                    </wps:wsp>
                  </a:graphicData>
                </a:graphic>
              </wp:anchor>
            </w:drawing>
          </mc:Choice>
          <mc:Fallback>
            <w:pict>
              <v:shape id="五角星 331" o:spid="_x0000_s1026" style="position:absolute;left:0pt;margin-left:450.3pt;margin-top:282.1pt;height:11.5pt;width:12.25pt;z-index:251707392;mso-width-relative:page;mso-height-relative:page;" fillcolor="#FF0000" filled="t" stroked="t" coordsize="155575,146050" o:gfxdata="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3w+iNgAAAALAQAA&#10;DwAAAAAAAAABACAAAAAiAAAAZHJzL2Rvd25yZXYueG1sUEsBAhQAFAAAAAgAh07iQJhG7+/gAQAA&#10;xwMAAA4AAAAAAAAAAQAgAAAAJwEAAGRycy9lMm9Eb2MueG1sUEsFBgAAAAAGAAYAWQEAAHkFAAAA&#10;AA==&#10;" path="m0,55785l59424,55786,77787,0,96150,55786,155574,55785,107499,90263,125862,146049,77787,111571,29712,146049,48075,90263xe">
                <v:path o:connectlocs="77787,0;0,55785;29712,146049;125862,146049;155574,55785" o:connectangles="247,164,82,82,0"/>
                <v:fill on="t" focussize="0,0"/>
                <v:stroke weight="1pt" color="#000000" joinstyle="miter"/>
                <v:imagedata o:title=""/>
                <o:lock v:ext="edit" aspectratio="f"/>
              </v:shape>
            </w:pict>
          </mc:Fallback>
        </mc:AlternateContent>
      </w:r>
      <w:r>
        <w:rPr>
          <w:color w:val="auto"/>
          <w:highlight w:val="none"/>
        </w:rPr>
        <mc:AlternateContent>
          <mc:Choice Requires="wps">
            <w:drawing>
              <wp:anchor distT="0" distB="0" distL="0" distR="0" simplePos="0" relativeHeight="251708416" behindDoc="0" locked="0" layoutInCell="1" allowOverlap="1">
                <wp:simplePos x="0" y="0"/>
                <wp:positionH relativeFrom="column">
                  <wp:posOffset>4584700</wp:posOffset>
                </wp:positionH>
                <wp:positionV relativeFrom="paragraph">
                  <wp:posOffset>628650</wp:posOffset>
                </wp:positionV>
                <wp:extent cx="1276350" cy="533400"/>
                <wp:effectExtent l="13970" t="13970" r="271780" b="24130"/>
                <wp:wrapNone/>
                <wp:docPr id="1121" name="圆角矩形标注 332"/>
                <wp:cNvGraphicFramePr/>
                <a:graphic xmlns:a="http://schemas.openxmlformats.org/drawingml/2006/main">
                  <a:graphicData uri="http://schemas.microsoft.com/office/word/2010/wordprocessingShape">
                    <wps:wsp>
                      <wps:cNvSpPr/>
                      <wps:spPr>
                        <a:xfrm>
                          <a:off x="0" y="0"/>
                          <a:ext cx="1276350" cy="533400"/>
                        </a:xfrm>
                        <a:prstGeom prst="wedgeRoundRectCallout">
                          <a:avLst>
                            <a:gd name="adj1" fmla="val 66766"/>
                            <a:gd name="adj2" fmla="val 19047"/>
                            <a:gd name="adj3" fmla="val 16667"/>
                          </a:avLst>
                        </a:prstGeom>
                        <a:solidFill>
                          <a:srgbClr val="F2F2F2"/>
                        </a:solidFill>
                        <a:ln w="28575" cap="flat" cmpd="sng">
                          <a:solidFill>
                            <a:srgbClr val="000000"/>
                          </a:solidFill>
                          <a:prstDash val="solid"/>
                          <a:miter/>
                        </a:ln>
                      </wps:spPr>
                      <wps:txbx>
                        <w:txbxContent>
                          <w:p w14:paraId="5C690A34">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a:graphicData>
                </a:graphic>
              </wp:anchor>
            </w:drawing>
          </mc:Choice>
          <mc:Fallback>
            <w:pict>
              <v:shape id="圆角矩形标注 332" o:spid="_x0000_s1026" o:spt="62" type="#_x0000_t62" style="position:absolute;left:0pt;margin-left:361pt;margin-top:49.5pt;height:42pt;width:100.5pt;z-index:251708416;v-text-anchor:middle;mso-width-relative:page;mso-height-relative:page;" fillcolor="#F2F2F2" filled="t" stroked="t" coordsize="21600,21600" o:gfxdata="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Di31u1wAAAAoBAAAPAAAAAAAAAAEAIAAAACIAAABkcnMvZG93bnJldi54bWxQ&#10;SwECFAAUAAAACACHTuJAcWBWcGoCAADWBAAADgAAAAAAAAABACAAAAAmAQAAZHJzL2Uyb0RvYy54&#10;bWxQSwUGAAAAAAYABgBZAQAAAgYAAAAA&#10;" adj="25221,14914,14400">
                <v:fill on="t" focussize="0,0"/>
                <v:stroke weight="2.25pt" color="#000000" joinstyle="miter"/>
                <v:imagedata o:title=""/>
                <o:lock v:ext="edit" aspectratio="f"/>
                <v:textbox>
                  <w:txbxContent>
                    <w:p w14:paraId="5C690A34">
                      <w:pPr>
                        <w:jc w:val="center"/>
                        <w:rPr>
                          <w:b/>
                          <w:bCs/>
                          <w:sz w:val="28"/>
                          <w:szCs w:val="28"/>
                        </w:rPr>
                      </w:pPr>
                      <w:r>
                        <w:rPr>
                          <w:rFonts w:hint="eastAsia"/>
                          <w:b/>
                          <w:bCs/>
                          <w:sz w:val="28"/>
                          <w:szCs w:val="28"/>
                        </w:rPr>
                        <w:t>项目位置</w:t>
                      </w:r>
                    </w:p>
                  </w:txbxContent>
                </v:textbox>
              </v:shape>
            </w:pict>
          </mc:Fallback>
        </mc:AlternateContent>
      </w:r>
      <w:r>
        <w:rPr>
          <w:color w:val="auto"/>
          <w:highlight w:val="none"/>
        </w:rPr>
        <mc:AlternateContent>
          <mc:Choice Requires="wps">
            <w:drawing>
              <wp:anchor distT="0" distB="0" distL="0" distR="0" simplePos="0" relativeHeight="251709440" behindDoc="0" locked="0" layoutInCell="1" allowOverlap="1">
                <wp:simplePos x="0" y="0"/>
                <wp:positionH relativeFrom="column">
                  <wp:posOffset>5796915</wp:posOffset>
                </wp:positionH>
                <wp:positionV relativeFrom="paragraph">
                  <wp:posOffset>2249170</wp:posOffset>
                </wp:positionV>
                <wp:extent cx="394970" cy="1333500"/>
                <wp:effectExtent l="29845" t="3810" r="32385" b="15240"/>
                <wp:wrapNone/>
                <wp:docPr id="1122" name="直接箭头连接符 334"/>
                <wp:cNvGraphicFramePr/>
                <a:graphic xmlns:a="http://schemas.openxmlformats.org/drawingml/2006/main">
                  <a:graphicData uri="http://schemas.microsoft.com/office/word/2010/wordprocessingShape">
                    <wps:wsp>
                      <wps:cNvCnPr/>
                      <wps:spPr>
                        <a:xfrm flipH="1">
                          <a:off x="0" y="0"/>
                          <a:ext cx="394970" cy="1333500"/>
                        </a:xfrm>
                        <a:prstGeom prst="straightConnector1">
                          <a:avLst/>
                        </a:prstGeom>
                        <a:ln w="28575" cap="flat" cmpd="sng">
                          <a:solidFill>
                            <a:srgbClr val="000000"/>
                          </a:solidFill>
                          <a:prstDash val="solid"/>
                          <a:miter/>
                          <a:tailEnd type="arrow" w="med" len="med"/>
                        </a:ln>
                      </wps:spPr>
                      <wps:bodyPr/>
                    </wps:wsp>
                  </a:graphicData>
                </a:graphic>
              </wp:anchor>
            </w:drawing>
          </mc:Choice>
          <mc:Fallback>
            <w:pict>
              <v:shape id="直接箭头连接符 334" o:spid="_x0000_s1026" o:spt="32" type="#_x0000_t32" style="position:absolute;left:0pt;flip:x;margin-left:456.45pt;margin-top:177.1pt;height:105pt;width:31.1pt;z-index:251709440;mso-width-relative:page;mso-height-relative:page;" filled="f" stroked="t" coordsize="21600,21600" o:gfxdata="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ewrFz2QAAAAsBAAAPAAAAAAAAAAEA&#10;IAAAACIAAABkcnMvZG93bnJldi54bWxQSwECFAAUAAAACACHTuJA03TbJw4CAADiAwAADgAAAAAA&#10;AAABACAAAAAoAQAAZHJzL2Uyb0RvYy54bWxQSwUGAAAAAAYABgBZAQAAqAUAAAAA&#10;">
                <v:fill on="f" focussize="0,0"/>
                <v:stroke weight="2.25pt" color="#000000" joinstyle="miter" endarrow="open"/>
                <v:imagedata o:title=""/>
                <o:lock v:ext="edit" aspectratio="f"/>
              </v:shape>
            </w:pict>
          </mc:Fallback>
        </mc:AlternateContent>
      </w:r>
      <w:r>
        <w:rPr>
          <w:color w:val="auto"/>
          <w:highlight w:val="none"/>
        </w:rPr>
        <mc:AlternateContent>
          <mc:Choice Requires="wps">
            <w:drawing>
              <wp:anchor distT="0" distB="0" distL="0" distR="0" simplePos="0" relativeHeight="251710464" behindDoc="0" locked="0" layoutInCell="1" allowOverlap="1">
                <wp:simplePos x="0" y="0"/>
                <wp:positionH relativeFrom="column">
                  <wp:posOffset>4036060</wp:posOffset>
                </wp:positionH>
                <wp:positionV relativeFrom="paragraph">
                  <wp:posOffset>3282950</wp:posOffset>
                </wp:positionV>
                <wp:extent cx="1276350" cy="533400"/>
                <wp:effectExtent l="13970" t="13970" r="462280" b="24130"/>
                <wp:wrapNone/>
                <wp:docPr id="1123" name="圆角矩形标注 333"/>
                <wp:cNvGraphicFramePr/>
                <a:graphic xmlns:a="http://schemas.openxmlformats.org/drawingml/2006/main">
                  <a:graphicData uri="http://schemas.microsoft.com/office/word/2010/wordprocessingShape">
                    <wps:wsp>
                      <wps:cNvSpPr/>
                      <wps:spPr>
                        <a:xfrm>
                          <a:off x="0" y="0"/>
                          <a:ext cx="1276350" cy="533400"/>
                        </a:xfrm>
                        <a:prstGeom prst="wedgeRoundRectCallout">
                          <a:avLst>
                            <a:gd name="adj1" fmla="val 78507"/>
                            <a:gd name="adj2" fmla="val 24642"/>
                            <a:gd name="adj3" fmla="val 16667"/>
                          </a:avLst>
                        </a:prstGeom>
                        <a:solidFill>
                          <a:srgbClr val="F2F2F2"/>
                        </a:solidFill>
                        <a:ln w="28575" cap="flat" cmpd="sng">
                          <a:solidFill>
                            <a:srgbClr val="000000"/>
                          </a:solidFill>
                          <a:prstDash val="solid"/>
                          <a:miter/>
                        </a:ln>
                      </wps:spPr>
                      <wps:txbx>
                        <w:txbxContent>
                          <w:p w14:paraId="3CE2FCFD">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a:graphicData>
                </a:graphic>
              </wp:anchor>
            </w:drawing>
          </mc:Choice>
          <mc:Fallback>
            <w:pict>
              <v:shape id="圆角矩形标注 333" o:spid="_x0000_s1026" o:spt="62" type="#_x0000_t62" style="position:absolute;left:0pt;margin-left:317.8pt;margin-top:258.5pt;height:42pt;width:100.5pt;z-index:251710464;v-text-anchor:middle;mso-width-relative:page;mso-height-relative:page;" fillcolor="#F2F2F2" filled="t" stroked="t" coordsize="21600,21600" o:gfxdata="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wMAoK2gAAAAsBAAAPAAAAAAAAAAEAIAAAACIAAABkcnMvZG93bnJl&#10;di54bWxQSwECFAAUAAAACACHTuJAQV/fnm0CAADWBAAADgAAAAAAAAABACAAAAApAQAAZHJzL2Uy&#10;b0RvYy54bWxQSwUGAAAAAAYABgBZAQAACAYAAAAA&#10;" adj="27758,16123,14400">
                <v:fill on="t" focussize="0,0"/>
                <v:stroke weight="2.25pt" color="#000000" joinstyle="miter"/>
                <v:imagedata o:title=""/>
                <o:lock v:ext="edit" aspectratio="f"/>
                <v:textbox>
                  <w:txbxContent>
                    <w:p w14:paraId="3CE2FCFD">
                      <w:pPr>
                        <w:jc w:val="center"/>
                        <w:rPr>
                          <w:b/>
                          <w:bCs/>
                          <w:sz w:val="28"/>
                          <w:szCs w:val="28"/>
                        </w:rPr>
                      </w:pPr>
                      <w:r>
                        <w:rPr>
                          <w:rFonts w:hint="eastAsia"/>
                          <w:b/>
                          <w:bCs/>
                          <w:sz w:val="28"/>
                          <w:szCs w:val="28"/>
                        </w:rPr>
                        <w:t>项目位置</w:t>
                      </w:r>
                    </w:p>
                  </w:txbxContent>
                </v:textbox>
              </v:shape>
            </w:pict>
          </mc:Fallback>
        </mc:AlternateContent>
      </w:r>
      <w:r>
        <w:rPr>
          <w:color w:val="auto"/>
          <w:highlight w:val="none"/>
        </w:rPr>
        <w:drawing>
          <wp:anchor distT="0" distB="0" distL="0" distR="0" simplePos="0" relativeHeight="251661312" behindDoc="0" locked="0" layoutInCell="1" allowOverlap="1">
            <wp:simplePos x="0" y="0"/>
            <wp:positionH relativeFrom="column">
              <wp:posOffset>4379595</wp:posOffset>
            </wp:positionH>
            <wp:positionV relativeFrom="paragraph">
              <wp:posOffset>370840</wp:posOffset>
            </wp:positionV>
            <wp:extent cx="2750820" cy="1859280"/>
            <wp:effectExtent l="28575" t="9525" r="40005" b="36195"/>
            <wp:wrapNone/>
            <wp:docPr id="1124" name="图片 21"/>
            <wp:cNvGraphicFramePr/>
            <a:graphic xmlns:a="http://schemas.openxmlformats.org/drawingml/2006/main">
              <a:graphicData uri="http://schemas.openxmlformats.org/drawingml/2006/picture">
                <pic:pic xmlns:pic="http://schemas.openxmlformats.org/drawingml/2006/picture">
                  <pic:nvPicPr>
                    <pic:cNvPr id="1124" name="图片 21"/>
                    <pic:cNvPicPr/>
                  </pic:nvPicPr>
                  <pic:blipFill>
                    <a:blip r:embed="rId55" cstate="print"/>
                    <a:srcRect/>
                    <a:stretch>
                      <a:fillRect/>
                    </a:stretch>
                  </pic:blipFill>
                  <pic:spPr>
                    <a:xfrm>
                      <a:off x="0" y="0"/>
                      <a:ext cx="2750819" cy="1859280"/>
                    </a:xfrm>
                    <a:prstGeom prst="rect">
                      <a:avLst/>
                    </a:prstGeom>
                    <a:ln w="28575" cap="flat" cmpd="sng">
                      <a:solidFill>
                        <a:srgbClr val="000000"/>
                      </a:solidFill>
                      <a:prstDash val="solid"/>
                      <a:round/>
                    </a:ln>
                  </pic:spPr>
                </pic:pic>
              </a:graphicData>
            </a:graphic>
          </wp:anchor>
        </w:drawing>
      </w:r>
      <w:r>
        <w:rPr>
          <w:color w:val="auto"/>
          <w:highlight w:val="none"/>
        </w:rPr>
        <w:drawing>
          <wp:inline distT="0" distB="0" distL="0" distR="0">
            <wp:extent cx="7539990" cy="5222875"/>
            <wp:effectExtent l="28575" t="28575" r="32385" b="44450"/>
            <wp:docPr id="1125" name="图片 20"/>
            <wp:cNvGraphicFramePr/>
            <a:graphic xmlns:a="http://schemas.openxmlformats.org/drawingml/2006/main">
              <a:graphicData uri="http://schemas.openxmlformats.org/drawingml/2006/picture">
                <pic:pic xmlns:pic="http://schemas.openxmlformats.org/drawingml/2006/picture">
                  <pic:nvPicPr>
                    <pic:cNvPr id="1125" name="图片 20"/>
                    <pic:cNvPicPr/>
                  </pic:nvPicPr>
                  <pic:blipFill>
                    <a:blip r:embed="rId56" cstate="print"/>
                    <a:srcRect/>
                    <a:stretch>
                      <a:fillRect/>
                    </a:stretch>
                  </pic:blipFill>
                  <pic:spPr>
                    <a:xfrm>
                      <a:off x="0" y="0"/>
                      <a:ext cx="7539990" cy="5222875"/>
                    </a:xfrm>
                    <a:prstGeom prst="rect">
                      <a:avLst/>
                    </a:prstGeom>
                    <a:ln w="28575" cap="flat" cmpd="sng">
                      <a:solidFill>
                        <a:srgbClr val="000000"/>
                      </a:solidFill>
                      <a:prstDash val="solid"/>
                      <a:round/>
                    </a:ln>
                  </pic:spPr>
                </pic:pic>
              </a:graphicData>
            </a:graphic>
          </wp:inline>
        </w:drawing>
      </w:r>
    </w:p>
    <w:p w14:paraId="1DA2427C">
      <w:pPr>
        <w:pStyle w:val="3"/>
        <w:jc w:val="center"/>
        <w:outlineLvl w:val="0"/>
        <w:rPr>
          <w:rFonts w:ascii="Times New Roman" w:hAnsi="Times New Roman"/>
          <w:color w:val="auto"/>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79" w:name="_Toc6452"/>
      <w:bookmarkStart w:id="180" w:name="_Toc1547"/>
      <w:r>
        <w:rPr>
          <w:rFonts w:ascii="Times New Roman" w:hAnsi="Times New Roman"/>
          <w:b/>
          <w:bCs/>
          <w:color w:val="auto"/>
          <w:szCs w:val="22"/>
          <w:highlight w:val="none"/>
        </w:rPr>
        <w:t>附图10 大气环境管控单元图</w:t>
      </w:r>
      <w:bookmarkEnd w:id="179"/>
      <w:bookmarkEnd w:id="180"/>
    </w:p>
    <w:p w14:paraId="2C8F9371">
      <w:pPr>
        <w:jc w:val="center"/>
        <w:rPr>
          <w:color w:val="auto"/>
          <w:highlight w:val="none"/>
        </w:rPr>
      </w:pPr>
      <w:r>
        <w:rPr>
          <w:color w:val="auto"/>
          <w:highlight w:val="none"/>
        </w:rPr>
        <mc:AlternateContent>
          <mc:Choice Requires="wps">
            <w:drawing>
              <wp:anchor distT="0" distB="0" distL="0" distR="0" simplePos="0" relativeHeight="251711488" behindDoc="0" locked="0" layoutInCell="1" allowOverlap="1">
                <wp:simplePos x="0" y="0"/>
                <wp:positionH relativeFrom="column">
                  <wp:posOffset>5662295</wp:posOffset>
                </wp:positionH>
                <wp:positionV relativeFrom="paragraph">
                  <wp:posOffset>3543935</wp:posOffset>
                </wp:positionV>
                <wp:extent cx="177165" cy="168275"/>
                <wp:effectExtent l="19685" t="20320" r="31750" b="20955"/>
                <wp:wrapNone/>
                <wp:docPr id="1126" name="五角星 337"/>
                <wp:cNvGraphicFramePr/>
                <a:graphic xmlns:a="http://schemas.openxmlformats.org/drawingml/2006/main">
                  <a:graphicData uri="http://schemas.microsoft.com/office/word/2010/wordprocessingShape">
                    <wps:wsp>
                      <wps:cNvSpPr/>
                      <wps:spPr>
                        <a:xfrm>
                          <a:off x="0" y="0"/>
                          <a:ext cx="177165" cy="168275"/>
                        </a:xfrm>
                        <a:prstGeom prst="star5">
                          <a:avLst/>
                        </a:prstGeom>
                        <a:solidFill>
                          <a:srgbClr val="FF0000"/>
                        </a:solidFill>
                        <a:ln w="12700" cap="flat" cmpd="sng">
                          <a:solidFill>
                            <a:srgbClr val="000000"/>
                          </a:solidFill>
                          <a:prstDash val="solid"/>
                          <a:miter/>
                        </a:ln>
                      </wps:spPr>
                      <wps:bodyPr/>
                    </wps:wsp>
                  </a:graphicData>
                </a:graphic>
              </wp:anchor>
            </w:drawing>
          </mc:Choice>
          <mc:Fallback>
            <w:pict>
              <v:shape id="五角星 337" o:spid="_x0000_s1026" style="position:absolute;left:0pt;margin-left:445.85pt;margin-top:279.05pt;height:13.25pt;width:13.95pt;z-index:251711488;mso-width-relative:page;mso-height-relative:page;" fillcolor="#FF0000" filled="t" stroked="t" coordsize="177165,168275" o:gfxdata="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bohoB2wAAAAsB&#10;AAAPAAAAAAAAAAEAIAAAACIAAABkcnMvZG93bnJldi54bWxQSwECFAAUAAAACACHTuJAnX1oC98B&#10;AADHAwAADgAAAAAAAAABACAAAAAqAQAAZHJzL2Uyb0RvYy54bWxQSwUGAAAAAAYABgBZAQAAewUA&#10;AAAA&#10;" path="m0,64275l67671,64275,88582,0,109493,64275,177164,64275,122417,103999,143329,168274,88582,128549,33835,168274,54747,103999xe">
                <v:path o:connectlocs="88582,0;0,64275;33835,168274;143329,168274;177164,64275" o:connectangles="247,164,82,82,0"/>
                <v:fill on="t" focussize="0,0"/>
                <v:stroke weight="1pt" color="#000000" joinstyle="miter"/>
                <v:imagedata o:title=""/>
                <o:lock v:ext="edit" aspectratio="f"/>
              </v:shape>
            </w:pict>
          </mc:Fallback>
        </mc:AlternateContent>
      </w:r>
      <w:r>
        <w:rPr>
          <w:color w:val="auto"/>
          <w:highlight w:val="none"/>
        </w:rPr>
        <mc:AlternateContent>
          <mc:Choice Requires="wps">
            <w:drawing>
              <wp:anchor distT="0" distB="0" distL="0" distR="0" simplePos="0" relativeHeight="251712512" behindDoc="0" locked="0" layoutInCell="1" allowOverlap="1">
                <wp:simplePos x="0" y="0"/>
                <wp:positionH relativeFrom="column">
                  <wp:posOffset>3969385</wp:posOffset>
                </wp:positionH>
                <wp:positionV relativeFrom="paragraph">
                  <wp:posOffset>3296920</wp:posOffset>
                </wp:positionV>
                <wp:extent cx="1276350" cy="533400"/>
                <wp:effectExtent l="13970" t="13970" r="462280" b="24130"/>
                <wp:wrapNone/>
                <wp:docPr id="1127" name="圆角矩形标注 336"/>
                <wp:cNvGraphicFramePr/>
                <a:graphic xmlns:a="http://schemas.openxmlformats.org/drawingml/2006/main">
                  <a:graphicData uri="http://schemas.microsoft.com/office/word/2010/wordprocessingShape">
                    <wps:wsp>
                      <wps:cNvSpPr/>
                      <wps:spPr>
                        <a:xfrm>
                          <a:off x="0" y="0"/>
                          <a:ext cx="1276350" cy="533400"/>
                        </a:xfrm>
                        <a:prstGeom prst="wedgeRoundRectCallout">
                          <a:avLst>
                            <a:gd name="adj1" fmla="val 78557"/>
                            <a:gd name="adj2" fmla="val 11904"/>
                            <a:gd name="adj3" fmla="val 16667"/>
                          </a:avLst>
                        </a:prstGeom>
                        <a:solidFill>
                          <a:srgbClr val="F2F2F2"/>
                        </a:solidFill>
                        <a:ln w="28575" cap="flat" cmpd="sng">
                          <a:solidFill>
                            <a:srgbClr val="000000"/>
                          </a:solidFill>
                          <a:prstDash val="solid"/>
                          <a:miter/>
                        </a:ln>
                      </wps:spPr>
                      <wps:txbx>
                        <w:txbxContent>
                          <w:p w14:paraId="3F0B7DEA">
                            <w:pPr>
                              <w:jc w:val="center"/>
                              <w:rPr>
                                <w:b/>
                                <w:bCs/>
                                <w:color w:val="000000"/>
                                <w:sz w:val="28"/>
                                <w:szCs w:val="28"/>
                              </w:rPr>
                            </w:pPr>
                            <w:r>
                              <w:rPr>
                                <w:rFonts w:hint="eastAsia"/>
                                <w:b/>
                                <w:bCs/>
                                <w:color w:val="000000"/>
                                <w:sz w:val="28"/>
                                <w:szCs w:val="28"/>
                              </w:rPr>
                              <w:t>项目位置</w:t>
                            </w:r>
                          </w:p>
                        </w:txbxContent>
                      </wps:txbx>
                      <wps:bodyPr vert="horz" wrap="square" lIns="91440" tIns="45720" rIns="91440" bIns="45720" anchor="ctr">
                        <a:noAutofit/>
                      </wps:bodyPr>
                    </wps:wsp>
                  </a:graphicData>
                </a:graphic>
              </wp:anchor>
            </w:drawing>
          </mc:Choice>
          <mc:Fallback>
            <w:pict>
              <v:shape id="圆角矩形标注 336" o:spid="_x0000_s1026" o:spt="62" type="#_x0000_t62" style="position:absolute;left:0pt;margin-left:312.55pt;margin-top:259.6pt;height:42pt;width:100.5pt;z-index:251712512;v-text-anchor:middle;mso-width-relative:page;mso-height-relative:page;" fillcolor="#F2F2F2" filled="t" stroked="t" coordsize="21600,21600" o:gfxdata="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bocU/NkAAAALAQAADwAAAAAAAAABACAAAAAiAAAAZHJzL2Rvd25yZXYu&#10;eG1sUEsBAhQAFAAAAAgAh07iQG/t/XhsAgAA1gQAAA4AAAAAAAAAAQAgAAAAKAEAAGRycy9lMm9E&#10;b2MueG1sUEsFBgAAAAAGAAYAWQEAAAYGAAAAAA==&#10;" adj="27768,13371,14400">
                <v:fill on="t" focussize="0,0"/>
                <v:stroke weight="2.25pt" color="#000000" joinstyle="miter"/>
                <v:imagedata o:title=""/>
                <o:lock v:ext="edit" aspectratio="f"/>
                <v:textbox>
                  <w:txbxContent>
                    <w:p w14:paraId="3F0B7DEA">
                      <w:pPr>
                        <w:jc w:val="center"/>
                        <w:rPr>
                          <w:b/>
                          <w:bCs/>
                          <w:color w:val="000000"/>
                          <w:sz w:val="28"/>
                          <w:szCs w:val="28"/>
                        </w:rPr>
                      </w:pPr>
                      <w:r>
                        <w:rPr>
                          <w:rFonts w:hint="eastAsia"/>
                          <w:b/>
                          <w:bCs/>
                          <w:color w:val="000000"/>
                          <w:sz w:val="28"/>
                          <w:szCs w:val="28"/>
                        </w:rPr>
                        <w:t>项目位置</w:t>
                      </w:r>
                    </w:p>
                  </w:txbxContent>
                </v:textbox>
              </v:shape>
            </w:pict>
          </mc:Fallback>
        </mc:AlternateContent>
      </w:r>
      <w:r>
        <w:rPr>
          <w:color w:val="auto"/>
          <w:highlight w:val="none"/>
        </w:rPr>
        <w:drawing>
          <wp:inline distT="0" distB="0" distL="0" distR="0">
            <wp:extent cx="7325360" cy="5222240"/>
            <wp:effectExtent l="28575" t="28575" r="37465" b="45085"/>
            <wp:docPr id="1128" name="图片 22"/>
            <wp:cNvGraphicFramePr/>
            <a:graphic xmlns:a="http://schemas.openxmlformats.org/drawingml/2006/main">
              <a:graphicData uri="http://schemas.openxmlformats.org/drawingml/2006/picture">
                <pic:pic xmlns:pic="http://schemas.openxmlformats.org/drawingml/2006/picture">
                  <pic:nvPicPr>
                    <pic:cNvPr id="1128" name="图片 22"/>
                    <pic:cNvPicPr/>
                  </pic:nvPicPr>
                  <pic:blipFill>
                    <a:blip r:embed="rId57" cstate="print"/>
                    <a:srcRect/>
                    <a:stretch>
                      <a:fillRect/>
                    </a:stretch>
                  </pic:blipFill>
                  <pic:spPr>
                    <a:xfrm>
                      <a:off x="0" y="0"/>
                      <a:ext cx="7325360" cy="5222240"/>
                    </a:xfrm>
                    <a:prstGeom prst="rect">
                      <a:avLst/>
                    </a:prstGeom>
                    <a:ln w="28575" cap="flat" cmpd="sng">
                      <a:solidFill>
                        <a:srgbClr val="000000"/>
                      </a:solidFill>
                      <a:prstDash val="solid"/>
                      <a:round/>
                    </a:ln>
                  </pic:spPr>
                </pic:pic>
              </a:graphicData>
            </a:graphic>
          </wp:inline>
        </w:drawing>
      </w:r>
    </w:p>
    <w:p w14:paraId="2551ED8E">
      <w:pPr>
        <w:pStyle w:val="3"/>
        <w:jc w:val="center"/>
        <w:outlineLvl w:val="0"/>
        <w:rPr>
          <w:color w:val="auto"/>
          <w:highlight w:val="none"/>
        </w:rPr>
        <w:sectPr>
          <w:pgSz w:w="16838" w:h="11906" w:orient="landscape"/>
          <w:pgMar w:top="1417" w:right="1417" w:bottom="1134" w:left="1559" w:header="851" w:footer="992" w:gutter="0"/>
          <w:pgNumType w:fmt="numberInDash"/>
          <w:cols w:space="720" w:num="1"/>
          <w:docGrid w:type="lines" w:linePitch="312" w:charSpace="0"/>
        </w:sectPr>
      </w:pPr>
      <w:bookmarkStart w:id="181" w:name="_Toc30293"/>
      <w:bookmarkStart w:id="182" w:name="_Toc23970"/>
      <w:r>
        <w:rPr>
          <w:b/>
          <w:bCs/>
          <w:color w:val="auto"/>
          <w:szCs w:val="22"/>
          <w:highlight w:val="none"/>
        </w:rPr>
        <w:t>附图1</w:t>
      </w:r>
      <w:r>
        <w:rPr>
          <w:rFonts w:hint="eastAsia"/>
          <w:b/>
          <w:bCs/>
          <w:color w:val="auto"/>
          <w:szCs w:val="22"/>
          <w:highlight w:val="none"/>
        </w:rPr>
        <w:t>1</w:t>
      </w:r>
      <w:r>
        <w:rPr>
          <w:b/>
          <w:bCs/>
          <w:color w:val="auto"/>
          <w:szCs w:val="22"/>
          <w:highlight w:val="none"/>
        </w:rPr>
        <w:t xml:space="preserve"> </w:t>
      </w:r>
      <w:r>
        <w:rPr>
          <w:rFonts w:hint="eastAsia"/>
          <w:b/>
          <w:bCs/>
          <w:color w:val="auto"/>
          <w:szCs w:val="22"/>
          <w:highlight w:val="none"/>
        </w:rPr>
        <w:t>生态管控单元分区图</w:t>
      </w:r>
      <w:bookmarkEnd w:id="181"/>
      <w:bookmarkEnd w:id="182"/>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6"/>
        <w:gridCol w:w="4356"/>
      </w:tblGrid>
      <w:tr w14:paraId="134A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4276" w:type="dxa"/>
            <w:vAlign w:val="center"/>
          </w:tcPr>
          <w:p w14:paraId="57C1D0B6">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drawing>
                <wp:inline distT="0" distB="0" distL="0" distR="0">
                  <wp:extent cx="2572385" cy="1158240"/>
                  <wp:effectExtent l="0" t="0" r="18415" b="3810"/>
                  <wp:docPr id="1129" name="图片 18" descr="bfca8059a265b8b14a157329ef71c500"/>
                  <wp:cNvGraphicFramePr/>
                  <a:graphic xmlns:a="http://schemas.openxmlformats.org/drawingml/2006/main">
                    <a:graphicData uri="http://schemas.openxmlformats.org/drawingml/2006/picture">
                      <pic:pic xmlns:pic="http://schemas.openxmlformats.org/drawingml/2006/picture">
                        <pic:nvPicPr>
                          <pic:cNvPr id="1129" name="图片 18" descr="bfca8059a265b8b14a157329ef71c500"/>
                          <pic:cNvPicPr/>
                        </pic:nvPicPr>
                        <pic:blipFill>
                          <a:blip r:embed="rId58" cstate="print"/>
                          <a:srcRect/>
                          <a:stretch>
                            <a:fillRect/>
                          </a:stretch>
                        </pic:blipFill>
                        <pic:spPr>
                          <a:xfrm>
                            <a:off x="0" y="0"/>
                            <a:ext cx="2572385" cy="1158240"/>
                          </a:xfrm>
                          <a:prstGeom prst="rect">
                            <a:avLst/>
                          </a:prstGeom>
                        </pic:spPr>
                      </pic:pic>
                    </a:graphicData>
                  </a:graphic>
                </wp:inline>
              </w:drawing>
            </w:r>
          </w:p>
        </w:tc>
        <w:tc>
          <w:tcPr>
            <w:tcW w:w="4348" w:type="dxa"/>
            <w:vAlign w:val="center"/>
          </w:tcPr>
          <w:p w14:paraId="649B1C54">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drawing>
                <wp:inline distT="0" distB="0" distL="0" distR="0">
                  <wp:extent cx="2626995" cy="1182370"/>
                  <wp:effectExtent l="0" t="0" r="1905" b="17780"/>
                  <wp:docPr id="1130" name="图片 20" descr="ff89ca3aab1312eae1a11f32e96fece8"/>
                  <wp:cNvGraphicFramePr/>
                  <a:graphic xmlns:a="http://schemas.openxmlformats.org/drawingml/2006/main">
                    <a:graphicData uri="http://schemas.openxmlformats.org/drawingml/2006/picture">
                      <pic:pic xmlns:pic="http://schemas.openxmlformats.org/drawingml/2006/picture">
                        <pic:nvPicPr>
                          <pic:cNvPr id="1130" name="图片 20" descr="ff89ca3aab1312eae1a11f32e96fece8"/>
                          <pic:cNvPicPr/>
                        </pic:nvPicPr>
                        <pic:blipFill>
                          <a:blip r:embed="rId59" cstate="print"/>
                          <a:srcRect/>
                          <a:stretch>
                            <a:fillRect/>
                          </a:stretch>
                        </pic:blipFill>
                        <pic:spPr>
                          <a:xfrm>
                            <a:off x="0" y="0"/>
                            <a:ext cx="2626995" cy="1182370"/>
                          </a:xfrm>
                          <a:prstGeom prst="rect">
                            <a:avLst/>
                          </a:prstGeom>
                        </pic:spPr>
                      </pic:pic>
                    </a:graphicData>
                  </a:graphic>
                </wp:inline>
              </w:drawing>
            </w:r>
          </w:p>
        </w:tc>
      </w:tr>
      <w:tr w14:paraId="4966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276" w:type="dxa"/>
            <w:vAlign w:val="center"/>
          </w:tcPr>
          <w:p w14:paraId="7797D9FA">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t>项目东面 空地</w:t>
            </w:r>
          </w:p>
        </w:tc>
        <w:tc>
          <w:tcPr>
            <w:tcW w:w="4348" w:type="dxa"/>
            <w:vAlign w:val="center"/>
          </w:tcPr>
          <w:p w14:paraId="00EA3613">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t>项目南面 闲置厂房</w:t>
            </w:r>
          </w:p>
        </w:tc>
      </w:tr>
      <w:tr w14:paraId="5508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jc w:val="center"/>
        </w:trPr>
        <w:tc>
          <w:tcPr>
            <w:tcW w:w="4276" w:type="dxa"/>
            <w:vAlign w:val="center"/>
          </w:tcPr>
          <w:p w14:paraId="09E55C4F">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drawing>
                <wp:inline distT="0" distB="0" distL="0" distR="0">
                  <wp:extent cx="2572385" cy="1158240"/>
                  <wp:effectExtent l="0" t="0" r="18415" b="3810"/>
                  <wp:docPr id="1131" name="图片 21" descr="c9aa9b4416cdd832f88144e7c6f80d6e"/>
                  <wp:cNvGraphicFramePr/>
                  <a:graphic xmlns:a="http://schemas.openxmlformats.org/drawingml/2006/main">
                    <a:graphicData uri="http://schemas.openxmlformats.org/drawingml/2006/picture">
                      <pic:pic xmlns:pic="http://schemas.openxmlformats.org/drawingml/2006/picture">
                        <pic:nvPicPr>
                          <pic:cNvPr id="1131" name="图片 21" descr="c9aa9b4416cdd832f88144e7c6f80d6e"/>
                          <pic:cNvPicPr/>
                        </pic:nvPicPr>
                        <pic:blipFill>
                          <a:blip r:embed="rId60" cstate="print"/>
                          <a:srcRect/>
                          <a:stretch>
                            <a:fillRect/>
                          </a:stretch>
                        </pic:blipFill>
                        <pic:spPr>
                          <a:xfrm>
                            <a:off x="0" y="0"/>
                            <a:ext cx="2572385" cy="1158240"/>
                          </a:xfrm>
                          <a:prstGeom prst="rect">
                            <a:avLst/>
                          </a:prstGeom>
                        </pic:spPr>
                      </pic:pic>
                    </a:graphicData>
                  </a:graphic>
                </wp:inline>
              </w:drawing>
            </w:r>
          </w:p>
        </w:tc>
        <w:tc>
          <w:tcPr>
            <w:tcW w:w="4348" w:type="dxa"/>
            <w:vAlign w:val="center"/>
          </w:tcPr>
          <w:p w14:paraId="3AF23993">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drawing>
                <wp:inline distT="0" distB="0" distL="0" distR="0">
                  <wp:extent cx="2626995" cy="1182370"/>
                  <wp:effectExtent l="0" t="0" r="1905" b="17780"/>
                  <wp:docPr id="1132" name="图片 24" descr="20f00018e1ce80ba0ecd94a12eb85cb1"/>
                  <wp:cNvGraphicFramePr/>
                  <a:graphic xmlns:a="http://schemas.openxmlformats.org/drawingml/2006/main">
                    <a:graphicData uri="http://schemas.openxmlformats.org/drawingml/2006/picture">
                      <pic:pic xmlns:pic="http://schemas.openxmlformats.org/drawingml/2006/picture">
                        <pic:nvPicPr>
                          <pic:cNvPr id="1132" name="图片 24" descr="20f00018e1ce80ba0ecd94a12eb85cb1"/>
                          <pic:cNvPicPr/>
                        </pic:nvPicPr>
                        <pic:blipFill>
                          <a:blip r:embed="rId61" cstate="print"/>
                          <a:srcRect/>
                          <a:stretch>
                            <a:fillRect/>
                          </a:stretch>
                        </pic:blipFill>
                        <pic:spPr>
                          <a:xfrm>
                            <a:off x="0" y="0"/>
                            <a:ext cx="2626995" cy="1182370"/>
                          </a:xfrm>
                          <a:prstGeom prst="rect">
                            <a:avLst/>
                          </a:prstGeom>
                        </pic:spPr>
                      </pic:pic>
                    </a:graphicData>
                  </a:graphic>
                </wp:inline>
              </w:drawing>
            </w:r>
          </w:p>
        </w:tc>
      </w:tr>
      <w:tr w14:paraId="370B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76" w:type="dxa"/>
            <w:vAlign w:val="center"/>
          </w:tcPr>
          <w:p w14:paraId="77CEAC3F">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t>项目西面 在建厂房</w:t>
            </w:r>
          </w:p>
        </w:tc>
        <w:tc>
          <w:tcPr>
            <w:tcW w:w="4348" w:type="dxa"/>
            <w:vAlign w:val="center"/>
          </w:tcPr>
          <w:p w14:paraId="40E838C2">
            <w:pPr>
              <w:pStyle w:val="2"/>
              <w:snapToGrid w:val="0"/>
              <w:spacing w:line="276" w:lineRule="auto"/>
              <w:jc w:val="center"/>
              <w:rPr>
                <w:rFonts w:ascii="Times New Roman" w:cs="Times New Roman"/>
                <w:b/>
                <w:bCs/>
                <w:color w:val="auto"/>
                <w:sz w:val="21"/>
                <w:szCs w:val="21"/>
                <w:highlight w:val="none"/>
              </w:rPr>
            </w:pPr>
            <w:r>
              <w:rPr>
                <w:rFonts w:hint="eastAsia" w:ascii="Times New Roman" w:cs="Times New Roman"/>
                <w:b/>
                <w:bCs/>
                <w:color w:val="auto"/>
                <w:sz w:val="21"/>
                <w:szCs w:val="21"/>
                <w:highlight w:val="none"/>
              </w:rPr>
              <w:t>项目北面 在建厂房</w:t>
            </w:r>
          </w:p>
        </w:tc>
      </w:tr>
      <w:tr w14:paraId="3FFF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gridSpan w:val="2"/>
            <w:vAlign w:val="center"/>
          </w:tcPr>
          <w:p w14:paraId="273886E7">
            <w:pPr>
              <w:pStyle w:val="2"/>
              <w:snapToGrid w:val="0"/>
              <w:spacing w:line="276" w:lineRule="auto"/>
              <w:jc w:val="center"/>
              <w:rPr>
                <w:rFonts w:ascii="Times New Roman" w:cs="Times New Roman"/>
                <w:b/>
                <w:bCs/>
                <w:color w:val="auto"/>
                <w:sz w:val="21"/>
                <w:szCs w:val="21"/>
                <w:highlight w:val="none"/>
              </w:rPr>
            </w:pPr>
            <w:bookmarkStart w:id="183" w:name="_Toc20038"/>
            <w:bookmarkStart w:id="184" w:name="_Toc28856"/>
            <w:r>
              <w:rPr>
                <w:rFonts w:hint="eastAsia" w:ascii="Times New Roman" w:cs="Times New Roman"/>
                <w:b/>
                <w:bCs/>
                <w:color w:val="auto"/>
                <w:sz w:val="21"/>
                <w:szCs w:val="21"/>
                <w:highlight w:val="none"/>
              </w:rPr>
              <w:t>项目现状照片</w:t>
            </w:r>
          </w:p>
        </w:tc>
      </w:tr>
    </w:tbl>
    <w:p w14:paraId="3EA97F90">
      <w:pPr>
        <w:kinsoku w:val="0"/>
        <w:overflowPunct w:val="0"/>
        <w:adjustRightInd w:val="0"/>
        <w:snapToGrid w:val="0"/>
        <w:spacing w:before="156" w:beforeLines="50"/>
        <w:ind w:firstLine="482" w:firstLineChars="200"/>
        <w:jc w:val="center"/>
        <w:outlineLvl w:val="0"/>
        <w:rPr>
          <w:b/>
          <w:bCs/>
          <w:color w:val="auto"/>
          <w:szCs w:val="22"/>
          <w:highlight w:val="none"/>
        </w:rPr>
      </w:pPr>
      <w:bookmarkStart w:id="185" w:name="_Toc25830"/>
      <w:r>
        <w:rPr>
          <w:b/>
          <w:bCs/>
          <w:color w:val="auto"/>
          <w:szCs w:val="22"/>
          <w:highlight w:val="none"/>
        </w:rPr>
        <w:t>附图</w:t>
      </w:r>
      <w:r>
        <w:rPr>
          <w:rFonts w:hint="eastAsia"/>
          <w:b/>
          <w:bCs/>
          <w:color w:val="auto"/>
          <w:szCs w:val="22"/>
          <w:highlight w:val="none"/>
        </w:rPr>
        <w:t>12</w:t>
      </w:r>
      <w:r>
        <w:rPr>
          <w:b/>
          <w:bCs/>
          <w:color w:val="auto"/>
          <w:szCs w:val="22"/>
          <w:highlight w:val="none"/>
        </w:rPr>
        <w:t xml:space="preserve"> 项目</w:t>
      </w:r>
      <w:r>
        <w:rPr>
          <w:rFonts w:hint="eastAsia"/>
          <w:b/>
          <w:bCs/>
          <w:color w:val="auto"/>
          <w:szCs w:val="22"/>
          <w:highlight w:val="none"/>
        </w:rPr>
        <w:t>和项目</w:t>
      </w:r>
      <w:r>
        <w:rPr>
          <w:b/>
          <w:bCs/>
          <w:color w:val="auto"/>
          <w:szCs w:val="22"/>
          <w:highlight w:val="none"/>
        </w:rPr>
        <w:t>周边现状</w:t>
      </w:r>
      <w:r>
        <w:rPr>
          <w:rFonts w:hint="eastAsia"/>
          <w:b/>
          <w:bCs/>
          <w:color w:val="auto"/>
          <w:szCs w:val="22"/>
          <w:highlight w:val="none"/>
        </w:rPr>
        <w:t>图</w:t>
      </w:r>
      <w:bookmarkEnd w:id="183"/>
      <w:bookmarkEnd w:id="184"/>
      <w:bookmarkEnd w:id="185"/>
    </w:p>
    <w:p w14:paraId="2EE3280A">
      <w:pPr>
        <w:pStyle w:val="4"/>
        <w:spacing w:before="46"/>
        <w:ind w:right="-120"/>
        <w:rPr>
          <w:color w:val="auto"/>
          <w:highlight w:val="none"/>
        </w:rPr>
        <w:sectPr>
          <w:type w:val="continuous"/>
          <w:pgSz w:w="11906" w:h="16838"/>
          <w:pgMar w:top="1417" w:right="1134" w:bottom="1559" w:left="1417" w:header="851" w:footer="992" w:gutter="0"/>
          <w:pgNumType w:fmt="numberInDash"/>
          <w:cols w:space="720" w:num="1"/>
          <w:docGrid w:type="lines" w:linePitch="312" w:charSpace="0"/>
        </w:sectPr>
      </w:pPr>
    </w:p>
    <w:p w14:paraId="4FC2D618">
      <w:pPr>
        <w:jc w:val="center"/>
        <w:rPr>
          <w:color w:val="auto"/>
          <w:highlight w:val="none"/>
        </w:rPr>
      </w:pPr>
      <w:r>
        <w:rPr>
          <w:color w:val="auto"/>
          <w:highlight w:val="none"/>
        </w:rPr>
        <mc:AlternateContent>
          <mc:Choice Requires="wpg">
            <w:drawing>
              <wp:anchor distT="0" distB="0" distL="0" distR="0" simplePos="0" relativeHeight="251713536" behindDoc="0" locked="0" layoutInCell="1" allowOverlap="1">
                <wp:simplePos x="0" y="0"/>
                <wp:positionH relativeFrom="column">
                  <wp:posOffset>4284980</wp:posOffset>
                </wp:positionH>
                <wp:positionV relativeFrom="paragraph">
                  <wp:posOffset>2446655</wp:posOffset>
                </wp:positionV>
                <wp:extent cx="1740535" cy="919480"/>
                <wp:effectExtent l="6350" t="6350" r="24765" b="7620"/>
                <wp:wrapNone/>
                <wp:docPr id="1133" name="组合 264"/>
                <wp:cNvGraphicFramePr/>
                <a:graphic xmlns:a="http://schemas.openxmlformats.org/drawingml/2006/main">
                  <a:graphicData uri="http://schemas.microsoft.com/office/word/2010/wordprocessingGroup">
                    <wpg:wgp>
                      <wpg:cNvGrpSpPr/>
                      <wpg:grpSpPr>
                        <a:xfrm>
                          <a:off x="0" y="0"/>
                          <a:ext cx="1740535" cy="919479"/>
                          <a:chOff x="8884" y="1801423"/>
                          <a:chExt cx="2741" cy="1448"/>
                        </a:xfrm>
                      </wpg:grpSpPr>
                      <wps:wsp>
                        <wps:cNvPr id="23" name="圆角矩形标注 13"/>
                        <wps:cNvSpPr/>
                        <wps:spPr>
                          <a:xfrm>
                            <a:off x="8884" y="1802037"/>
                            <a:ext cx="1750" cy="834"/>
                          </a:xfrm>
                          <a:prstGeom prst="wedgeRoundRectCallout">
                            <a:avLst>
                              <a:gd name="adj1" fmla="val 95257"/>
                              <a:gd name="adj2" fmla="val -112949"/>
                              <a:gd name="adj3" fmla="val 16667"/>
                            </a:avLst>
                          </a:prstGeom>
                          <a:solidFill>
                            <a:srgbClr val="FFFFFF"/>
                          </a:solidFill>
                          <a:ln w="12700" cap="flat" cmpd="sng">
                            <a:solidFill>
                              <a:srgbClr val="000000"/>
                            </a:solidFill>
                            <a:prstDash val="solid"/>
                            <a:miter/>
                          </a:ln>
                        </wps:spPr>
                        <wps:txbx>
                          <w:txbxContent>
                            <w:p w14:paraId="65A1227D">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wps:wsp>
                        <wps:cNvPr id="24" name="椭圆 14"/>
                        <wps:cNvSpPr/>
                        <wps:spPr>
                          <a:xfrm>
                            <a:off x="11455" y="1801423"/>
                            <a:ext cx="170" cy="170"/>
                          </a:xfrm>
                          <a:prstGeom prst="ellipse">
                            <a:avLst/>
                          </a:prstGeom>
                          <a:solidFill>
                            <a:srgbClr val="FF0000"/>
                          </a:solidFill>
                          <a:ln w="12700" cap="flat" cmpd="sng">
                            <a:solidFill>
                              <a:srgbClr val="2E75B5"/>
                            </a:solidFill>
                            <a:prstDash val="solid"/>
                            <a:miter/>
                          </a:ln>
                        </wps:spPr>
                        <wps:bodyPr/>
                      </wps:wsp>
                    </wpg:wgp>
                  </a:graphicData>
                </a:graphic>
              </wp:anchor>
            </w:drawing>
          </mc:Choice>
          <mc:Fallback>
            <w:pict>
              <v:group id="组合 264" o:spid="_x0000_s1026" o:spt="203" style="position:absolute;left:0pt;margin-left:337.4pt;margin-top:192.65pt;height:72.4pt;width:137.05pt;z-index:251713536;mso-width-relative:page;mso-height-relative:page;" coordorigin="8884,1801423" coordsize="2741,1448" o:gfxdata="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EjYN&#10;1NwAAAALAQAADwAAAAAAAAABACAAAAAiAAAAZHJzL2Rvd25yZXYueG1sUEsBAhQAFAAAAAgAh07i&#10;QPHkV3I7AwAA+QcAAA4AAAAAAAAAAQAgAAAAKwEAAGRycy9lMm9Eb2MueG1sUEsFBgAAAAAGAAYA&#10;WQEAANgGAAAAAA==&#10;">
                <o:lock v:ext="edit" aspectratio="f"/>
                <v:shape id="圆角矩形标注 13" o:spid="_x0000_s1026" o:spt="62" type="#_x0000_t62" style="position:absolute;left:8884;top:1802037;height:834;width:1750;v-text-anchor:middle;" fillcolor="#FFFFFF" filled="t" stroked="t" coordsize="21600,21600" o:gfxdata="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Wyp28AAAA&#10;2wAAAA8AAAAAAAAAAQAgAAAAIgAAAGRycy9kb3ducmV2LnhtbFBLAQIUABQAAAAIAIdO4kAzLwWe&#10;OwAAADkAAAAQAAAAAAAAAAEAIAAAAAsBAABkcnMvc2hhcGV4bWwueG1sUEsFBgAAAAAGAAYAWwEA&#10;ALUDAAAAAA==&#10;" adj="31376,-13597,14400">
                  <v:fill on="t" focussize="0,0"/>
                  <v:stroke weight="1pt" color="#000000" joinstyle="miter"/>
                  <v:imagedata o:title=""/>
                  <o:lock v:ext="edit" aspectratio="f"/>
                  <v:textbox>
                    <w:txbxContent>
                      <w:p w14:paraId="65A1227D">
                        <w:pPr>
                          <w:jc w:val="center"/>
                          <w:rPr>
                            <w:b/>
                            <w:bCs/>
                            <w:sz w:val="28"/>
                            <w:szCs w:val="28"/>
                          </w:rPr>
                        </w:pPr>
                        <w:r>
                          <w:rPr>
                            <w:rFonts w:hint="eastAsia"/>
                            <w:b/>
                            <w:bCs/>
                            <w:sz w:val="28"/>
                            <w:szCs w:val="28"/>
                          </w:rPr>
                          <w:t>项目位置</w:t>
                        </w:r>
                      </w:p>
                    </w:txbxContent>
                  </v:textbox>
                </v:shape>
                <v:shape id="椭圆 14" o:spid="_x0000_s1026" o:spt="3" type="#_x0000_t3" style="position:absolute;left:11455;top:1801423;height:170;width:170;" fillcolor="#FF0000" filled="t" stroked="t" coordsize="21600,21600" o:gfxdata="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3C/yvQAA&#10;ANsAAAAPAAAAAAAAAAEAIAAAACIAAABkcnMvZG93bnJldi54bWxQSwECFAAUAAAACACHTuJAMy8F&#10;njsAAAA5AAAAEAAAAAAAAAABACAAAAAMAQAAZHJzL3NoYXBleG1sLnhtbFBLBQYAAAAABgAGAFsB&#10;AAC2AwAAAAA=&#10;">
                  <v:fill on="t" focussize="0,0"/>
                  <v:stroke weight="1pt" color="#2E75B5" joinstyle="miter"/>
                  <v:imagedata o:title=""/>
                  <o:lock v:ext="edit" aspectratio="f"/>
                </v:shape>
              </v:group>
            </w:pict>
          </mc:Fallback>
        </mc:AlternateContent>
      </w:r>
      <w:r>
        <w:rPr>
          <w:color w:val="auto"/>
          <w:highlight w:val="none"/>
        </w:rPr>
        <w:drawing>
          <wp:inline distT="0" distB="0" distL="0" distR="0">
            <wp:extent cx="7818120" cy="5196205"/>
            <wp:effectExtent l="28575" t="9525" r="40005" b="33020"/>
            <wp:docPr id="1136" name="图片 9"/>
            <wp:cNvGraphicFramePr/>
            <a:graphic xmlns:a="http://schemas.openxmlformats.org/drawingml/2006/main">
              <a:graphicData uri="http://schemas.openxmlformats.org/drawingml/2006/picture">
                <pic:pic xmlns:pic="http://schemas.openxmlformats.org/drawingml/2006/picture">
                  <pic:nvPicPr>
                    <pic:cNvPr id="1136" name="图片 9"/>
                    <pic:cNvPicPr/>
                  </pic:nvPicPr>
                  <pic:blipFill>
                    <a:blip r:embed="rId62" cstate="print"/>
                    <a:srcRect/>
                    <a:stretch>
                      <a:fillRect/>
                    </a:stretch>
                  </pic:blipFill>
                  <pic:spPr>
                    <a:xfrm>
                      <a:off x="0" y="0"/>
                      <a:ext cx="7818120" cy="5196205"/>
                    </a:xfrm>
                    <a:prstGeom prst="rect">
                      <a:avLst/>
                    </a:prstGeom>
                    <a:ln w="28575" cap="flat" cmpd="sng">
                      <a:solidFill>
                        <a:srgbClr val="000000"/>
                      </a:solidFill>
                      <a:prstDash val="solid"/>
                      <a:round/>
                    </a:ln>
                  </pic:spPr>
                </pic:pic>
              </a:graphicData>
            </a:graphic>
          </wp:inline>
        </w:drawing>
      </w:r>
    </w:p>
    <w:p w14:paraId="03239CD2">
      <w:pPr>
        <w:pStyle w:val="2"/>
        <w:jc w:val="center"/>
        <w:outlineLvl w:val="0"/>
        <w:rPr>
          <w:rFonts w:ascii="Times New Roman" w:cs="Times New Roman"/>
          <w:b/>
          <w:bCs/>
          <w:color w:val="auto"/>
          <w:highlight w:val="none"/>
        </w:rPr>
      </w:pPr>
      <w:bookmarkStart w:id="186" w:name="_Toc25232"/>
      <w:bookmarkStart w:id="187" w:name="_Toc6696"/>
      <w:r>
        <w:rPr>
          <w:rFonts w:hint="eastAsia" w:ascii="Times New Roman" w:cs="Times New Roman"/>
          <w:b/>
          <w:bCs/>
          <w:color w:val="auto"/>
          <w:highlight w:val="none"/>
        </w:rPr>
        <w:t>附图13-1 广东省“三线一单”平台陆域环境管控单元截图</w:t>
      </w:r>
      <w:bookmarkEnd w:id="186"/>
      <w:bookmarkEnd w:id="187"/>
    </w:p>
    <w:p w14:paraId="7DE36FD1">
      <w:pPr>
        <w:rPr>
          <w:b/>
          <w:bCs/>
          <w:color w:val="auto"/>
          <w:highlight w:val="none"/>
        </w:rPr>
      </w:pPr>
      <w:r>
        <w:rPr>
          <w:rFonts w:hint="eastAsia"/>
          <w:b/>
          <w:bCs/>
          <w:color w:val="auto"/>
          <w:highlight w:val="none"/>
        </w:rPr>
        <w:br w:type="page"/>
      </w:r>
    </w:p>
    <w:p w14:paraId="101389CF">
      <w:pPr>
        <w:jc w:val="center"/>
        <w:rPr>
          <w:color w:val="auto"/>
          <w:highlight w:val="none"/>
        </w:rPr>
      </w:pPr>
      <w:r>
        <w:rPr>
          <w:color w:val="auto"/>
          <w:highlight w:val="none"/>
        </w:rPr>
        <mc:AlternateContent>
          <mc:Choice Requires="wpg">
            <w:drawing>
              <wp:anchor distT="0" distB="0" distL="0" distR="0" simplePos="0" relativeHeight="251714560" behindDoc="0" locked="0" layoutInCell="1" allowOverlap="1">
                <wp:simplePos x="0" y="0"/>
                <wp:positionH relativeFrom="column">
                  <wp:posOffset>4309110</wp:posOffset>
                </wp:positionH>
                <wp:positionV relativeFrom="paragraph">
                  <wp:posOffset>2449195</wp:posOffset>
                </wp:positionV>
                <wp:extent cx="1403350" cy="735965"/>
                <wp:effectExtent l="6350" t="6350" r="19050" b="19685"/>
                <wp:wrapNone/>
                <wp:docPr id="1137" name="组合 265"/>
                <wp:cNvGraphicFramePr/>
                <a:graphic xmlns:a="http://schemas.openxmlformats.org/drawingml/2006/main">
                  <a:graphicData uri="http://schemas.microsoft.com/office/word/2010/wordprocessingGroup">
                    <wpg:wgp>
                      <wpg:cNvGrpSpPr/>
                      <wpg:grpSpPr>
                        <a:xfrm>
                          <a:off x="0" y="0"/>
                          <a:ext cx="1403350" cy="735964"/>
                          <a:chOff x="8656" y="1801729"/>
                          <a:chExt cx="2475" cy="1282"/>
                        </a:xfrm>
                      </wpg:grpSpPr>
                      <wps:wsp>
                        <wps:cNvPr id="25" name="圆角矩形标注 15"/>
                        <wps:cNvSpPr/>
                        <wps:spPr>
                          <a:xfrm>
                            <a:off x="8656" y="1802177"/>
                            <a:ext cx="1750" cy="834"/>
                          </a:xfrm>
                          <a:prstGeom prst="wedgeRoundRectCallout">
                            <a:avLst>
                              <a:gd name="adj1" fmla="val 80018"/>
                              <a:gd name="adj2" fmla="val -91515"/>
                              <a:gd name="adj3" fmla="val 16667"/>
                            </a:avLst>
                          </a:prstGeom>
                          <a:solidFill>
                            <a:srgbClr val="FFFFFF"/>
                          </a:solidFill>
                          <a:ln w="12700" cap="flat" cmpd="sng">
                            <a:solidFill>
                              <a:srgbClr val="000000"/>
                            </a:solidFill>
                            <a:prstDash val="solid"/>
                            <a:miter/>
                          </a:ln>
                        </wps:spPr>
                        <wps:txbx>
                          <w:txbxContent>
                            <w:p w14:paraId="22B801C4">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wps:wsp>
                        <wps:cNvPr id="26" name="椭圆 16"/>
                        <wps:cNvSpPr/>
                        <wps:spPr>
                          <a:xfrm>
                            <a:off x="10961" y="1801729"/>
                            <a:ext cx="170" cy="170"/>
                          </a:xfrm>
                          <a:prstGeom prst="ellipse">
                            <a:avLst/>
                          </a:prstGeom>
                          <a:solidFill>
                            <a:srgbClr val="FF0000"/>
                          </a:solidFill>
                          <a:ln w="12700" cap="flat" cmpd="sng">
                            <a:solidFill>
                              <a:srgbClr val="2E75B5"/>
                            </a:solidFill>
                            <a:prstDash val="solid"/>
                            <a:miter/>
                          </a:ln>
                        </wps:spPr>
                        <wps:bodyPr/>
                      </wps:wsp>
                    </wpg:wgp>
                  </a:graphicData>
                </a:graphic>
              </wp:anchor>
            </w:drawing>
          </mc:Choice>
          <mc:Fallback>
            <w:pict>
              <v:group id="组合 265" o:spid="_x0000_s1026" o:spt="203" style="position:absolute;left:0pt;margin-left:339.3pt;margin-top:192.85pt;height:57.95pt;width:110.5pt;z-index:251714560;mso-width-relative:page;mso-height-relative:page;" coordorigin="8656,1801729" coordsize="2475,1282" o:gfxdata="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">
                <o:lock v:ext="edit" aspectratio="f"/>
                <v:shape id="圆角矩形标注 15" o:spid="_x0000_s1026" o:spt="62" type="#_x0000_t62" style="position:absolute;left:8656;top:1802177;height:834;width:1750;v-text-anchor:middle;" fillcolor="#FFFFFF" filled="t" stroked="t" coordsize="21600,21600" o:gfxdata="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I27frgAAADbAAAA&#10;DwAAAAAAAAABACAAAAAiAAAAZHJzL2Rvd25yZXYueG1sUEsBAhQAFAAAAAgAh07iQDMvBZ47AAAA&#10;OQAAABAAAAAAAAAAAQAgAAAABwEAAGRycy9zaGFwZXhtbC54bWxQSwUGAAAAAAYABgBbAQAAsQMA&#10;AAAA&#10;" adj="28084,-8967,14400">
                  <v:fill on="t" focussize="0,0"/>
                  <v:stroke weight="1pt" color="#000000" joinstyle="miter"/>
                  <v:imagedata o:title=""/>
                  <o:lock v:ext="edit" aspectratio="f"/>
                  <v:textbox>
                    <w:txbxContent>
                      <w:p w14:paraId="22B801C4">
                        <w:pPr>
                          <w:jc w:val="center"/>
                          <w:rPr>
                            <w:b/>
                            <w:bCs/>
                            <w:sz w:val="28"/>
                            <w:szCs w:val="28"/>
                          </w:rPr>
                        </w:pPr>
                        <w:r>
                          <w:rPr>
                            <w:rFonts w:hint="eastAsia"/>
                            <w:b/>
                            <w:bCs/>
                            <w:sz w:val="28"/>
                            <w:szCs w:val="28"/>
                          </w:rPr>
                          <w:t>项目位置</w:t>
                        </w:r>
                      </w:p>
                    </w:txbxContent>
                  </v:textbox>
                </v:shape>
                <v:shape id="椭圆 16" o:spid="_x0000_s1026" o:spt="3" type="#_x0000_t3" style="position:absolute;left:10961;top:1801729;height:170;width:170;" fillcolor="#FF0000" filled="t" stroked="t" coordsize="21600,21600" o:gfxdata="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0IUHr4A&#10;AADbAAAADwAAAAAAAAABACAAAAAiAAAAZHJzL2Rvd25yZXYueG1sUEsBAhQAFAAAAAgAh07iQDMv&#10;BZ47AAAAOQAAABAAAAAAAAAAAQAgAAAADQEAAGRycy9zaGFwZXhtbC54bWxQSwUGAAAAAAYABgBb&#10;AQAAtwMAAAAA&#10;">
                  <v:fill on="t" focussize="0,0"/>
                  <v:stroke weight="1pt" color="#2E75B5" joinstyle="miter"/>
                  <v:imagedata o:title=""/>
                  <o:lock v:ext="edit" aspectratio="f"/>
                </v:shape>
              </v:group>
            </w:pict>
          </mc:Fallback>
        </mc:AlternateContent>
      </w:r>
      <w:r>
        <w:rPr>
          <w:color w:val="auto"/>
          <w:highlight w:val="none"/>
        </w:rPr>
        <w:drawing>
          <wp:inline distT="0" distB="0" distL="0" distR="0">
            <wp:extent cx="8426450" cy="5177155"/>
            <wp:effectExtent l="28575" t="9525" r="41275" b="33020"/>
            <wp:docPr id="1140" name="图片 10"/>
            <wp:cNvGraphicFramePr/>
            <a:graphic xmlns:a="http://schemas.openxmlformats.org/drawingml/2006/main">
              <a:graphicData uri="http://schemas.openxmlformats.org/drawingml/2006/picture">
                <pic:pic xmlns:pic="http://schemas.openxmlformats.org/drawingml/2006/picture">
                  <pic:nvPicPr>
                    <pic:cNvPr id="1140" name="图片 10"/>
                    <pic:cNvPicPr/>
                  </pic:nvPicPr>
                  <pic:blipFill>
                    <a:blip r:embed="rId63" cstate="print"/>
                    <a:srcRect/>
                    <a:stretch>
                      <a:fillRect/>
                    </a:stretch>
                  </pic:blipFill>
                  <pic:spPr>
                    <a:xfrm>
                      <a:off x="0" y="0"/>
                      <a:ext cx="8426450" cy="5177155"/>
                    </a:xfrm>
                    <a:prstGeom prst="rect">
                      <a:avLst/>
                    </a:prstGeom>
                    <a:ln w="28575" cap="flat" cmpd="sng">
                      <a:solidFill>
                        <a:srgbClr val="000000"/>
                      </a:solidFill>
                      <a:prstDash val="solid"/>
                      <a:round/>
                    </a:ln>
                  </pic:spPr>
                </pic:pic>
              </a:graphicData>
            </a:graphic>
          </wp:inline>
        </w:drawing>
      </w:r>
    </w:p>
    <w:p w14:paraId="344E9D6A">
      <w:pPr>
        <w:pStyle w:val="2"/>
        <w:jc w:val="center"/>
        <w:outlineLvl w:val="0"/>
        <w:rPr>
          <w:rFonts w:ascii="Times New Roman" w:cs="Times New Roman"/>
          <w:b/>
          <w:bCs/>
          <w:color w:val="auto"/>
          <w:highlight w:val="none"/>
        </w:rPr>
      </w:pPr>
      <w:bookmarkStart w:id="188" w:name="_Toc4081"/>
      <w:bookmarkStart w:id="189" w:name="_Toc19902"/>
      <w:r>
        <w:rPr>
          <w:rFonts w:hint="eastAsia" w:ascii="Times New Roman" w:cs="Times New Roman"/>
          <w:b/>
          <w:bCs/>
          <w:color w:val="auto"/>
          <w:highlight w:val="none"/>
        </w:rPr>
        <w:t>附图13-2 广东省“三线一单”平台生态空间一般管控区截图</w:t>
      </w:r>
      <w:bookmarkEnd w:id="188"/>
      <w:bookmarkEnd w:id="189"/>
    </w:p>
    <w:p w14:paraId="7F5F88A2">
      <w:pPr>
        <w:rPr>
          <w:b/>
          <w:bCs/>
          <w:color w:val="auto"/>
          <w:highlight w:val="none"/>
        </w:rPr>
      </w:pPr>
      <w:r>
        <w:rPr>
          <w:rFonts w:hint="eastAsia"/>
          <w:b/>
          <w:bCs/>
          <w:color w:val="auto"/>
          <w:highlight w:val="none"/>
        </w:rPr>
        <w:br w:type="page"/>
      </w:r>
    </w:p>
    <w:p w14:paraId="16D316EC">
      <w:pPr>
        <w:pStyle w:val="2"/>
        <w:spacing w:line="276" w:lineRule="auto"/>
        <w:jc w:val="center"/>
        <w:rPr>
          <w:color w:val="auto"/>
          <w:highlight w:val="none"/>
        </w:rPr>
      </w:pPr>
      <w:r>
        <w:rPr>
          <w:color w:val="auto"/>
          <w:highlight w:val="none"/>
        </w:rPr>
        <mc:AlternateContent>
          <mc:Choice Requires="wpg">
            <w:drawing>
              <wp:anchor distT="0" distB="0" distL="0" distR="0" simplePos="0" relativeHeight="251715584" behindDoc="0" locked="0" layoutInCell="1" allowOverlap="1">
                <wp:simplePos x="0" y="0"/>
                <wp:positionH relativeFrom="column">
                  <wp:posOffset>4593590</wp:posOffset>
                </wp:positionH>
                <wp:positionV relativeFrom="paragraph">
                  <wp:posOffset>2727325</wp:posOffset>
                </wp:positionV>
                <wp:extent cx="1740535" cy="919480"/>
                <wp:effectExtent l="6350" t="6350" r="24765" b="7620"/>
                <wp:wrapNone/>
                <wp:docPr id="1141" name="组合 268"/>
                <wp:cNvGraphicFramePr/>
                <a:graphic xmlns:a="http://schemas.openxmlformats.org/drawingml/2006/main">
                  <a:graphicData uri="http://schemas.microsoft.com/office/word/2010/wordprocessingGroup">
                    <wpg:wgp>
                      <wpg:cNvGrpSpPr/>
                      <wpg:grpSpPr>
                        <a:xfrm>
                          <a:off x="0" y="0"/>
                          <a:ext cx="1740534" cy="919479"/>
                          <a:chOff x="8884" y="1801423"/>
                          <a:chExt cx="2741" cy="1448"/>
                        </a:xfrm>
                      </wpg:grpSpPr>
                      <wps:wsp>
                        <wps:cNvPr id="27" name="圆角矩形标注 17"/>
                        <wps:cNvSpPr/>
                        <wps:spPr>
                          <a:xfrm>
                            <a:off x="8884" y="1802037"/>
                            <a:ext cx="1750" cy="834"/>
                          </a:xfrm>
                          <a:prstGeom prst="wedgeRoundRectCallout">
                            <a:avLst>
                              <a:gd name="adj1" fmla="val 95257"/>
                              <a:gd name="adj2" fmla="val -112949"/>
                              <a:gd name="adj3" fmla="val 16667"/>
                            </a:avLst>
                          </a:prstGeom>
                          <a:solidFill>
                            <a:srgbClr val="FFFFFF"/>
                          </a:solidFill>
                          <a:ln w="12700" cap="flat" cmpd="sng">
                            <a:solidFill>
                              <a:srgbClr val="000000"/>
                            </a:solidFill>
                            <a:prstDash val="solid"/>
                            <a:miter/>
                          </a:ln>
                        </wps:spPr>
                        <wps:txbx>
                          <w:txbxContent>
                            <w:p w14:paraId="018E39F9">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wps:wsp>
                        <wps:cNvPr id="28" name="椭圆 18"/>
                        <wps:cNvSpPr/>
                        <wps:spPr>
                          <a:xfrm>
                            <a:off x="11455" y="1801423"/>
                            <a:ext cx="170" cy="170"/>
                          </a:xfrm>
                          <a:prstGeom prst="ellipse">
                            <a:avLst/>
                          </a:prstGeom>
                          <a:solidFill>
                            <a:srgbClr val="FF0000"/>
                          </a:solidFill>
                          <a:ln w="12700" cap="flat" cmpd="sng">
                            <a:solidFill>
                              <a:srgbClr val="2E75B5"/>
                            </a:solidFill>
                            <a:prstDash val="solid"/>
                            <a:miter/>
                          </a:ln>
                        </wps:spPr>
                        <wps:bodyPr/>
                      </wps:wsp>
                    </wpg:wgp>
                  </a:graphicData>
                </a:graphic>
              </wp:anchor>
            </w:drawing>
          </mc:Choice>
          <mc:Fallback>
            <w:pict>
              <v:group id="组合 268" o:spid="_x0000_s1026" o:spt="203" style="position:absolute;left:0pt;margin-left:361.7pt;margin-top:214.75pt;height:72.4pt;width:137.05pt;z-index:251715584;mso-width-relative:page;mso-height-relative:page;" coordorigin="8884,1801423" coordsize="2741,1448" o:gfxdata="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DqStSV&#10;3AAAAAsBAAAPAAAAAAAAAAEAIAAAACIAAABkcnMvZG93bnJldi54bWxQSwECFAAUAAAACACHTuJA&#10;sXgWmjoDAAD5BwAADgAAAAAAAAABACAAAAArAQAAZHJzL2Uyb0RvYy54bWxQSwUGAAAAAAYABgBZ&#10;AQAA1wYAAAAA&#10;">
                <o:lock v:ext="edit" aspectratio="f"/>
                <v:shape id="圆角矩形标注 17" o:spid="_x0000_s1026" o:spt="62" type="#_x0000_t62" style="position:absolute;left:8884;top:1802037;height:834;width:1750;v-text-anchor:middle;" fillcolor="#FFFFFF" filled="t" stroked="t" coordsize="21600,21600" o:gfxdata="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LcyevQAA&#10;ANsAAAAPAAAAAAAAAAEAIAAAACIAAABkcnMvZG93bnJldi54bWxQSwECFAAUAAAACACHTuJAMy8F&#10;njsAAAA5AAAAEAAAAAAAAAABACAAAAAMAQAAZHJzL3NoYXBleG1sLnhtbFBLBQYAAAAABgAGAFsB&#10;AAC2AwAAAAA=&#10;" adj="31376,-13597,14400">
                  <v:fill on="t" focussize="0,0"/>
                  <v:stroke weight="1pt" color="#000000" joinstyle="miter"/>
                  <v:imagedata o:title=""/>
                  <o:lock v:ext="edit" aspectratio="f"/>
                  <v:textbox>
                    <w:txbxContent>
                      <w:p w14:paraId="018E39F9">
                        <w:pPr>
                          <w:jc w:val="center"/>
                          <w:rPr>
                            <w:b/>
                            <w:bCs/>
                            <w:sz w:val="28"/>
                            <w:szCs w:val="28"/>
                          </w:rPr>
                        </w:pPr>
                        <w:r>
                          <w:rPr>
                            <w:rFonts w:hint="eastAsia"/>
                            <w:b/>
                            <w:bCs/>
                            <w:sz w:val="28"/>
                            <w:szCs w:val="28"/>
                          </w:rPr>
                          <w:t>项目位置</w:t>
                        </w:r>
                      </w:p>
                    </w:txbxContent>
                  </v:textbox>
                </v:shape>
                <v:shape id="椭圆 18" o:spid="_x0000_s1026" o:spt="3" type="#_x0000_t3" style="position:absolute;left:11455;top:1801423;height:170;width:170;" fillcolor="#FF0000" filled="t" stroked="t" coordsize="21600,21600" o:gfxdata="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GRJfe5AAAA2wAA&#10;AA8AAAAAAAAAAQAgAAAAIgAAAGRycy9kb3ducmV2LnhtbFBLAQIUABQAAAAIAIdO4kAzLwWeOwAA&#10;ADkAAAAQAAAAAAAAAAEAIAAAAAgBAABkcnMvc2hhcGV4bWwueG1sUEsFBgAAAAAGAAYAWwEAALID&#10;AAAAAA==&#10;">
                  <v:fill on="t" focussize="0,0"/>
                  <v:stroke weight="1pt" color="#2E75B5" joinstyle="miter"/>
                  <v:imagedata o:title=""/>
                  <o:lock v:ext="edit" aspectratio="f"/>
                </v:shape>
              </v:group>
            </w:pict>
          </mc:Fallback>
        </mc:AlternateContent>
      </w:r>
      <w:r>
        <w:rPr>
          <w:color w:val="auto"/>
          <w:highlight w:val="none"/>
        </w:rPr>
        <w:drawing>
          <wp:inline distT="0" distB="0" distL="0" distR="0">
            <wp:extent cx="8351520" cy="5339080"/>
            <wp:effectExtent l="28575" t="28575" r="39370" b="42545"/>
            <wp:docPr id="1144" name="图片 11"/>
            <wp:cNvGraphicFramePr/>
            <a:graphic xmlns:a="http://schemas.openxmlformats.org/drawingml/2006/main">
              <a:graphicData uri="http://schemas.openxmlformats.org/drawingml/2006/picture">
                <pic:pic xmlns:pic="http://schemas.openxmlformats.org/drawingml/2006/picture">
                  <pic:nvPicPr>
                    <pic:cNvPr id="1144" name="图片 11"/>
                    <pic:cNvPicPr/>
                  </pic:nvPicPr>
                  <pic:blipFill>
                    <a:blip r:embed="rId64" cstate="print"/>
                    <a:srcRect/>
                    <a:stretch>
                      <a:fillRect/>
                    </a:stretch>
                  </pic:blipFill>
                  <pic:spPr>
                    <a:xfrm>
                      <a:off x="0" y="0"/>
                      <a:ext cx="8352154" cy="5339080"/>
                    </a:xfrm>
                    <a:prstGeom prst="rect">
                      <a:avLst/>
                    </a:prstGeom>
                    <a:ln w="28575" cap="flat" cmpd="sng">
                      <a:solidFill>
                        <a:srgbClr val="000000"/>
                      </a:solidFill>
                      <a:prstDash val="solid"/>
                      <a:round/>
                    </a:ln>
                  </pic:spPr>
                </pic:pic>
              </a:graphicData>
            </a:graphic>
          </wp:inline>
        </w:drawing>
      </w:r>
    </w:p>
    <w:p w14:paraId="54D299BB">
      <w:pPr>
        <w:pStyle w:val="2"/>
        <w:spacing w:line="276" w:lineRule="auto"/>
        <w:jc w:val="center"/>
        <w:outlineLvl w:val="0"/>
        <w:rPr>
          <w:rFonts w:ascii="Times New Roman" w:cs="Times New Roman"/>
          <w:b/>
          <w:bCs/>
          <w:color w:val="auto"/>
          <w:highlight w:val="none"/>
        </w:rPr>
      </w:pPr>
      <w:bookmarkStart w:id="190" w:name="_Toc3558"/>
      <w:bookmarkStart w:id="191" w:name="_Toc17410"/>
      <w:r>
        <w:rPr>
          <w:rFonts w:hint="eastAsia" w:ascii="Times New Roman" w:cs="Times New Roman"/>
          <w:b/>
          <w:bCs/>
          <w:color w:val="auto"/>
          <w:highlight w:val="none"/>
        </w:rPr>
        <w:t>附图13-3 广东省“三线一单”平台水环境管控分区截图</w:t>
      </w:r>
      <w:bookmarkEnd w:id="190"/>
      <w:bookmarkEnd w:id="191"/>
    </w:p>
    <w:p w14:paraId="68704677">
      <w:pPr>
        <w:pStyle w:val="17"/>
        <w:spacing w:line="276" w:lineRule="auto"/>
        <w:ind w:left="480" w:hanging="480"/>
        <w:jc w:val="center"/>
        <w:rPr>
          <w:color w:val="auto"/>
          <w:highlight w:val="none"/>
        </w:rPr>
      </w:pPr>
      <w:r>
        <w:rPr>
          <w:color w:val="auto"/>
          <w:highlight w:val="none"/>
        </w:rPr>
        <mc:AlternateContent>
          <mc:Choice Requires="wpg">
            <w:drawing>
              <wp:anchor distT="0" distB="0" distL="0" distR="0" simplePos="0" relativeHeight="251716608" behindDoc="0" locked="0" layoutInCell="1" allowOverlap="1">
                <wp:simplePos x="0" y="0"/>
                <wp:positionH relativeFrom="column">
                  <wp:posOffset>4877435</wp:posOffset>
                </wp:positionH>
                <wp:positionV relativeFrom="paragraph">
                  <wp:posOffset>2611755</wp:posOffset>
                </wp:positionV>
                <wp:extent cx="1740535" cy="919480"/>
                <wp:effectExtent l="6350" t="6350" r="24765" b="7620"/>
                <wp:wrapNone/>
                <wp:docPr id="1145" name="组合 271"/>
                <wp:cNvGraphicFramePr/>
                <a:graphic xmlns:a="http://schemas.openxmlformats.org/drawingml/2006/main">
                  <a:graphicData uri="http://schemas.microsoft.com/office/word/2010/wordprocessingGroup">
                    <wpg:wgp>
                      <wpg:cNvGrpSpPr/>
                      <wpg:grpSpPr>
                        <a:xfrm>
                          <a:off x="0" y="0"/>
                          <a:ext cx="1740534" cy="919479"/>
                          <a:chOff x="8884" y="1801423"/>
                          <a:chExt cx="2741" cy="1448"/>
                        </a:xfrm>
                      </wpg:grpSpPr>
                      <wps:wsp>
                        <wps:cNvPr id="29" name="圆角矩形标注 19"/>
                        <wps:cNvSpPr/>
                        <wps:spPr>
                          <a:xfrm>
                            <a:off x="8884" y="1802037"/>
                            <a:ext cx="1750" cy="834"/>
                          </a:xfrm>
                          <a:prstGeom prst="wedgeRoundRectCallout">
                            <a:avLst>
                              <a:gd name="adj1" fmla="val 95257"/>
                              <a:gd name="adj2" fmla="val -112949"/>
                              <a:gd name="adj3" fmla="val 16667"/>
                            </a:avLst>
                          </a:prstGeom>
                          <a:solidFill>
                            <a:srgbClr val="FFFFFF"/>
                          </a:solidFill>
                          <a:ln w="12700" cap="flat" cmpd="sng">
                            <a:solidFill>
                              <a:srgbClr val="000000"/>
                            </a:solidFill>
                            <a:prstDash val="solid"/>
                            <a:miter/>
                          </a:ln>
                        </wps:spPr>
                        <wps:txbx>
                          <w:txbxContent>
                            <w:p w14:paraId="58179B7A">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wps:wsp>
                        <wps:cNvPr id="30" name="椭圆 20"/>
                        <wps:cNvSpPr/>
                        <wps:spPr>
                          <a:xfrm>
                            <a:off x="11455" y="1801423"/>
                            <a:ext cx="170" cy="170"/>
                          </a:xfrm>
                          <a:prstGeom prst="ellipse">
                            <a:avLst/>
                          </a:prstGeom>
                          <a:solidFill>
                            <a:srgbClr val="FF0000"/>
                          </a:solidFill>
                          <a:ln w="12700" cap="flat" cmpd="sng">
                            <a:solidFill>
                              <a:srgbClr val="2E75B5"/>
                            </a:solidFill>
                            <a:prstDash val="solid"/>
                            <a:miter/>
                          </a:ln>
                        </wps:spPr>
                        <wps:bodyPr/>
                      </wps:wsp>
                    </wpg:wgp>
                  </a:graphicData>
                </a:graphic>
              </wp:anchor>
            </w:drawing>
          </mc:Choice>
          <mc:Fallback>
            <w:pict>
              <v:group id="组合 271" o:spid="_x0000_s1026" o:spt="203" style="position:absolute;left:0pt;margin-left:384.05pt;margin-top:205.65pt;height:72.4pt;width:137.05pt;z-index:251716608;mso-width-relative:page;mso-height-relative:page;" coordorigin="8884,1801423" coordsize="2741,1448" o:gfxdata="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Do&#10;13tb3AAAAAwBAAAPAAAAAAAAAAEAIAAAACIAAABkcnMvZG93bnJldi54bWxQSwECFAAUAAAACACH&#10;TuJAWR5iSz0DAAD5BwAADgAAAAAAAAABACAAAAArAQAAZHJzL2Uyb0RvYy54bWxQSwUGAAAAAAYA&#10;BgBZAQAA2gYAAAAA&#10;">
                <o:lock v:ext="edit" aspectratio="f"/>
                <v:shape id="圆角矩形标注 19" o:spid="_x0000_s1026" o:spt="62" type="#_x0000_t62" style="position:absolute;left:8884;top:1802037;height:834;width:1750;v-text-anchor:middle;" fillcolor="#FFFFFF" filled="t" stroked="t" coordsize="21600,21600" o:gfxdata="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v13vQAA&#10;ANsAAAAPAAAAAAAAAAEAIAAAACIAAABkcnMvZG93bnJldi54bWxQSwECFAAUAAAACACHTuJAMy8F&#10;njsAAAA5AAAAEAAAAAAAAAABACAAAAAMAQAAZHJzL3NoYXBleG1sLnhtbFBLBQYAAAAABgAGAFsB&#10;AAC2AwAAAAA=&#10;" adj="31376,-13597,14400">
                  <v:fill on="t" focussize="0,0"/>
                  <v:stroke weight="1pt" color="#000000" joinstyle="miter"/>
                  <v:imagedata o:title=""/>
                  <o:lock v:ext="edit" aspectratio="f"/>
                  <v:textbox>
                    <w:txbxContent>
                      <w:p w14:paraId="58179B7A">
                        <w:pPr>
                          <w:jc w:val="center"/>
                          <w:rPr>
                            <w:b/>
                            <w:bCs/>
                            <w:sz w:val="28"/>
                            <w:szCs w:val="28"/>
                          </w:rPr>
                        </w:pPr>
                        <w:r>
                          <w:rPr>
                            <w:rFonts w:hint="eastAsia"/>
                            <w:b/>
                            <w:bCs/>
                            <w:sz w:val="28"/>
                            <w:szCs w:val="28"/>
                          </w:rPr>
                          <w:t>项目位置</w:t>
                        </w:r>
                      </w:p>
                    </w:txbxContent>
                  </v:textbox>
                </v:shape>
                <v:shape id="椭圆 20" o:spid="_x0000_s1026" o:spt="3" type="#_x0000_t3" style="position:absolute;left:11455;top:1801423;height:170;width:170;" fillcolor="#FF0000" filled="t" stroked="t" coordsize="21600,21600" o:gfxdata="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Pr8sugAAANsA&#10;AAAPAAAAAAAAAAEAIAAAACIAAABkcnMvZG93bnJldi54bWxQSwECFAAUAAAACACHTuJAMy8FnjsA&#10;AAA5AAAAEAAAAAAAAAABACAAAAAJAQAAZHJzL3NoYXBleG1sLnhtbFBLBQYAAAAABgAGAFsBAACz&#10;AwAAAAA=&#10;">
                  <v:fill on="t" focussize="0,0"/>
                  <v:stroke weight="1pt" color="#2E75B5" joinstyle="miter"/>
                  <v:imagedata o:title=""/>
                  <o:lock v:ext="edit" aspectratio="f"/>
                </v:shape>
              </v:group>
            </w:pict>
          </mc:Fallback>
        </mc:AlternateContent>
      </w:r>
      <w:r>
        <w:rPr>
          <w:color w:val="auto"/>
          <w:highlight w:val="none"/>
        </w:rPr>
        <w:drawing>
          <wp:inline distT="0" distB="0" distL="0" distR="0">
            <wp:extent cx="8347075" cy="5318125"/>
            <wp:effectExtent l="28575" t="28575" r="44450" b="44450"/>
            <wp:docPr id="1148" name="图片 12"/>
            <wp:cNvGraphicFramePr/>
            <a:graphic xmlns:a="http://schemas.openxmlformats.org/drawingml/2006/main">
              <a:graphicData uri="http://schemas.openxmlformats.org/drawingml/2006/picture">
                <pic:pic xmlns:pic="http://schemas.openxmlformats.org/drawingml/2006/picture">
                  <pic:nvPicPr>
                    <pic:cNvPr id="1148" name="图片 12"/>
                    <pic:cNvPicPr/>
                  </pic:nvPicPr>
                  <pic:blipFill>
                    <a:blip r:embed="rId65" cstate="print"/>
                    <a:srcRect/>
                    <a:stretch>
                      <a:fillRect/>
                    </a:stretch>
                  </pic:blipFill>
                  <pic:spPr>
                    <a:xfrm>
                      <a:off x="0" y="0"/>
                      <a:ext cx="8347075" cy="5318125"/>
                    </a:xfrm>
                    <a:prstGeom prst="rect">
                      <a:avLst/>
                    </a:prstGeom>
                    <a:ln w="28575" cap="flat" cmpd="sng">
                      <a:solidFill>
                        <a:srgbClr val="000000"/>
                      </a:solidFill>
                      <a:prstDash val="solid"/>
                      <a:round/>
                    </a:ln>
                  </pic:spPr>
                </pic:pic>
              </a:graphicData>
            </a:graphic>
          </wp:inline>
        </w:drawing>
      </w:r>
    </w:p>
    <w:p w14:paraId="175ACEBA">
      <w:pPr>
        <w:pStyle w:val="2"/>
        <w:spacing w:line="276" w:lineRule="auto"/>
        <w:jc w:val="center"/>
        <w:outlineLvl w:val="0"/>
        <w:rPr>
          <w:rFonts w:ascii="Times New Roman" w:cs="Times New Roman"/>
          <w:b/>
          <w:bCs/>
          <w:color w:val="auto"/>
          <w:highlight w:val="none"/>
        </w:rPr>
      </w:pPr>
      <w:bookmarkStart w:id="192" w:name="_Toc14478"/>
      <w:bookmarkStart w:id="193" w:name="_Toc27132"/>
      <w:r>
        <w:rPr>
          <w:rFonts w:hint="eastAsia" w:ascii="Times New Roman" w:cs="Times New Roman"/>
          <w:b/>
          <w:bCs/>
          <w:color w:val="auto"/>
          <w:highlight w:val="none"/>
        </w:rPr>
        <w:t>附图13-4 广东省“三线一单”平台大气环境管控分区截图</w:t>
      </w:r>
      <w:bookmarkEnd w:id="192"/>
      <w:bookmarkEnd w:id="193"/>
    </w:p>
    <w:p w14:paraId="7CD004E7">
      <w:pPr>
        <w:pStyle w:val="17"/>
        <w:spacing w:line="276" w:lineRule="auto"/>
        <w:ind w:left="480" w:hanging="480"/>
        <w:jc w:val="center"/>
        <w:rPr>
          <w:color w:val="auto"/>
          <w:highlight w:val="none"/>
        </w:rPr>
      </w:pPr>
      <w:r>
        <w:rPr>
          <w:color w:val="auto"/>
          <w:highlight w:val="none"/>
        </w:rPr>
        <mc:AlternateContent>
          <mc:Choice Requires="wpg">
            <w:drawing>
              <wp:anchor distT="0" distB="0" distL="0" distR="0" simplePos="0" relativeHeight="251717632" behindDoc="0" locked="0" layoutInCell="1" allowOverlap="1">
                <wp:simplePos x="0" y="0"/>
                <wp:positionH relativeFrom="column">
                  <wp:posOffset>4836160</wp:posOffset>
                </wp:positionH>
                <wp:positionV relativeFrom="paragraph">
                  <wp:posOffset>2452370</wp:posOffset>
                </wp:positionV>
                <wp:extent cx="1740535" cy="919480"/>
                <wp:effectExtent l="6350" t="6350" r="24765" b="7620"/>
                <wp:wrapNone/>
                <wp:docPr id="1149" name="组合 274"/>
                <wp:cNvGraphicFramePr/>
                <a:graphic xmlns:a="http://schemas.openxmlformats.org/drawingml/2006/main">
                  <a:graphicData uri="http://schemas.microsoft.com/office/word/2010/wordprocessingGroup">
                    <wpg:wgp>
                      <wpg:cNvGrpSpPr/>
                      <wpg:grpSpPr>
                        <a:xfrm>
                          <a:off x="0" y="0"/>
                          <a:ext cx="1740534" cy="919480"/>
                          <a:chOff x="8884" y="1801423"/>
                          <a:chExt cx="2741" cy="1448"/>
                        </a:xfrm>
                      </wpg:grpSpPr>
                      <wps:wsp>
                        <wps:cNvPr id="1134" name="圆角矩形标注 21"/>
                        <wps:cNvSpPr/>
                        <wps:spPr>
                          <a:xfrm>
                            <a:off x="8884" y="1802037"/>
                            <a:ext cx="1750" cy="834"/>
                          </a:xfrm>
                          <a:prstGeom prst="wedgeRoundRectCallout">
                            <a:avLst>
                              <a:gd name="adj1" fmla="val 95257"/>
                              <a:gd name="adj2" fmla="val -112949"/>
                              <a:gd name="adj3" fmla="val 16667"/>
                            </a:avLst>
                          </a:prstGeom>
                          <a:solidFill>
                            <a:srgbClr val="FFFFFF"/>
                          </a:solidFill>
                          <a:ln w="12700" cap="flat" cmpd="sng">
                            <a:solidFill>
                              <a:srgbClr val="000000"/>
                            </a:solidFill>
                            <a:prstDash val="solid"/>
                            <a:miter/>
                          </a:ln>
                        </wps:spPr>
                        <wps:txbx>
                          <w:txbxContent>
                            <w:p w14:paraId="009CFC73">
                              <w:pPr>
                                <w:jc w:val="center"/>
                                <w:rPr>
                                  <w:b/>
                                  <w:bCs/>
                                  <w:sz w:val="28"/>
                                  <w:szCs w:val="28"/>
                                </w:rPr>
                              </w:pPr>
                              <w:r>
                                <w:rPr>
                                  <w:rFonts w:hint="eastAsia"/>
                                  <w:b/>
                                  <w:bCs/>
                                  <w:sz w:val="28"/>
                                  <w:szCs w:val="28"/>
                                </w:rPr>
                                <w:t>项目位置</w:t>
                              </w:r>
                            </w:p>
                          </w:txbxContent>
                        </wps:txbx>
                        <wps:bodyPr vert="horz" wrap="square" lIns="91440" tIns="45720" rIns="91440" bIns="45720" anchor="ctr">
                          <a:noAutofit/>
                        </wps:bodyPr>
                      </wps:wsp>
                      <wps:wsp>
                        <wps:cNvPr id="1135" name="椭圆 22"/>
                        <wps:cNvSpPr/>
                        <wps:spPr>
                          <a:xfrm>
                            <a:off x="11455" y="1801423"/>
                            <a:ext cx="170" cy="170"/>
                          </a:xfrm>
                          <a:prstGeom prst="ellipse">
                            <a:avLst/>
                          </a:prstGeom>
                          <a:solidFill>
                            <a:srgbClr val="FF0000"/>
                          </a:solidFill>
                          <a:ln w="12700" cap="flat" cmpd="sng">
                            <a:solidFill>
                              <a:srgbClr val="2E75B5"/>
                            </a:solidFill>
                            <a:prstDash val="solid"/>
                            <a:miter/>
                          </a:ln>
                        </wps:spPr>
                        <wps:bodyPr/>
                      </wps:wsp>
                    </wpg:wgp>
                  </a:graphicData>
                </a:graphic>
              </wp:anchor>
            </w:drawing>
          </mc:Choice>
          <mc:Fallback>
            <w:pict>
              <v:group id="组合 274" o:spid="_x0000_s1026" o:spt="203" style="position:absolute;left:0pt;margin-left:380.8pt;margin-top:193.1pt;height:72.4pt;width:137.05pt;z-index:251717632;mso-width-relative:page;mso-height-relative:page;" coordorigin="8884,1801423" coordsize="2741,1448" o:gfxdata="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7sQTitsAAAAMAQAADwAAAAAAAAABACAAAAAiAAAAZHJzL2Rvd25yZXYueG1sUEsBAhQAFAAAAAgA&#10;h07iQEBPqBw/AwAA/QcAAA4AAAAAAAAAAQAgAAAAKgEAAGRycy9lMm9Eb2MueG1sUEsFBgAAAAAG&#10;AAYAWQEAANsGAAAAAA==&#10;">
                <o:lock v:ext="edit" aspectratio="f"/>
                <v:shape id="圆角矩形标注 21" o:spid="_x0000_s1026" o:spt="62" type="#_x0000_t62" style="position:absolute;left:8884;top:1802037;height:834;width:1750;v-text-anchor:middle;" fillcolor="#FFFFFF" filled="t" stroked="t" coordsize="21600,21600" o:gfxdata="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3zsjvQAA&#10;AN0AAAAPAAAAAAAAAAEAIAAAACIAAABkcnMvZG93bnJldi54bWxQSwECFAAUAAAACACHTuJAMy8F&#10;njsAAAA5AAAAEAAAAAAAAAABACAAAAAMAQAAZHJzL3NoYXBleG1sLnhtbFBLBQYAAAAABgAGAFsB&#10;AAC2AwAAAAA=&#10;" adj="31376,-13597,14400">
                  <v:fill on="t" focussize="0,0"/>
                  <v:stroke weight="1pt" color="#000000" joinstyle="miter"/>
                  <v:imagedata o:title=""/>
                  <o:lock v:ext="edit" aspectratio="f"/>
                  <v:textbox>
                    <w:txbxContent>
                      <w:p w14:paraId="009CFC73">
                        <w:pPr>
                          <w:jc w:val="center"/>
                          <w:rPr>
                            <w:b/>
                            <w:bCs/>
                            <w:sz w:val="28"/>
                            <w:szCs w:val="28"/>
                          </w:rPr>
                        </w:pPr>
                        <w:r>
                          <w:rPr>
                            <w:rFonts w:hint="eastAsia"/>
                            <w:b/>
                            <w:bCs/>
                            <w:sz w:val="28"/>
                            <w:szCs w:val="28"/>
                          </w:rPr>
                          <w:t>项目位置</w:t>
                        </w:r>
                      </w:p>
                    </w:txbxContent>
                  </v:textbox>
                </v:shape>
                <v:shape id="椭圆 22" o:spid="_x0000_s1026" o:spt="3" type="#_x0000_t3" style="position:absolute;left:11455;top:1801423;height:170;width:170;" fillcolor="#FF0000" filled="t" stroked="t" coordsize="21600,21600" o:gfxdata="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wX2xvQAA&#10;AN0AAAAPAAAAAAAAAAEAIAAAACIAAABkcnMvZG93bnJldi54bWxQSwECFAAUAAAACACHTuJAMy8F&#10;njsAAAA5AAAAEAAAAAAAAAABACAAAAAMAQAAZHJzL3NoYXBleG1sLnhtbFBLBQYAAAAABgAGAFsB&#10;AAC2AwAAAAA=&#10;">
                  <v:fill on="t" focussize="0,0"/>
                  <v:stroke weight="1pt" color="#2E75B5" joinstyle="miter"/>
                  <v:imagedata o:title=""/>
                  <o:lock v:ext="edit" aspectratio="f"/>
                </v:shape>
              </v:group>
            </w:pict>
          </mc:Fallback>
        </mc:AlternateContent>
      </w:r>
      <w:r>
        <w:rPr>
          <w:color w:val="auto"/>
          <w:highlight w:val="none"/>
        </w:rPr>
        <w:drawing>
          <wp:inline distT="0" distB="0" distL="0" distR="0">
            <wp:extent cx="8080375" cy="5347970"/>
            <wp:effectExtent l="28575" t="9525" r="44450" b="33655"/>
            <wp:docPr id="1152" name="图片 13"/>
            <wp:cNvGraphicFramePr/>
            <a:graphic xmlns:a="http://schemas.openxmlformats.org/drawingml/2006/main">
              <a:graphicData uri="http://schemas.openxmlformats.org/drawingml/2006/picture">
                <pic:pic xmlns:pic="http://schemas.openxmlformats.org/drawingml/2006/picture">
                  <pic:nvPicPr>
                    <pic:cNvPr id="1152" name="图片 13"/>
                    <pic:cNvPicPr/>
                  </pic:nvPicPr>
                  <pic:blipFill>
                    <a:blip r:embed="rId66" cstate="print"/>
                    <a:srcRect/>
                    <a:stretch>
                      <a:fillRect/>
                    </a:stretch>
                  </pic:blipFill>
                  <pic:spPr>
                    <a:xfrm>
                      <a:off x="0" y="0"/>
                      <a:ext cx="8080375" cy="5347970"/>
                    </a:xfrm>
                    <a:prstGeom prst="rect">
                      <a:avLst/>
                    </a:prstGeom>
                    <a:ln w="28575" cap="flat" cmpd="sng">
                      <a:solidFill>
                        <a:srgbClr val="000000"/>
                      </a:solidFill>
                      <a:prstDash val="solid"/>
                      <a:round/>
                    </a:ln>
                  </pic:spPr>
                </pic:pic>
              </a:graphicData>
            </a:graphic>
          </wp:inline>
        </w:drawing>
      </w:r>
    </w:p>
    <w:p w14:paraId="5B752982">
      <w:pPr>
        <w:pStyle w:val="2"/>
        <w:spacing w:line="276" w:lineRule="auto"/>
        <w:jc w:val="center"/>
        <w:outlineLvl w:val="0"/>
        <w:rPr>
          <w:rFonts w:ascii="Times New Roman" w:cs="Times New Roman"/>
          <w:b/>
          <w:bCs/>
          <w:color w:val="auto"/>
          <w:highlight w:val="none"/>
        </w:rPr>
      </w:pPr>
      <w:bookmarkStart w:id="194" w:name="_Toc3375"/>
      <w:bookmarkStart w:id="195" w:name="_Toc17330"/>
      <w:r>
        <w:rPr>
          <w:rFonts w:hint="eastAsia" w:ascii="Times New Roman" w:cs="Times New Roman"/>
          <w:b/>
          <w:bCs/>
          <w:color w:val="auto"/>
          <w:highlight w:val="none"/>
        </w:rPr>
        <w:t>附图13-5 广东省“三线一单”平台自然资源管控分区截图</w:t>
      </w:r>
      <w:bookmarkEnd w:id="194"/>
      <w:bookmarkEnd w:id="195"/>
    </w:p>
    <w:p w14:paraId="78E238E6">
      <w:pPr>
        <w:rPr>
          <w:color w:val="auto"/>
          <w:highlight w:val="none"/>
        </w:rPr>
      </w:pPr>
      <w:r>
        <w:rPr>
          <w:color w:val="auto"/>
          <w:highlight w:val="none"/>
        </w:rPr>
        <w:br w:type="page"/>
      </w:r>
    </w:p>
    <w:p w14:paraId="7C355A95">
      <w:pPr>
        <w:pStyle w:val="56"/>
        <w:ind w:left="0"/>
        <w:jc w:val="center"/>
        <w:rPr>
          <w:rFonts w:ascii="Times New Roman"/>
          <w:color w:val="auto"/>
          <w:highlight w:val="none"/>
        </w:rPr>
        <w:sectPr>
          <w:pgSz w:w="16838" w:h="11906" w:orient="landscape"/>
          <w:pgMar w:top="1417" w:right="1417" w:bottom="1134" w:left="1559" w:header="851" w:footer="992" w:gutter="0"/>
          <w:pgNumType w:fmt="numberInDash"/>
          <w:cols w:space="0" w:num="1"/>
          <w:docGrid w:type="lines" w:linePitch="334" w:charSpace="0"/>
        </w:sectPr>
      </w:pPr>
    </w:p>
    <w:p w14:paraId="601A2638">
      <w:pPr>
        <w:pStyle w:val="56"/>
        <w:ind w:left="0"/>
        <w:jc w:val="center"/>
        <w:rPr>
          <w:rFonts w:ascii="Times New Roman"/>
          <w:color w:val="auto"/>
          <w:highlight w:val="none"/>
        </w:rPr>
      </w:pPr>
      <w:r>
        <w:rPr>
          <w:color w:val="auto"/>
          <w:highlight w:val="none"/>
        </w:rPr>
        <mc:AlternateContent>
          <mc:Choice Requires="wps">
            <w:drawing>
              <wp:anchor distT="0" distB="0" distL="0" distR="0" simplePos="0" relativeHeight="251720704" behindDoc="0" locked="0" layoutInCell="1" allowOverlap="1">
                <wp:simplePos x="0" y="0"/>
                <wp:positionH relativeFrom="column">
                  <wp:posOffset>4679950</wp:posOffset>
                </wp:positionH>
                <wp:positionV relativeFrom="paragraph">
                  <wp:posOffset>4774565</wp:posOffset>
                </wp:positionV>
                <wp:extent cx="107950" cy="107950"/>
                <wp:effectExtent l="6350" t="6350" r="19050" b="19050"/>
                <wp:wrapNone/>
                <wp:docPr id="1155" name="椭圆 26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12700" cap="flat" cmpd="sng">
                          <a:solidFill>
                            <a:srgbClr val="2E75B5"/>
                          </a:solidFill>
                          <a:prstDash val="solid"/>
                          <a:miter/>
                        </a:ln>
                      </wps:spPr>
                      <wps:bodyPr/>
                    </wps:wsp>
                  </a:graphicData>
                </a:graphic>
              </wp:anchor>
            </w:drawing>
          </mc:Choice>
          <mc:Fallback>
            <w:pict>
              <v:shape id="椭圆 263" o:spid="_x0000_s1026" o:spt="3" type="#_x0000_t3" style="position:absolute;left:0pt;margin-left:368.5pt;margin-top:375.95pt;height:8.5pt;width:8.5pt;z-index:251720704;mso-width-relative:page;mso-height-relative:page;" fillcolor="#FF0000" filled="t" stroked="t" coordsize="21600,21600" o:gfxdata="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ob6JXbAAAACwEAAA8A&#10;AAAAAAAAAQAgAAAAIgAAAGRycy9kb3ducmV2LnhtbFBLAQIUABQAAAAIAIdO4kD++XmN2wEAAMYD&#10;AAAOAAAAAAAAAAEAIAAAACoBAABkcnMvZTJvRG9jLnhtbFBLBQYAAAAABgAGAFkBAAB3BQAAAAA=&#10;">
                <v:fill on="t" focussize="0,0"/>
                <v:stroke weight="1pt" color="#2E75B5" joinstyle="miter"/>
                <v:imagedata o:title=""/>
                <o:lock v:ext="edit" aspectratio="f"/>
              </v:shape>
            </w:pict>
          </mc:Fallback>
        </mc:AlternateContent>
      </w:r>
      <w:r>
        <w:rPr>
          <w:color w:val="auto"/>
          <w:highlight w:val="none"/>
        </w:rPr>
        <mc:AlternateContent>
          <mc:Choice Requires="wps">
            <w:drawing>
              <wp:anchor distT="0" distB="0" distL="0" distR="0" simplePos="0" relativeHeight="251721728" behindDoc="0" locked="0" layoutInCell="1" allowOverlap="1">
                <wp:simplePos x="0" y="0"/>
                <wp:positionH relativeFrom="column">
                  <wp:posOffset>4742815</wp:posOffset>
                </wp:positionH>
                <wp:positionV relativeFrom="paragraph">
                  <wp:posOffset>452755</wp:posOffset>
                </wp:positionV>
                <wp:extent cx="291465" cy="4373245"/>
                <wp:effectExtent l="56515" t="635" r="33020" b="7620"/>
                <wp:wrapNone/>
                <wp:docPr id="1157" name="直接箭头连接符 5"/>
                <wp:cNvGraphicFramePr/>
                <a:graphic xmlns:a="http://schemas.openxmlformats.org/drawingml/2006/main">
                  <a:graphicData uri="http://schemas.microsoft.com/office/word/2010/wordprocessingShape">
                    <wps:wsp>
                      <wps:cNvCnPr/>
                      <wps:spPr>
                        <a:xfrm flipH="1">
                          <a:off x="0" y="0"/>
                          <a:ext cx="291465" cy="4373245"/>
                        </a:xfrm>
                        <a:prstGeom prst="straightConnector1">
                          <a:avLst/>
                        </a:prstGeom>
                        <a:ln w="28575" cap="flat" cmpd="sng">
                          <a:solidFill>
                            <a:srgbClr val="FFFF00"/>
                          </a:solidFill>
                          <a:prstDash val="lgDashDot"/>
                          <a:miter/>
                          <a:tailEnd type="arrow" w="med" len="med"/>
                        </a:ln>
                      </wps:spPr>
                      <wps:bodyPr/>
                    </wps:wsp>
                  </a:graphicData>
                </a:graphic>
              </wp:anchor>
            </w:drawing>
          </mc:Choice>
          <mc:Fallback>
            <w:pict>
              <v:shape id="直接箭头连接符 5" o:spid="_x0000_s1026" o:spt="32" type="#_x0000_t32" style="position:absolute;left:0pt;flip:x;margin-left:373.45pt;margin-top:35.65pt;height:344.35pt;width:22.95pt;z-index:251721728;mso-width-relative:page;mso-height-relative:page;" filled="f" stroked="t" coordsize="21600,21600" o:gfxdata="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pmVe3VAAAACgEAAA8AAAAAAAAAAQAg&#10;AAAAIgAAAGRycy9kb3ducmV2LnhtbFBLAQIUABQAAAAIAIdO4kDTSY7YEQIAAOQDAAAOAAAAAAAA&#10;AAEAIAAAACQBAABkcnMvZTJvRG9jLnhtbFBLBQYAAAAABgAGAFkBAACnBQAAAAA=&#10;">
                <v:fill on="f" focussize="0,0"/>
                <v:stroke weight="2.25pt" color="#FFFF00" joinstyle="miter" dashstyle="longDashDot" endarrow="open"/>
                <v:imagedata o:title=""/>
                <o:lock v:ext="edit" aspectratio="f"/>
              </v:shape>
            </w:pict>
          </mc:Fallback>
        </mc:AlternateContent>
      </w:r>
      <w:r>
        <w:rPr>
          <w:color w:val="auto"/>
          <w:highlight w:val="none"/>
        </w:rPr>
        <w:drawing>
          <wp:anchor distT="0" distB="0" distL="0" distR="0" simplePos="0" relativeHeight="251724800" behindDoc="0" locked="0" layoutInCell="1" allowOverlap="1">
            <wp:simplePos x="0" y="0"/>
            <wp:positionH relativeFrom="column">
              <wp:posOffset>7717790</wp:posOffset>
            </wp:positionH>
            <wp:positionV relativeFrom="paragraph">
              <wp:posOffset>118110</wp:posOffset>
            </wp:positionV>
            <wp:extent cx="782320" cy="805815"/>
            <wp:effectExtent l="0" t="0" r="17780" b="13334"/>
            <wp:wrapNone/>
            <wp:docPr id="1160" name="图片 4"/>
            <wp:cNvGraphicFramePr/>
            <a:graphic xmlns:a="http://schemas.openxmlformats.org/drawingml/2006/main">
              <a:graphicData uri="http://schemas.openxmlformats.org/drawingml/2006/picture">
                <pic:pic xmlns:pic="http://schemas.openxmlformats.org/drawingml/2006/picture">
                  <pic:nvPicPr>
                    <pic:cNvPr id="1160" name="图片 4"/>
                    <pic:cNvPicPr/>
                  </pic:nvPicPr>
                  <pic:blipFill>
                    <a:blip r:embed="rId34" cstate="print"/>
                    <a:srcRect/>
                    <a:stretch>
                      <a:fillRect/>
                    </a:stretch>
                  </pic:blipFill>
                  <pic:spPr>
                    <a:xfrm>
                      <a:off x="0" y="0"/>
                      <a:ext cx="782319" cy="805815"/>
                    </a:xfrm>
                    <a:prstGeom prst="rect">
                      <a:avLst/>
                    </a:prstGeom>
                    <a:ln>
                      <a:noFill/>
                    </a:ln>
                  </pic:spPr>
                </pic:pic>
              </a:graphicData>
            </a:graphic>
          </wp:anchor>
        </w:drawing>
      </w:r>
      <w:r>
        <w:rPr>
          <w:color w:val="auto"/>
          <w:highlight w:val="none"/>
        </w:rPr>
        <mc:AlternateContent>
          <mc:Choice Requires="wps">
            <w:drawing>
              <wp:anchor distT="0" distB="0" distL="0" distR="0" simplePos="0" relativeHeight="251719680" behindDoc="0" locked="0" layoutInCell="1" allowOverlap="1">
                <wp:simplePos x="0" y="0"/>
                <wp:positionH relativeFrom="column">
                  <wp:posOffset>4965065</wp:posOffset>
                </wp:positionH>
                <wp:positionV relativeFrom="paragraph">
                  <wp:posOffset>1699260</wp:posOffset>
                </wp:positionV>
                <wp:extent cx="1009650" cy="609600"/>
                <wp:effectExtent l="0" t="0" r="0" b="0"/>
                <wp:wrapNone/>
                <wp:docPr id="1154" name="文本框 6"/>
                <wp:cNvGraphicFramePr/>
                <a:graphic xmlns:a="http://schemas.openxmlformats.org/drawingml/2006/main">
                  <a:graphicData uri="http://schemas.microsoft.com/office/word/2010/wordprocessingShape">
                    <wps:wsp>
                      <wps:cNvSpPr/>
                      <wps:spPr>
                        <a:xfrm>
                          <a:off x="0" y="0"/>
                          <a:ext cx="1009649" cy="609600"/>
                        </a:xfrm>
                        <a:prstGeom prst="rect">
                          <a:avLst/>
                        </a:prstGeom>
                        <a:ln>
                          <a:noFill/>
                        </a:ln>
                      </wps:spPr>
                      <wps:txbx>
                        <w:txbxContent>
                          <w:p w14:paraId="1C6F8D6A">
                            <w:pPr>
                              <w:rPr>
                                <w:b/>
                                <w:bCs/>
                                <w:color w:val="FFFF00"/>
                              </w:rPr>
                            </w:pPr>
                            <w:r>
                              <w:rPr>
                                <w:rFonts w:hint="eastAsia"/>
                                <w:b/>
                                <w:bCs/>
                                <w:color w:val="FFFF00"/>
                              </w:rPr>
                              <w:t>距离</w:t>
                            </w:r>
                            <w:r>
                              <w:rPr>
                                <w:rFonts w:hint="eastAsia"/>
                                <w:b/>
                                <w:bCs/>
                                <w:color w:val="FFFF00"/>
                                <w:lang w:eastAsia="zh-CN"/>
                              </w:rPr>
                              <w:t>4442</w:t>
                            </w:r>
                            <w:r>
                              <w:rPr>
                                <w:rFonts w:hint="eastAsia"/>
                                <w:b/>
                                <w:bCs/>
                                <w:color w:val="FFFF00"/>
                              </w:rPr>
                              <w:t>m</w:t>
                            </w:r>
                          </w:p>
                        </w:txbxContent>
                      </wps:txbx>
                      <wps:bodyPr vert="horz" wrap="square" lIns="91440" tIns="45720" rIns="91440" bIns="45720" anchor="t">
                        <a:noAutofit/>
                      </wps:bodyPr>
                    </wps:wsp>
                  </a:graphicData>
                </a:graphic>
              </wp:anchor>
            </w:drawing>
          </mc:Choice>
          <mc:Fallback>
            <w:pict>
              <v:rect id="文本框 6" o:spid="_x0000_s1026" o:spt="1" style="position:absolute;left:0pt;margin-left:390.95pt;margin-top:133.8pt;height:48pt;width:79.5pt;z-index:251719680;mso-width-relative:page;mso-height-relative:page;" filled="f" stroked="f" coordsize="21600,21600" o:gfxdata="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uRGidwAAAALAQAADwAA&#10;AAAAAAABACAAAAAiAAAAZHJzL2Rvd25yZXYueG1sUEsBAhQAFAAAAAgAh07iQKONpWHZAQAAowMA&#10;AA4AAAAAAAAAAQAgAAAAKwEAAGRycy9lMm9Eb2MueG1sUEsFBgAAAAAGAAYAWQEAAHYFAAAAAA==&#10;">
                <v:fill on="f" focussize="0,0"/>
                <v:stroke on="f"/>
                <v:imagedata o:title=""/>
                <o:lock v:ext="edit" aspectratio="f"/>
                <v:textbox>
                  <w:txbxContent>
                    <w:p w14:paraId="1C6F8D6A">
                      <w:pPr>
                        <w:rPr>
                          <w:b/>
                          <w:bCs/>
                          <w:color w:val="FFFF00"/>
                        </w:rPr>
                      </w:pPr>
                      <w:r>
                        <w:rPr>
                          <w:rFonts w:hint="eastAsia"/>
                          <w:b/>
                          <w:bCs/>
                          <w:color w:val="FFFF00"/>
                        </w:rPr>
                        <w:t>距离</w:t>
                      </w:r>
                      <w:r>
                        <w:rPr>
                          <w:rFonts w:hint="eastAsia"/>
                          <w:b/>
                          <w:bCs/>
                          <w:color w:val="FFFF00"/>
                          <w:lang w:eastAsia="zh-CN"/>
                        </w:rPr>
                        <w:t>4442</w:t>
                      </w:r>
                      <w:r>
                        <w:rPr>
                          <w:rFonts w:hint="eastAsia"/>
                          <w:b/>
                          <w:bCs/>
                          <w:color w:val="FFFF00"/>
                        </w:rPr>
                        <w:t>m</w:t>
                      </w:r>
                    </w:p>
                  </w:txbxContent>
                </v:textbox>
              </v:rect>
            </w:pict>
          </mc:Fallback>
        </mc:AlternateContent>
      </w:r>
      <w:r>
        <w:rPr>
          <w:color w:val="auto"/>
          <w:highlight w:val="none"/>
        </w:rPr>
        <w:drawing>
          <wp:inline distT="0" distB="0" distL="114300" distR="114300">
            <wp:extent cx="8277225" cy="5088255"/>
            <wp:effectExtent l="0" t="0" r="0" b="0"/>
            <wp:docPr id="5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
                    <pic:cNvPicPr>
                      <a:picLocks noChangeAspect="1"/>
                    </pic:cNvPicPr>
                  </pic:nvPicPr>
                  <pic:blipFill>
                    <a:blip r:embed="rId67"/>
                    <a:srcRect t="6690" b="1207"/>
                    <a:stretch>
                      <a:fillRect/>
                    </a:stretch>
                  </pic:blipFill>
                  <pic:spPr>
                    <a:xfrm>
                      <a:off x="0" y="0"/>
                      <a:ext cx="8277225" cy="5088255"/>
                    </a:xfrm>
                    <a:prstGeom prst="rect">
                      <a:avLst/>
                    </a:prstGeom>
                    <a:noFill/>
                    <a:ln>
                      <a:noFill/>
                    </a:ln>
                  </pic:spPr>
                </pic:pic>
              </a:graphicData>
            </a:graphic>
          </wp:inline>
        </w:drawing>
      </w:r>
      <w:r>
        <w:rPr>
          <w:color w:val="auto"/>
          <w:highlight w:val="none"/>
        </w:rPr>
        <mc:AlternateContent>
          <mc:Choice Requires="wps">
            <w:drawing>
              <wp:anchor distT="0" distB="0" distL="0" distR="0" simplePos="0" relativeHeight="251718656" behindDoc="0" locked="0" layoutInCell="1" allowOverlap="1">
                <wp:simplePos x="0" y="0"/>
                <wp:positionH relativeFrom="column">
                  <wp:posOffset>374015</wp:posOffset>
                </wp:positionH>
                <wp:positionV relativeFrom="paragraph">
                  <wp:posOffset>4020185</wp:posOffset>
                </wp:positionV>
                <wp:extent cx="1595755" cy="1203325"/>
                <wp:effectExtent l="5080" t="4445" r="18415" b="11430"/>
                <wp:wrapNone/>
                <wp:docPr id="1153" name="文本框 44"/>
                <wp:cNvGraphicFramePr/>
                <a:graphic xmlns:a="http://schemas.openxmlformats.org/drawingml/2006/main">
                  <a:graphicData uri="http://schemas.microsoft.com/office/word/2010/wordprocessingShape">
                    <wps:wsp>
                      <wps:cNvSpPr/>
                      <wps:spPr>
                        <a:xfrm>
                          <a:off x="0" y="0"/>
                          <a:ext cx="1595755" cy="1203325"/>
                        </a:xfrm>
                        <a:prstGeom prst="rect">
                          <a:avLst/>
                        </a:prstGeom>
                        <a:solidFill>
                          <a:srgbClr val="FFFFFF"/>
                        </a:solidFill>
                        <a:ln w="6350" cap="flat" cmpd="sng">
                          <a:solidFill>
                            <a:srgbClr val="000000"/>
                          </a:solidFill>
                          <a:prstDash val="solid"/>
                          <a:round/>
                        </a:ln>
                      </wps:spPr>
                      <wps:txbx>
                        <w:txbxContent>
                          <w:p w14:paraId="175478CC">
                            <w:pPr>
                              <w:jc w:val="center"/>
                              <w:rPr>
                                <w:b/>
                                <w:bCs/>
                              </w:rPr>
                            </w:pPr>
                            <w:r>
                              <w:rPr>
                                <w:rFonts w:hint="eastAsia"/>
                                <w:b/>
                                <w:bCs/>
                              </w:rPr>
                              <w:t>图例</w:t>
                            </w:r>
                          </w:p>
                          <w:p w14:paraId="449F3A99">
                            <w:r>
                              <w:rPr>
                                <w:rFonts w:hint="eastAsia"/>
                              </w:rPr>
                              <w:t>项目红线</w:t>
                            </w:r>
                          </w:p>
                          <w:p w14:paraId="523009FD">
                            <w:r>
                              <w:rPr>
                                <w:rFonts w:hint="eastAsia"/>
                              </w:rPr>
                              <w:t>大气补充监测点</w:t>
                            </w:r>
                          </w:p>
                        </w:txbxContent>
                      </wps:txbx>
                      <wps:bodyPr vert="horz" wrap="square" lIns="91440" tIns="45720" rIns="91440" bIns="45720" anchor="t">
                        <a:noAutofit/>
                      </wps:bodyPr>
                    </wps:wsp>
                  </a:graphicData>
                </a:graphic>
              </wp:anchor>
            </w:drawing>
          </mc:Choice>
          <mc:Fallback>
            <w:pict>
              <v:rect id="文本框 44" o:spid="_x0000_s1026" o:spt="1" style="position:absolute;left:0pt;margin-left:29.45pt;margin-top:316.55pt;height:94.75pt;width:125.65pt;z-index:251718656;mso-width-relative:page;mso-height-relative:page;" fillcolor="#FFFFFF" filled="t" stroked="t" coordsize="21600,21600" o:gfxdata="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SVFV1NgAAAAK&#10;AQAADwAAAAAAAAABACAAAAAiAAAAZHJzL2Rvd25yZXYueG1sUEsBAhQAFAAAAAgAh07iQH39CIUc&#10;AgAARAQAAA4AAAAAAAAAAQAgAAAAJwEAAGRycy9lMm9Eb2MueG1sUEsFBgAAAAAGAAYAWQEAALUF&#10;AAAAAA==&#10;">
                <v:fill on="t" focussize="0,0"/>
                <v:stroke weight="0.5pt" color="#000000" joinstyle="round"/>
                <v:imagedata o:title=""/>
                <o:lock v:ext="edit" aspectratio="f"/>
                <v:textbox>
                  <w:txbxContent>
                    <w:p w14:paraId="175478CC">
                      <w:pPr>
                        <w:jc w:val="center"/>
                        <w:rPr>
                          <w:b/>
                          <w:bCs/>
                        </w:rPr>
                      </w:pPr>
                      <w:r>
                        <w:rPr>
                          <w:rFonts w:hint="eastAsia"/>
                          <w:b/>
                          <w:bCs/>
                        </w:rPr>
                        <w:t>图例</w:t>
                      </w:r>
                    </w:p>
                    <w:p w14:paraId="449F3A99">
                      <w:r>
                        <w:rPr>
                          <w:rFonts w:hint="eastAsia"/>
                        </w:rPr>
                        <w:t>项目红线</w:t>
                      </w:r>
                    </w:p>
                    <w:p w14:paraId="523009FD">
                      <w:r>
                        <w:rPr>
                          <w:rFonts w:hint="eastAsia"/>
                        </w:rPr>
                        <w:t>大气补充监测点</w:t>
                      </w:r>
                    </w:p>
                  </w:txbxContent>
                </v:textbox>
              </v:rect>
            </w:pict>
          </mc:Fallback>
        </mc:AlternateContent>
      </w:r>
      <w:r>
        <w:rPr>
          <w:color w:val="auto"/>
          <w:highlight w:val="none"/>
        </w:rPr>
        <mc:AlternateContent>
          <mc:Choice Requires="wps">
            <w:drawing>
              <wp:anchor distT="0" distB="0" distL="0" distR="0" simplePos="0" relativeHeight="251722752" behindDoc="0" locked="0" layoutInCell="1" allowOverlap="1">
                <wp:simplePos x="0" y="0"/>
                <wp:positionH relativeFrom="column">
                  <wp:posOffset>1609725</wp:posOffset>
                </wp:positionH>
                <wp:positionV relativeFrom="paragraph">
                  <wp:posOffset>4803775</wp:posOffset>
                </wp:positionV>
                <wp:extent cx="107950" cy="107950"/>
                <wp:effectExtent l="6350" t="6350" r="19050" b="19050"/>
                <wp:wrapNone/>
                <wp:docPr id="1158" name="椭圆 26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12700" cap="flat" cmpd="sng">
                          <a:solidFill>
                            <a:srgbClr val="2E75B5"/>
                          </a:solidFill>
                          <a:prstDash val="solid"/>
                          <a:miter/>
                        </a:ln>
                      </wps:spPr>
                      <wps:bodyPr/>
                    </wps:wsp>
                  </a:graphicData>
                </a:graphic>
              </wp:anchor>
            </w:drawing>
          </mc:Choice>
          <mc:Fallback>
            <w:pict>
              <v:shape id="椭圆 263" o:spid="_x0000_s1026" o:spt="3" type="#_x0000_t3" style="position:absolute;left:0pt;margin-left:126.75pt;margin-top:378.25pt;height:8.5pt;width:8.5pt;z-index:251722752;mso-width-relative:page;mso-height-relative:page;" fillcolor="#FF0000" filled="t" stroked="t" coordsize="21600,21600" o:gfxdata="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TYlRbZAAAACwEAAA8AAAAA&#10;AAAAAQAgAAAAIgAAAGRycy9kb3ducmV2LnhtbFBLAQIUABQAAAAIAIdO4kBx3c1w2gEAAMYDAAAO&#10;AAAAAAAAAAEAIAAAACgBAABkcnMvZTJvRG9jLnhtbFBLBQYAAAAABgAGAFkBAAB0BQAAAAA=&#10;">
                <v:fill on="t" focussize="0,0"/>
                <v:stroke weight="1pt" color="#2E75B5" joinstyle="miter"/>
                <v:imagedata o:title=""/>
                <o:lock v:ext="edit" aspectratio="f"/>
              </v:shape>
            </w:pict>
          </mc:Fallback>
        </mc:AlternateContent>
      </w:r>
      <w:r>
        <w:rPr>
          <w:color w:val="auto"/>
          <w:highlight w:val="none"/>
        </w:rPr>
        <mc:AlternateContent>
          <mc:Choice Requires="wps">
            <w:drawing>
              <wp:anchor distT="0" distB="0" distL="0" distR="0" simplePos="0" relativeHeight="251723776" behindDoc="0" locked="0" layoutInCell="1" allowOverlap="1">
                <wp:simplePos x="0" y="0"/>
                <wp:positionH relativeFrom="column">
                  <wp:posOffset>1288415</wp:posOffset>
                </wp:positionH>
                <wp:positionV relativeFrom="paragraph">
                  <wp:posOffset>4481830</wp:posOffset>
                </wp:positionV>
                <wp:extent cx="369570" cy="202565"/>
                <wp:effectExtent l="6350" t="6350" r="24130" b="19685"/>
                <wp:wrapNone/>
                <wp:docPr id="1159" name="矩形 47"/>
                <wp:cNvGraphicFramePr/>
                <a:graphic xmlns:a="http://schemas.openxmlformats.org/drawingml/2006/main">
                  <a:graphicData uri="http://schemas.microsoft.com/office/word/2010/wordprocessingShape">
                    <wps:wsp>
                      <wps:cNvSpPr/>
                      <wps:spPr>
                        <a:xfrm>
                          <a:off x="0" y="0"/>
                          <a:ext cx="369569" cy="202565"/>
                        </a:xfrm>
                        <a:prstGeom prst="rect">
                          <a:avLst/>
                        </a:prstGeom>
                        <a:ln w="12700" cap="flat" cmpd="sng">
                          <a:solidFill>
                            <a:srgbClr val="FF0000"/>
                          </a:solidFill>
                          <a:prstDash val="solid"/>
                          <a:miter/>
                        </a:ln>
                      </wps:spPr>
                      <wps:bodyPr/>
                    </wps:wsp>
                  </a:graphicData>
                </a:graphic>
              </wp:anchor>
            </w:drawing>
          </mc:Choice>
          <mc:Fallback>
            <w:pict>
              <v:rect id="矩形 47" o:spid="_x0000_s1026" o:spt="1" style="position:absolute;left:0pt;margin-left:101.45pt;margin-top:352.9pt;height:15.95pt;width:29.1pt;z-index:251723776;mso-width-relative:page;mso-height-relative:page;" filled="f" stroked="t" coordsize="21600,21600" o:gfxdata="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fAGZNsAAAALAQAADwAAAAAAAAABACAAAAAi&#10;AAAAZHJzL2Rvd25yZXYueG1sUEsBAhQAFAAAAAgAh07iQLO5eX3OAQAAjgMAAA4AAAAAAAAAAQAg&#10;AAAAKgEAAGRycy9lMm9Eb2MueG1sUEsFBgAAAAAGAAYAWQEAAGoFAAAAAA==&#10;">
                <v:fill on="f" focussize="0,0"/>
                <v:stroke weight="1pt" color="#FF0000" joinstyle="miter"/>
                <v:imagedata o:title=""/>
                <o:lock v:ext="edit" aspectratio="f"/>
              </v:rect>
            </w:pict>
          </mc:Fallback>
        </mc:AlternateContent>
      </w:r>
    </w:p>
    <w:p w14:paraId="1A99F948">
      <w:pPr>
        <w:jc w:val="center"/>
        <w:outlineLvl w:val="0"/>
        <w:rPr>
          <w:b/>
          <w:bCs/>
          <w:color w:val="auto"/>
          <w:highlight w:val="none"/>
        </w:rPr>
        <w:sectPr>
          <w:pgSz w:w="16838" w:h="11906" w:orient="landscape"/>
          <w:pgMar w:top="1417" w:right="1417" w:bottom="1134" w:left="1559" w:header="851" w:footer="992" w:gutter="0"/>
          <w:pgNumType w:fmt="numberInDash"/>
          <w:cols w:space="0" w:num="1"/>
          <w:docGrid w:type="lines" w:linePitch="334" w:charSpace="0"/>
        </w:sectPr>
      </w:pPr>
      <w:bookmarkStart w:id="196" w:name="_Toc5602"/>
      <w:bookmarkStart w:id="197" w:name="_Toc22240"/>
      <w:r>
        <w:rPr>
          <w:rFonts w:hint="eastAsia"/>
          <w:b/>
          <w:bCs/>
          <w:color w:val="auto"/>
          <w:highlight w:val="none"/>
        </w:rPr>
        <w:t>附图14项目与大气补充监测点位置图</w:t>
      </w:r>
      <w:bookmarkEnd w:id="196"/>
      <w:bookmarkStart w:id="198" w:name="_Toc20433"/>
      <w:r>
        <w:rPr>
          <w:color w:val="auto"/>
          <w:highlight w:val="none"/>
        </w:rPr>
        <mc:AlternateContent>
          <mc:Choice Requires="wpg">
            <w:drawing>
              <wp:anchor distT="0" distB="0" distL="0" distR="0" simplePos="0" relativeHeight="251725824" behindDoc="0" locked="0" layoutInCell="1" allowOverlap="1">
                <wp:simplePos x="0" y="0"/>
                <wp:positionH relativeFrom="column">
                  <wp:posOffset>5234305</wp:posOffset>
                </wp:positionH>
                <wp:positionV relativeFrom="paragraph">
                  <wp:posOffset>-7997825</wp:posOffset>
                </wp:positionV>
                <wp:extent cx="342900" cy="681990"/>
                <wp:effectExtent l="0" t="0" r="0" b="23495"/>
                <wp:wrapNone/>
                <wp:docPr id="1162" name="组合 284"/>
                <wp:cNvGraphicFramePr/>
                <a:graphic xmlns:a="http://schemas.openxmlformats.org/drawingml/2006/main">
                  <a:graphicData uri="http://schemas.microsoft.com/office/word/2010/wordprocessingGroup">
                    <wpg:wgp>
                      <wpg:cNvGrpSpPr/>
                      <wpg:grpSpPr>
                        <a:xfrm>
                          <a:off x="0" y="0"/>
                          <a:ext cx="342900" cy="681990"/>
                          <a:chOff x="9052" y="1688126"/>
                          <a:chExt cx="540" cy="1074"/>
                        </a:xfrm>
                      </wpg:grpSpPr>
                      <wps:wsp>
                        <wps:cNvPr id="1138" name="上箭头 23"/>
                        <wps:cNvSpPr/>
                        <wps:spPr>
                          <a:xfrm>
                            <a:off x="9113" y="1688590"/>
                            <a:ext cx="375" cy="611"/>
                          </a:xfrm>
                          <a:prstGeom prst="upArrow">
                            <a:avLst/>
                          </a:prstGeom>
                          <a:solidFill>
                            <a:srgbClr val="FF0000"/>
                          </a:solidFill>
                          <a:ln w="9525" cap="flat" cmpd="sng">
                            <a:solidFill>
                              <a:srgbClr val="000000"/>
                            </a:solidFill>
                            <a:prstDash val="solid"/>
                            <a:miter/>
                          </a:ln>
                        </wps:spPr>
                        <wps:bodyPr/>
                      </wps:wsp>
                      <wps:wsp>
                        <wps:cNvPr id="1139" name="矩形 24"/>
                        <wps:cNvSpPr/>
                        <wps:spPr>
                          <a:xfrm>
                            <a:off x="9052" y="1688126"/>
                            <a:ext cx="540" cy="605"/>
                          </a:xfrm>
                          <a:prstGeom prst="rect">
                            <a:avLst/>
                          </a:prstGeom>
                          <a:ln>
                            <a:noFill/>
                          </a:ln>
                        </wps:spPr>
                        <wps:txbx>
                          <w:txbxContent>
                            <w:p w14:paraId="1DD83357">
                              <w:pPr>
                                <w:rPr>
                                  <w:b/>
                                  <w:bCs/>
                                </w:rPr>
                              </w:pPr>
                              <w:r>
                                <w:rPr>
                                  <w:rFonts w:hint="eastAsia"/>
                                  <w:b/>
                                  <w:bCs/>
                                </w:rPr>
                                <w:t>N</w:t>
                              </w:r>
                            </w:p>
                          </w:txbxContent>
                        </wps:txbx>
                        <wps:bodyPr vert="horz" wrap="square" lIns="91440" tIns="45720" rIns="91440" bIns="45720" anchor="t">
                          <a:noAutofit/>
                        </wps:bodyPr>
                      </wps:wsp>
                    </wpg:wgp>
                  </a:graphicData>
                </a:graphic>
              </wp:anchor>
            </w:drawing>
          </mc:Choice>
          <mc:Fallback>
            <w:pict>
              <v:group id="组合 284" o:spid="_x0000_s1026" o:spt="203" style="position:absolute;left:0pt;margin-left:412.15pt;margin-top:-629.75pt;height:53.7pt;width:27pt;z-index:251725824;mso-width-relative:page;mso-height-relative:page;" coordorigin="9052,1688126" coordsize="540,1074" o:gfxdata="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xS7Dpd0AAAAPAQAADwAAAAAAAAABACAAAAAiAAAAZHJzL2Rvd25yZXYueG1sUEsB&#10;AhQAFAAAAAgAh07iQPDtfCLUAgAAxQYAAA4AAAAAAAAAAQAgAAAALAEAAGRycy9lMm9Eb2MueG1s&#10;UEsFBgAAAAAGAAYAWQEAAHIGAAAAAA==&#10;">
                <o:lock v:ext="edit" aspectratio="f"/>
                <v:shape id="上箭头 23" o:spid="_x0000_s1026" o:spt="68" type="#_x0000_t68" style="position:absolute;left:9113;top:1688590;height:611;width:375;" fillcolor="#FF0000" filled="t" stroked="t" coordsize="21600,21600" o:gfxdata="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7Prke/&#10;AAAA3QAAAA8AAAAAAAAAAQAgAAAAIgAAAGRycy9kb3ducmV2LnhtbFBLAQIUABQAAAAIAIdO4kAz&#10;LwWeOwAAADkAAAAQAAAAAAAAAAEAIAAAAA4BAABkcnMvc2hhcGV4bWwueG1sUEsFBgAAAAAGAAYA&#10;WwEAALgDAAAAAA==&#10;" adj="6628,5400">
                  <v:fill on="t" focussize="0,0"/>
                  <v:stroke color="#000000" joinstyle="miter"/>
                  <v:imagedata o:title=""/>
                  <o:lock v:ext="edit" aspectratio="f"/>
                </v:shape>
                <v:rect id="矩形 24" o:spid="_x0000_s1026" o:spt="1" style="position:absolute;left:9052;top:1688126;height:605;width:540;" filled="f" stroked="f" coordsize="21600,21600" o:gfxdata="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2RmRvQAA&#10;AN0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D83357">
                        <w:pPr>
                          <w:rPr>
                            <w:b/>
                            <w:bCs/>
                          </w:rPr>
                        </w:pPr>
                        <w:r>
                          <w:rPr>
                            <w:rFonts w:hint="eastAsia"/>
                            <w:b/>
                            <w:bCs/>
                          </w:rPr>
                          <w:t>N</w:t>
                        </w:r>
                      </w:p>
                    </w:txbxContent>
                  </v:textbox>
                </v:rect>
              </v:group>
            </w:pict>
          </mc:Fallback>
        </mc:AlternateContent>
      </w:r>
      <w:bookmarkEnd w:id="197"/>
    </w:p>
    <w:p w14:paraId="1E79C797">
      <w:pPr>
        <w:pStyle w:val="2"/>
        <w:outlineLvl w:val="0"/>
        <w:rPr>
          <w:rFonts w:ascii="Times New Roman" w:cs="Times New Roman"/>
          <w:b/>
          <w:bCs/>
          <w:color w:val="auto"/>
          <w:highlight w:val="none"/>
        </w:rPr>
      </w:pPr>
      <w:bookmarkStart w:id="199" w:name="_Toc15800"/>
      <w:r>
        <w:rPr>
          <w:rFonts w:ascii="Times New Roman" w:cs="Times New Roman"/>
          <w:b/>
          <w:bCs/>
          <w:color w:val="auto"/>
          <w:highlight w:val="none"/>
        </w:rPr>
        <w:t>附图15 乐昌产业转移工业园管网分布图</w:t>
      </w:r>
      <w:bookmarkEnd w:id="198"/>
      <w:bookmarkEnd w:id="199"/>
    </w:p>
    <w:p w14:paraId="119D13A6">
      <w:pPr>
        <w:pStyle w:val="2"/>
        <w:jc w:val="center"/>
        <w:rPr>
          <w:color w:val="auto"/>
          <w:highlight w:val="none"/>
        </w:rPr>
        <w:sectPr>
          <w:pgSz w:w="11906" w:h="16838"/>
          <w:pgMar w:top="1417" w:right="1134" w:bottom="1559" w:left="1417" w:header="851" w:footer="992" w:gutter="0"/>
          <w:pgNumType w:fmt="numberInDash"/>
          <w:cols w:space="0" w:num="1"/>
          <w:docGrid w:type="lines" w:linePitch="334" w:charSpace="0"/>
        </w:sectPr>
      </w:pPr>
      <w:r>
        <w:rPr>
          <w:color w:val="auto"/>
          <w:sz w:val="24"/>
          <w:highlight w:val="none"/>
        </w:rPr>
        <mc:AlternateContent>
          <mc:Choice Requires="wpg">
            <w:drawing>
              <wp:anchor distT="0" distB="0" distL="114300" distR="114300" simplePos="0" relativeHeight="251731968" behindDoc="0" locked="0" layoutInCell="1" allowOverlap="1">
                <wp:simplePos x="0" y="0"/>
                <wp:positionH relativeFrom="column">
                  <wp:posOffset>1830705</wp:posOffset>
                </wp:positionH>
                <wp:positionV relativeFrom="paragraph">
                  <wp:posOffset>877570</wp:posOffset>
                </wp:positionV>
                <wp:extent cx="1558290" cy="1117600"/>
                <wp:effectExtent l="6350" t="6350" r="35560" b="19050"/>
                <wp:wrapNone/>
                <wp:docPr id="37" name="组合 37"/>
                <wp:cNvGraphicFramePr/>
                <a:graphic xmlns:a="http://schemas.openxmlformats.org/drawingml/2006/main">
                  <a:graphicData uri="http://schemas.microsoft.com/office/word/2010/wordprocessingGroup">
                    <wpg:wgp>
                      <wpg:cNvGrpSpPr/>
                      <wpg:grpSpPr>
                        <a:xfrm>
                          <a:off x="0" y="0"/>
                          <a:ext cx="1558290" cy="1117600"/>
                          <a:chOff x="4245" y="1899809"/>
                          <a:chExt cx="2454" cy="1760"/>
                        </a:xfrm>
                      </wpg:grpSpPr>
                      <wps:wsp>
                        <wps:cNvPr id="1165" name="五角星 22"/>
                        <wps:cNvSpPr/>
                        <wps:spPr>
                          <a:xfrm>
                            <a:off x="6429" y="1901285"/>
                            <a:ext cx="270" cy="285"/>
                          </a:xfrm>
                          <a:prstGeom prst="star5">
                            <a:avLst/>
                          </a:prstGeom>
                          <a:solidFill>
                            <a:srgbClr val="FF0000"/>
                          </a:solidFill>
                          <a:ln w="12700" cap="flat" cmpd="sng">
                            <a:solidFill>
                              <a:srgbClr val="000000"/>
                            </a:solidFill>
                            <a:prstDash val="solid"/>
                            <a:miter/>
                          </a:ln>
                        </wps:spPr>
                        <wps:bodyPr/>
                      </wps:wsp>
                      <wps:wsp>
                        <wps:cNvPr id="1166" name="圆角矩形标注 26"/>
                        <wps:cNvSpPr/>
                        <wps:spPr>
                          <a:xfrm>
                            <a:off x="4245" y="1899809"/>
                            <a:ext cx="1635" cy="706"/>
                          </a:xfrm>
                          <a:prstGeom prst="wedgeRoundRectCallout">
                            <a:avLst>
                              <a:gd name="adj1" fmla="val 86085"/>
                              <a:gd name="adj2" fmla="val 163031"/>
                              <a:gd name="adj3" fmla="val 16667"/>
                            </a:avLst>
                          </a:prstGeom>
                          <a:solidFill>
                            <a:srgbClr val="D8D8D8"/>
                          </a:solidFill>
                          <a:ln w="12700" cap="flat" cmpd="sng">
                            <a:solidFill>
                              <a:srgbClr val="000000"/>
                            </a:solidFill>
                            <a:prstDash val="solid"/>
                            <a:miter/>
                          </a:ln>
                        </wps:spPr>
                        <wps:txbx>
                          <w:txbxContent>
                            <w:p w14:paraId="72BC1FF9">
                              <w:pPr>
                                <w:jc w:val="center"/>
                                <w:rPr>
                                  <w:b/>
                                  <w:bCs/>
                                </w:rPr>
                              </w:pPr>
                              <w:r>
                                <w:rPr>
                                  <w:rFonts w:hint="eastAsia"/>
                                  <w:b/>
                                  <w:bCs/>
                                </w:rPr>
                                <w:t>项目位置</w:t>
                              </w:r>
                            </w:p>
                          </w:txbxContent>
                        </wps:txbx>
                        <wps:bodyPr vert="horz" wrap="square" lIns="91440" tIns="45720" rIns="91440" bIns="45720" anchor="ctr">
                          <a:noAutofit/>
                        </wps:bodyPr>
                      </wps:wsp>
                    </wpg:wgp>
                  </a:graphicData>
                </a:graphic>
              </wp:anchor>
            </w:drawing>
          </mc:Choice>
          <mc:Fallback>
            <w:pict>
              <v:group id="_x0000_s1026" o:spid="_x0000_s1026" o:spt="203" style="position:absolute;left:0pt;margin-left:144.15pt;margin-top:69.1pt;height:88pt;width:122.7pt;z-index:251731968;mso-width-relative:page;mso-height-relative:page;" coordorigin="4245,1899809" coordsize="2454,1760" o:gfxdata="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9tCEZtoAAAALAQAA&#10;DwAAAAAAAAABACAAAAAiAAAAZHJzL2Rvd25yZXYueG1sUEsBAhQAFAAAAAgAh07iQGAWfoI0AwAA&#10;+gcAAA4AAAAAAAAAAQAgAAAAKQEAAGRycy9lMm9Eb2MueG1sUEsFBgAAAAAGAAYAWQEAAM8GAAAA&#10;AA==&#10;">
                <o:lock v:ext="edit" aspectratio="f"/>
                <v:shape id="五角星 22" o:spid="_x0000_s1026" style="position:absolute;left:6429;top:1901285;height:285;width:270;" fillcolor="#FF0000" filled="t" stroked="t" coordsize="270,285" o:gfxdata="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IahLsAAADd&#10;AAAADwAAAAAAAAABACAAAAAiAAAAZHJzL2Rvd25yZXYueG1sUEsBAhQAFAAAAAgAh07iQDMvBZ47&#10;AAAAOQAAABAAAAAAAAAAAQAgAAAACgEAAGRycy9zaGFwZXhtbC54bWxQSwUGAAAAAAYABgBbAQAA&#10;tAMAAAAA&#10;" path="m0,108l103,108,135,0,166,108,269,108,186,176,218,284,135,217,51,284,83,176xe">
                  <v:path o:connectlocs="135,0;0,108;51,284;218,284;269,108" o:connectangles="247,164,82,82,0"/>
                  <v:fill on="t" focussize="0,0"/>
                  <v:stroke weight="1pt" color="#000000" joinstyle="miter"/>
                  <v:imagedata o:title=""/>
                  <o:lock v:ext="edit" aspectratio="f"/>
                </v:shape>
                <v:shape id="圆角矩形标注 26" o:spid="_x0000_s1026" o:spt="62" type="#_x0000_t62" style="position:absolute;left:4245;top:1899809;height:706;width:1635;v-text-anchor:middle;" fillcolor="#D8D8D8" filled="t" stroked="t" coordsize="21600,21600" o:gfxdata="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4oMa7sAAADd&#10;AAAADwAAAAAAAAABACAAAAAiAAAAZHJzL2Rvd25yZXYueG1sUEsBAhQAFAAAAAgAh07iQDMvBZ47&#10;AAAAOQAAABAAAAAAAAAAAQAgAAAACgEAAGRycy9zaGFwZXhtbC54bWxQSwUGAAAAAAYABgBbAQAA&#10;tAMAAAAA&#10;" adj="29394,46015,14400">
                  <v:fill on="t" focussize="0,0"/>
                  <v:stroke weight="1pt" color="#000000" joinstyle="miter"/>
                  <v:imagedata o:title=""/>
                  <o:lock v:ext="edit" aspectratio="f"/>
                  <v:textbox>
                    <w:txbxContent>
                      <w:p w14:paraId="72BC1FF9">
                        <w:pPr>
                          <w:jc w:val="center"/>
                          <w:rPr>
                            <w:b/>
                            <w:bCs/>
                          </w:rPr>
                        </w:pPr>
                        <w:r>
                          <w:rPr>
                            <w:rFonts w:hint="eastAsia"/>
                            <w:b/>
                            <w:bCs/>
                          </w:rPr>
                          <w:t>项目位置</w:t>
                        </w:r>
                      </w:p>
                    </w:txbxContent>
                  </v:textbox>
                </v:shape>
              </v:group>
            </w:pict>
          </mc:Fallback>
        </mc:AlternateContent>
      </w:r>
      <w:r>
        <w:rPr>
          <w:color w:val="auto"/>
          <w:highlight w:val="none"/>
        </w:rPr>
        <mc:AlternateContent>
          <mc:Choice Requires="wps">
            <w:drawing>
              <wp:anchor distT="0" distB="0" distL="114300" distR="114300" simplePos="0" relativeHeight="251730944" behindDoc="0" locked="0" layoutInCell="1" allowOverlap="1">
                <wp:simplePos x="0" y="0"/>
                <wp:positionH relativeFrom="column">
                  <wp:posOffset>2767330</wp:posOffset>
                </wp:positionH>
                <wp:positionV relativeFrom="paragraph">
                  <wp:posOffset>1603375</wp:posOffset>
                </wp:positionV>
                <wp:extent cx="791845" cy="147320"/>
                <wp:effectExtent l="635" t="4445" r="7620" b="19685"/>
                <wp:wrapNone/>
                <wp:docPr id="4" name="直接连接符 4"/>
                <wp:cNvGraphicFramePr/>
                <a:graphic xmlns:a="http://schemas.openxmlformats.org/drawingml/2006/main">
                  <a:graphicData uri="http://schemas.microsoft.com/office/word/2010/wordprocessingShape">
                    <wps:wsp>
                      <wps:cNvCnPr/>
                      <wps:spPr>
                        <a:xfrm>
                          <a:off x="3678555" y="2821305"/>
                          <a:ext cx="791845" cy="147320"/>
                        </a:xfrm>
                        <a:prstGeom prst="line">
                          <a:avLst/>
                        </a:prstGeom>
                        <a:ln w="9525">
                          <a:solidFill>
                            <a:srgbClr val="063ADE"/>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9pt;margin-top:126.25pt;height:11.6pt;width:62.35pt;z-index:251730944;mso-width-relative:page;mso-height-relative:page;" filled="f" stroked="t" coordsize="21600,21600" o:gfxdata="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WWnENwAAAALAQAADwAAAAAAAAABACAAAAAiAAAAZHJzL2Rvd25yZXYueG1sUEsBAhQA&#10;FAAAAAgAh07iQDgVbWzuAQAAqgMAAA4AAAAAAAAAAQAgAAAAKwEAAGRycy9lMm9Eb2MueG1sUEsF&#10;BgAAAAAGAAYAWQEAAIsFAAAAAA==&#10;">
                <v:fill on="f" focussize="0,0"/>
                <v:stroke color="#063ADE [3204]" joinstyle="round"/>
                <v:imagedata o:title=""/>
                <o:lock v:ext="edit" aspectratio="f"/>
              </v:line>
            </w:pict>
          </mc:Fallback>
        </mc:AlternateContent>
      </w:r>
      <w:r>
        <w:rPr>
          <w:color w:val="auto"/>
          <w:highlight w:val="none"/>
        </w:rPr>
        <mc:AlternateContent>
          <mc:Choice Requires="wps">
            <w:drawing>
              <wp:anchor distT="0" distB="0" distL="114300" distR="114300" simplePos="0" relativeHeight="251729920" behindDoc="0" locked="0" layoutInCell="1" allowOverlap="1">
                <wp:simplePos x="0" y="0"/>
                <wp:positionH relativeFrom="column">
                  <wp:posOffset>2778760</wp:posOffset>
                </wp:positionH>
                <wp:positionV relativeFrom="paragraph">
                  <wp:posOffset>908050</wp:posOffset>
                </wp:positionV>
                <wp:extent cx="1270" cy="741045"/>
                <wp:effectExtent l="4445" t="0" r="13335" b="1905"/>
                <wp:wrapNone/>
                <wp:docPr id="5" name="直接连接符 5"/>
                <wp:cNvGraphicFramePr/>
                <a:graphic xmlns:a="http://schemas.openxmlformats.org/drawingml/2006/main">
                  <a:graphicData uri="http://schemas.microsoft.com/office/word/2010/wordprocessingShape">
                    <wps:wsp>
                      <wps:cNvCnPr/>
                      <wps:spPr>
                        <a:xfrm>
                          <a:off x="3678555" y="2125980"/>
                          <a:ext cx="1270" cy="741045"/>
                        </a:xfrm>
                        <a:prstGeom prst="line">
                          <a:avLst/>
                        </a:prstGeom>
                        <a:ln w="9525">
                          <a:solidFill>
                            <a:srgbClr val="063ADE"/>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8.8pt;margin-top:71.5pt;height:58.35pt;width:0.1pt;z-index:251729920;mso-width-relative:page;mso-height-relative:page;" filled="f" stroked="t" coordsize="21600,21600" o:gfxdata="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mqHxa2gAAAAsBAAAPAAAAAAAAAAEAIAAAACIAAABkcnMvZG93bnJldi54bWxQSwECFAAUAAAA&#10;CACHTuJAXJ9KAOwBAACoAwAADgAAAAAAAAABACAAAAApAQAAZHJzL2Uyb0RvYy54bWxQSwUGAAAA&#10;AAYABgBZAQAAhwUAAAAA&#10;">
                <v:fill on="f" focussize="0,0"/>
                <v:stroke color="#063ADE [3204]" joinstyle="round"/>
                <v:imagedata o:title=""/>
                <o:lock v:ext="edit" aspectratio="f"/>
              </v:line>
            </w:pict>
          </mc:Fallback>
        </mc:AlternateContent>
      </w:r>
      <w:r>
        <w:rPr>
          <w:color w:val="auto"/>
          <w:highlight w:val="none"/>
        </w:rPr>
        <mc:AlternateContent>
          <mc:Choice Requires="wps">
            <w:drawing>
              <wp:anchor distT="0" distB="0" distL="114300" distR="114300" simplePos="0" relativeHeight="251728896" behindDoc="0" locked="0" layoutInCell="1" allowOverlap="1">
                <wp:simplePos x="0" y="0"/>
                <wp:positionH relativeFrom="column">
                  <wp:posOffset>3373755</wp:posOffset>
                </wp:positionH>
                <wp:positionV relativeFrom="paragraph">
                  <wp:posOffset>905510</wp:posOffset>
                </wp:positionV>
                <wp:extent cx="271780" cy="1371600"/>
                <wp:effectExtent l="8890" t="8890" r="24130" b="29210"/>
                <wp:wrapNone/>
                <wp:docPr id="6" name="任意多边形 6"/>
                <wp:cNvGraphicFramePr/>
                <a:graphic xmlns:a="http://schemas.openxmlformats.org/drawingml/2006/main">
                  <a:graphicData uri="http://schemas.microsoft.com/office/word/2010/wordprocessingShape">
                    <wps:wsp>
                      <wps:cNvSpPr/>
                      <wps:spPr>
                        <a:xfrm>
                          <a:off x="4273550" y="2123440"/>
                          <a:ext cx="271780" cy="1371600"/>
                        </a:xfrm>
                        <a:custGeom>
                          <a:avLst/>
                          <a:gdLst>
                            <a:gd name="connisteX0" fmla="*/ 0 w 271780"/>
                            <a:gd name="connsiteY0" fmla="*/ 0 h 1371600"/>
                            <a:gd name="connisteX1" fmla="*/ 271780 w 271780"/>
                            <a:gd name="connsiteY1" fmla="*/ 271145 h 1371600"/>
                            <a:gd name="connisteX2" fmla="*/ 157480 w 271780"/>
                            <a:gd name="connsiteY2" fmla="*/ 928370 h 1371600"/>
                            <a:gd name="connisteX3" fmla="*/ 62230 w 271780"/>
                            <a:gd name="connsiteY3" fmla="*/ 1366520 h 1371600"/>
                            <a:gd name="connisteX4" fmla="*/ 19050 w 271780"/>
                            <a:gd name="connsiteY4" fmla="*/ 1371600 h 137160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71780" h="1371600">
                              <a:moveTo>
                                <a:pt x="0" y="0"/>
                              </a:moveTo>
                              <a:lnTo>
                                <a:pt x="271780" y="271145"/>
                              </a:lnTo>
                              <a:lnTo>
                                <a:pt x="157480" y="928370"/>
                              </a:lnTo>
                              <a:lnTo>
                                <a:pt x="62230" y="1366520"/>
                              </a:lnTo>
                              <a:lnTo>
                                <a:pt x="19050" y="1371600"/>
                              </a:lnTo>
                            </a:path>
                          </a:pathLst>
                        </a:custGeom>
                        <a:noFill/>
                        <a:ln w="12700">
                          <a:solidFill>
                            <a:srgbClr val="063ADE"/>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65.65pt;margin-top:71.3pt;height:108pt;width:21.4pt;z-index:251728896;mso-width-relative:page;mso-height-relative:page;" filled="f" stroked="t" coordsize="271780,1371600" o:gfxdata="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xZIkQNwAAAALAQAADwAAAAAAAAABACAAAAAiAAAAZHJzL2Rvd25yZXYueG1sUEsB&#10;AhQAFAAAAAgAh07iQAznH2oOAwAAPAgAAA4AAAAAAAAAAQAgAAAAKwEAAGRycy9lMm9Eb2MueG1s&#10;UEsFBgAAAAAGAAYAWQEAAKsGAAAAAA==&#10;" path="m0,0l271780,271145,157480,928370,62230,1366520,19050,1371600e">
                <v:path o:connectlocs="0,0;271780,271145;157480,928370;62230,1366520;19050,1371600" o:connectangles="0,0,0,0,0"/>
                <v:fill on="f" focussize="0,0"/>
                <v:stroke weight="1pt" color="#063ADE [24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727872" behindDoc="0" locked="0" layoutInCell="1" allowOverlap="1">
                <wp:simplePos x="0" y="0"/>
                <wp:positionH relativeFrom="column">
                  <wp:posOffset>2780030</wp:posOffset>
                </wp:positionH>
                <wp:positionV relativeFrom="paragraph">
                  <wp:posOffset>1649095</wp:posOffset>
                </wp:positionV>
                <wp:extent cx="31750" cy="861060"/>
                <wp:effectExtent l="6350" t="0" r="19050" b="15240"/>
                <wp:wrapNone/>
                <wp:docPr id="7" name="任意多边形 7"/>
                <wp:cNvGraphicFramePr/>
                <a:graphic xmlns:a="http://schemas.openxmlformats.org/drawingml/2006/main">
                  <a:graphicData uri="http://schemas.microsoft.com/office/word/2010/wordprocessingShape">
                    <wps:wsp>
                      <wps:cNvSpPr/>
                      <wps:spPr>
                        <a:xfrm>
                          <a:off x="3675380" y="2862580"/>
                          <a:ext cx="31750" cy="861060"/>
                        </a:xfrm>
                        <a:custGeom>
                          <a:avLst/>
                          <a:gdLst>
                            <a:gd name="connisteX0" fmla="*/ 31750 w 31750"/>
                            <a:gd name="connsiteY0" fmla="*/ 861060 h 861060"/>
                            <a:gd name="connisteX1" fmla="*/ 8890 w 31750"/>
                            <a:gd name="connsiteY1" fmla="*/ 720725 h 861060"/>
                            <a:gd name="connisteX2" fmla="*/ 0 w 31750"/>
                            <a:gd name="connsiteY2" fmla="*/ 616585 h 861060"/>
                            <a:gd name="connisteX3" fmla="*/ 0 w 31750"/>
                            <a:gd name="connsiteY3" fmla="*/ 0 h 861060"/>
                          </a:gdLst>
                          <a:ahLst/>
                          <a:cxnLst>
                            <a:cxn ang="0">
                              <a:pos x="connisteX0" y="connsiteY0"/>
                            </a:cxn>
                            <a:cxn ang="0">
                              <a:pos x="connisteX1" y="connsiteY1"/>
                            </a:cxn>
                            <a:cxn ang="0">
                              <a:pos x="connisteX2" y="connsiteY2"/>
                            </a:cxn>
                            <a:cxn ang="0">
                              <a:pos x="connisteX3" y="connsiteY3"/>
                            </a:cxn>
                          </a:cxnLst>
                          <a:rect l="l" t="t" r="r" b="b"/>
                          <a:pathLst>
                            <a:path w="31750" h="861060">
                              <a:moveTo>
                                <a:pt x="31750" y="861060"/>
                              </a:moveTo>
                              <a:lnTo>
                                <a:pt x="8890" y="720725"/>
                              </a:lnTo>
                              <a:lnTo>
                                <a:pt x="0" y="616585"/>
                              </a:lnTo>
                              <a:lnTo>
                                <a:pt x="0" y="0"/>
                              </a:lnTo>
                            </a:path>
                          </a:pathLst>
                        </a:custGeom>
                        <a:noFill/>
                        <a:ln w="12700">
                          <a:solidFill>
                            <a:srgbClr val="063ADE"/>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18.9pt;margin-top:129.85pt;height:67.8pt;width:2.5pt;z-index:251727872;mso-width-relative:page;mso-height-relative:page;" filled="f" stroked="t" coordsize="31750,861060" o:gfxdata="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BVPJWDcAAAACwEAAA8AAAAAAAAAAQAgAAAAIgAAAGRycy9kb3du&#10;cmV2LnhtbFBLAQIUABQAAAAIAIdO4kDcJSwQ3wIAAE4HAAAOAAAAAAAAAAEAIAAAACsBAABkcnMv&#10;ZTJvRG9jLnhtbFBLBQYAAAAABgAGAFkBAAB8BgAAAAA=&#10;" path="m31750,861060l8890,720725,0,616585,0,0e">
                <v:path o:connectlocs="31750,861060;8890,720725;0,616585;0,0" o:connectangles="0,0,0,0"/>
                <v:fill on="f" focussize="0,0"/>
                <v:stroke weight="1pt" color="#063ADE [24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726848" behindDoc="0" locked="0" layoutInCell="1" allowOverlap="1">
                <wp:simplePos x="0" y="0"/>
                <wp:positionH relativeFrom="column">
                  <wp:posOffset>2540000</wp:posOffset>
                </wp:positionH>
                <wp:positionV relativeFrom="paragraph">
                  <wp:posOffset>2287270</wp:posOffset>
                </wp:positionV>
                <wp:extent cx="857250" cy="154940"/>
                <wp:effectExtent l="1270" t="6350" r="17780" b="10160"/>
                <wp:wrapNone/>
                <wp:docPr id="12" name="直接连接符 12"/>
                <wp:cNvGraphicFramePr/>
                <a:graphic xmlns:a="http://schemas.openxmlformats.org/drawingml/2006/main">
                  <a:graphicData uri="http://schemas.microsoft.com/office/word/2010/wordprocessingShape">
                    <wps:wsp>
                      <wps:cNvCnPr/>
                      <wps:spPr>
                        <a:xfrm flipV="1">
                          <a:off x="3439795" y="3505200"/>
                          <a:ext cx="857250" cy="154940"/>
                        </a:xfrm>
                        <a:prstGeom prst="line">
                          <a:avLst/>
                        </a:prstGeom>
                        <a:ln w="12700">
                          <a:solidFill>
                            <a:srgbClr val="063ADE"/>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00pt;margin-top:180.1pt;height:12.2pt;width:67.5pt;z-index:251726848;mso-width-relative:page;mso-height-relative:page;" filled="f" stroked="t" coordsize="21600,21600" o:gfxdata="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8HtDdgAAAALAQAADwAAAAAAAAABACAAAAAiAAAAZHJzL2Rvd25yZXYueG1sUEsB&#10;AhQAFAAAAAgAh07iQMk0f1n1AQAAtwMAAA4AAAAAAAAAAQAgAAAAJwEAAGRycy9lMm9Eb2MueG1s&#10;UEsFBgAAAAAGAAYAWQEAAI4FAAAAAA==&#10;">
                <v:fill on="f" focussize="0,0"/>
                <v:stroke weight="1pt" color="#063ADE [3204]" joinstyle="round"/>
                <v:imagedata o:title=""/>
                <o:lock v:ext="edit" aspectratio="f"/>
              </v:line>
            </w:pict>
          </mc:Fallback>
        </mc:AlternateContent>
      </w:r>
      <w:r>
        <w:rPr>
          <w:color w:val="auto"/>
          <w:highlight w:val="none"/>
        </w:rPr>
        <w:drawing>
          <wp:inline distT="0" distB="0" distL="0" distR="0">
            <wp:extent cx="5361305" cy="7717790"/>
            <wp:effectExtent l="19050" t="19050" r="29845" b="35560"/>
            <wp:docPr id="1167" name="图片 3"/>
            <wp:cNvGraphicFramePr/>
            <a:graphic xmlns:a="http://schemas.openxmlformats.org/drawingml/2006/main">
              <a:graphicData uri="http://schemas.openxmlformats.org/drawingml/2006/picture">
                <pic:pic xmlns:pic="http://schemas.openxmlformats.org/drawingml/2006/picture">
                  <pic:nvPicPr>
                    <pic:cNvPr id="1167" name="图片 3"/>
                    <pic:cNvPicPr/>
                  </pic:nvPicPr>
                  <pic:blipFill>
                    <a:blip r:embed="rId68" cstate="print"/>
                    <a:srcRect/>
                    <a:stretch>
                      <a:fillRect/>
                    </a:stretch>
                  </pic:blipFill>
                  <pic:spPr>
                    <a:xfrm>
                      <a:off x="0" y="0"/>
                      <a:ext cx="5361305" cy="7717790"/>
                    </a:xfrm>
                    <a:prstGeom prst="rect">
                      <a:avLst/>
                    </a:prstGeom>
                    <a:ln w="19050" cap="flat" cmpd="sng">
                      <a:solidFill>
                        <a:srgbClr val="000000"/>
                      </a:solidFill>
                      <a:prstDash val="solid"/>
                      <a:round/>
                    </a:ln>
                  </pic:spPr>
                </pic:pic>
              </a:graphicData>
            </a:graphic>
          </wp:inline>
        </w:drawing>
      </w:r>
    </w:p>
    <w:p w14:paraId="0A5D0A1A">
      <w:pPr>
        <w:pStyle w:val="56"/>
        <w:ind w:left="0"/>
        <w:outlineLvl w:val="0"/>
        <w:rPr>
          <w:rFonts w:hint="eastAsia" w:ascii="Times New Roman"/>
          <w:color w:val="auto"/>
          <w:sz w:val="24"/>
          <w:szCs w:val="24"/>
          <w:highlight w:val="none"/>
          <w:lang w:val="en-US" w:eastAsia="zh-CN"/>
        </w:rPr>
      </w:pPr>
      <w:bookmarkStart w:id="200" w:name="_Toc11640"/>
      <w:bookmarkStart w:id="201" w:name="_Toc25890"/>
      <w:bookmarkStart w:id="202" w:name="_Toc22104"/>
      <w:r>
        <w:rPr>
          <w:rFonts w:hint="eastAsia" w:ascii="Times New Roman"/>
          <w:color w:val="auto"/>
          <w:sz w:val="24"/>
          <w:szCs w:val="24"/>
          <w:highlight w:val="none"/>
          <w:lang w:val="en-US" w:eastAsia="zh-CN"/>
        </w:rPr>
        <w:t>附图17 声环境功能区划</w:t>
      </w:r>
      <w:bookmarkEnd w:id="200"/>
    </w:p>
    <w:p w14:paraId="4A695846">
      <w:pPr>
        <w:rPr>
          <w:rFonts w:hint="default"/>
          <w:color w:val="auto"/>
          <w:highlight w:val="none"/>
          <w:lang w:val="en-US" w:eastAsia="zh-CN"/>
        </w:rPr>
        <w:sectPr>
          <w:pgSz w:w="11906" w:h="16838"/>
          <w:pgMar w:top="1417" w:right="1134" w:bottom="1559" w:left="1417" w:header="851" w:footer="992" w:gutter="0"/>
          <w:pgNumType w:fmt="numberInDash"/>
          <w:cols w:space="0" w:num="1"/>
          <w:docGrid w:type="lines" w:linePitch="334" w:charSpace="0"/>
        </w:sectPr>
      </w:pPr>
      <w:r>
        <w:rPr>
          <w:color w:val="auto"/>
          <w:sz w:val="24"/>
          <w:highlight w:val="none"/>
        </w:rPr>
        <mc:AlternateContent>
          <mc:Choice Requires="wpg">
            <w:drawing>
              <wp:anchor distT="0" distB="0" distL="114300" distR="114300" simplePos="0" relativeHeight="251732992" behindDoc="0" locked="0" layoutInCell="1" allowOverlap="1">
                <wp:simplePos x="0" y="0"/>
                <wp:positionH relativeFrom="column">
                  <wp:posOffset>2111375</wp:posOffset>
                </wp:positionH>
                <wp:positionV relativeFrom="paragraph">
                  <wp:posOffset>570865</wp:posOffset>
                </wp:positionV>
                <wp:extent cx="2118360" cy="1283970"/>
                <wp:effectExtent l="6350" t="6350" r="27940" b="24130"/>
                <wp:wrapNone/>
                <wp:docPr id="38" name="组合 38"/>
                <wp:cNvGraphicFramePr/>
                <a:graphic xmlns:a="http://schemas.openxmlformats.org/drawingml/2006/main">
                  <a:graphicData uri="http://schemas.microsoft.com/office/word/2010/wordprocessingGroup">
                    <wpg:wgp>
                      <wpg:cNvGrpSpPr/>
                      <wpg:grpSpPr>
                        <a:xfrm>
                          <a:off x="0" y="0"/>
                          <a:ext cx="2118360" cy="1283970"/>
                          <a:chOff x="4245" y="1899809"/>
                          <a:chExt cx="3336" cy="2022"/>
                        </a:xfrm>
                      </wpg:grpSpPr>
                      <wps:wsp>
                        <wps:cNvPr id="39" name="五角星 22"/>
                        <wps:cNvSpPr/>
                        <wps:spPr>
                          <a:xfrm>
                            <a:off x="7468" y="1901718"/>
                            <a:ext cx="113" cy="113"/>
                          </a:xfrm>
                          <a:prstGeom prst="star5">
                            <a:avLst/>
                          </a:prstGeom>
                          <a:solidFill>
                            <a:srgbClr val="FF0000"/>
                          </a:solidFill>
                          <a:ln w="12700" cap="flat" cmpd="sng">
                            <a:solidFill>
                              <a:srgbClr val="000000"/>
                            </a:solidFill>
                            <a:prstDash val="solid"/>
                            <a:miter/>
                          </a:ln>
                        </wps:spPr>
                        <wps:bodyPr/>
                      </wps:wsp>
                      <wps:wsp>
                        <wps:cNvPr id="40" name="圆角矩形标注 26"/>
                        <wps:cNvSpPr/>
                        <wps:spPr>
                          <a:xfrm>
                            <a:off x="4245" y="1899809"/>
                            <a:ext cx="1635" cy="1699"/>
                          </a:xfrm>
                          <a:prstGeom prst="wedgeRoundRectCallout">
                            <a:avLst>
                              <a:gd name="adj1" fmla="val 147247"/>
                              <a:gd name="adj2" fmla="val 63772"/>
                              <a:gd name="adj3" fmla="val 16667"/>
                            </a:avLst>
                          </a:prstGeom>
                          <a:solidFill>
                            <a:srgbClr val="D8D8D8"/>
                          </a:solidFill>
                          <a:ln w="12700" cap="flat" cmpd="sng">
                            <a:solidFill>
                              <a:srgbClr val="000000"/>
                            </a:solidFill>
                            <a:prstDash val="solid"/>
                            <a:miter/>
                          </a:ln>
                        </wps:spPr>
                        <wps:txbx>
                          <w:txbxContent>
                            <w:p w14:paraId="2B6C24B7">
                              <w:r>
                                <w:drawing>
                                  <wp:inline distT="0" distB="0" distL="114300" distR="114300">
                                    <wp:extent cx="797560" cy="747395"/>
                                    <wp:effectExtent l="0" t="0" r="2540" b="14605"/>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69"/>
                                            <a:stretch>
                                              <a:fillRect/>
                                            </a:stretch>
                                          </pic:blipFill>
                                          <pic:spPr>
                                            <a:xfrm>
                                              <a:off x="0" y="0"/>
                                              <a:ext cx="797560" cy="747395"/>
                                            </a:xfrm>
                                            <a:prstGeom prst="rect">
                                              <a:avLst/>
                                            </a:prstGeom>
                                            <a:noFill/>
                                            <a:ln>
                                              <a:noFill/>
                                            </a:ln>
                                          </pic:spPr>
                                        </pic:pic>
                                      </a:graphicData>
                                    </a:graphic>
                                  </wp:inline>
                                </w:drawing>
                              </w:r>
                            </w:p>
                          </w:txbxContent>
                        </wps:txbx>
                        <wps:bodyPr vert="horz" wrap="square" lIns="91440" tIns="45720" rIns="91440" bIns="45720" anchor="ctr">
                          <a:noAutofit/>
                        </wps:bodyPr>
                      </wps:wsp>
                    </wpg:wgp>
                  </a:graphicData>
                </a:graphic>
              </wp:anchor>
            </w:drawing>
          </mc:Choice>
          <mc:Fallback>
            <w:pict>
              <v:group id="_x0000_s1026" o:spid="_x0000_s1026" o:spt="203" style="position:absolute;left:0pt;margin-left:166.25pt;margin-top:44.95pt;height:101.1pt;width:166.8pt;z-index:251732992;mso-width-relative:page;mso-height-relative:page;" coordorigin="4245,1899809" coordsize="3336,2022" o:gfxdata="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GXLEqXaAAAACgEA&#10;AA8AAAAAAAAAAQAgAAAAIgAAAGRycy9kb3ducmV2LnhtbFBLAQIUABQAAAAIAIdO4kDD8ZEtNQMA&#10;APcHAAAOAAAAAAAAAAEAIAAAACkBAABkcnMvZTJvRG9jLnhtbFBLBQYAAAAABgAGAFkBAADQBgAA&#10;AAA=&#10;">
                <o:lock v:ext="edit" aspectratio="f"/>
                <v:shape id="五角星 22" o:spid="_x0000_s1026" style="position:absolute;left:7468;top:1901718;height:113;width:113;" fillcolor="#FF0000" filled="t" stroked="t" coordsize="113,113" o:gfxdata="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IpLyugAAANsA&#10;AAAPAAAAAAAAAAEAIAAAACIAAABkcnMvZG93bnJldi54bWxQSwECFAAUAAAACACHTuJAMy8FnjsA&#10;AAA5AAAAEAAAAAAAAAABACAAAAAJAQAAZHJzL3NoYXBleG1sLnhtbFBLBQYAAAAABgAGAFsBAACz&#10;AwAAAAA=&#10;" path="m0,43l43,43,56,0,69,43,112,43,78,69,91,112,56,86,21,112,34,69xe">
                  <v:path o:connectlocs="56,0;0,43;21,112;91,112;112,43" o:connectangles="247,164,82,82,0"/>
                  <v:fill on="t" focussize="0,0"/>
                  <v:stroke weight="1pt" color="#000000" joinstyle="miter"/>
                  <v:imagedata o:title=""/>
                  <o:lock v:ext="edit" aspectratio="f"/>
                </v:shape>
                <v:shape id="圆角矩形标注 26" o:spid="_x0000_s1026" o:spt="62" type="#_x0000_t62" style="position:absolute;left:4245;top:1899809;height:1699;width:1635;v-text-anchor:middle;" fillcolor="#D8D8D8" filled="t" stroked="t" coordsize="21600,21600" o:gfxdata="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BVLsAAADb&#10;AAAADwAAAAAAAAABACAAAAAiAAAAZHJzL2Rvd25yZXYueG1sUEsBAhQAFAAAAAgAh07iQDMvBZ47&#10;AAAAOQAAABAAAAAAAAAAAQAgAAAACgEAAGRycy9zaGFwZXhtbC54bWxQSwUGAAAAAAYABgBbAQAA&#10;tAMAAAAA&#10;" adj="42605,24575,14400">
                  <v:fill on="t" focussize="0,0"/>
                  <v:stroke weight="1pt" color="#000000" joinstyle="miter"/>
                  <v:imagedata o:title=""/>
                  <o:lock v:ext="edit" aspectratio="f"/>
                  <v:textbox>
                    <w:txbxContent>
                      <w:p w14:paraId="2B6C24B7">
                        <w:r>
                          <w:drawing>
                            <wp:inline distT="0" distB="0" distL="114300" distR="114300">
                              <wp:extent cx="797560" cy="747395"/>
                              <wp:effectExtent l="0" t="0" r="2540" b="14605"/>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69"/>
                                      <a:stretch>
                                        <a:fillRect/>
                                      </a:stretch>
                                    </pic:blipFill>
                                    <pic:spPr>
                                      <a:xfrm>
                                        <a:off x="0" y="0"/>
                                        <a:ext cx="797560" cy="747395"/>
                                      </a:xfrm>
                                      <a:prstGeom prst="rect">
                                        <a:avLst/>
                                      </a:prstGeom>
                                      <a:noFill/>
                                      <a:ln>
                                        <a:noFill/>
                                      </a:ln>
                                    </pic:spPr>
                                  </pic:pic>
                                </a:graphicData>
                              </a:graphic>
                            </wp:inline>
                          </w:drawing>
                        </w:r>
                      </w:p>
                    </w:txbxContent>
                  </v:textbox>
                </v:shape>
              </v:group>
            </w:pict>
          </mc:Fallback>
        </mc:AlternateContent>
      </w:r>
      <w:r>
        <w:rPr>
          <w:color w:val="auto"/>
          <w:highlight w:val="none"/>
        </w:rPr>
        <w:drawing>
          <wp:inline distT="0" distB="0" distL="114300" distR="114300">
            <wp:extent cx="5460365" cy="7715250"/>
            <wp:effectExtent l="0" t="0" r="6985"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pic:cNvPicPr>
                      <a:picLocks noChangeAspect="1"/>
                    </pic:cNvPicPr>
                  </pic:nvPicPr>
                  <pic:blipFill>
                    <a:blip r:embed="rId70"/>
                    <a:stretch>
                      <a:fillRect/>
                    </a:stretch>
                  </pic:blipFill>
                  <pic:spPr>
                    <a:xfrm>
                      <a:off x="0" y="0"/>
                      <a:ext cx="5460365" cy="7715250"/>
                    </a:xfrm>
                    <a:prstGeom prst="rect">
                      <a:avLst/>
                    </a:prstGeom>
                    <a:noFill/>
                    <a:ln>
                      <a:noFill/>
                    </a:ln>
                  </pic:spPr>
                </pic:pic>
              </a:graphicData>
            </a:graphic>
          </wp:inline>
        </w:drawing>
      </w:r>
    </w:p>
    <w:p w14:paraId="3BE15687">
      <w:pPr>
        <w:rPr>
          <w:rFonts w:hint="default"/>
          <w:color w:val="auto"/>
          <w:highlight w:val="none"/>
          <w:lang w:val="en-US" w:eastAsia="zh-CN"/>
        </w:rPr>
      </w:pPr>
    </w:p>
    <w:p w14:paraId="7B0A095B">
      <w:pPr>
        <w:pStyle w:val="56"/>
        <w:ind w:left="0"/>
        <w:outlineLvl w:val="0"/>
        <w:rPr>
          <w:rFonts w:ascii="Times New Roman"/>
          <w:color w:val="auto"/>
          <w:highlight w:val="none"/>
        </w:rPr>
      </w:pPr>
      <w:bookmarkStart w:id="203" w:name="_Toc8465"/>
      <w:r>
        <w:rPr>
          <w:rFonts w:ascii="Times New Roman"/>
          <w:color w:val="auto"/>
          <w:sz w:val="24"/>
          <w:szCs w:val="24"/>
          <w:highlight w:val="none"/>
        </w:rPr>
        <w:t>附件1营业执照</w:t>
      </w:r>
      <w:bookmarkEnd w:id="201"/>
      <w:bookmarkEnd w:id="202"/>
      <w:bookmarkEnd w:id="203"/>
    </w:p>
    <w:p w14:paraId="5B6D140D">
      <w:pPr>
        <w:jc w:val="center"/>
        <w:rPr>
          <w:color w:val="auto"/>
          <w:highlight w:val="none"/>
        </w:rPr>
      </w:pPr>
    </w:p>
    <w:p w14:paraId="28887FD9">
      <w:pPr>
        <w:pStyle w:val="10"/>
        <w:ind w:firstLine="482"/>
        <w:rPr>
          <w:color w:val="auto"/>
          <w:highlight w:val="none"/>
        </w:rPr>
        <w:sectPr>
          <w:type w:val="continuous"/>
          <w:pgSz w:w="16838" w:h="11906" w:orient="landscape"/>
          <w:pgMar w:top="1417" w:right="1417" w:bottom="1134" w:left="1559" w:header="851" w:footer="992" w:gutter="0"/>
          <w:pgNumType w:fmt="numberInDash"/>
          <w:cols w:space="0" w:num="1"/>
          <w:docGrid w:type="lines" w:linePitch="334" w:charSpace="0"/>
        </w:sectPr>
      </w:pPr>
    </w:p>
    <w:p w14:paraId="69C8E126">
      <w:pPr>
        <w:jc w:val="left"/>
        <w:outlineLvl w:val="0"/>
        <w:rPr>
          <w:b/>
          <w:bCs/>
          <w:color w:val="auto"/>
          <w:highlight w:val="none"/>
        </w:rPr>
      </w:pPr>
      <w:bookmarkStart w:id="204" w:name="_Toc18937"/>
      <w:bookmarkStart w:id="205" w:name="_Toc11951"/>
      <w:bookmarkStart w:id="206" w:name="_Toc24134"/>
      <w:bookmarkStart w:id="207" w:name="_Toc20998"/>
      <w:bookmarkStart w:id="208" w:name="_Toc69"/>
      <w:r>
        <w:rPr>
          <w:b/>
          <w:bCs/>
          <w:color w:val="auto"/>
          <w:highlight w:val="none"/>
        </w:rPr>
        <w:t>附件2 法人身份证复印件</w:t>
      </w:r>
      <w:bookmarkEnd w:id="204"/>
      <w:bookmarkEnd w:id="205"/>
      <w:bookmarkEnd w:id="206"/>
    </w:p>
    <w:p w14:paraId="2E074DBA">
      <w:pPr>
        <w:pStyle w:val="2"/>
        <w:rPr>
          <w:b/>
          <w:bCs/>
          <w:color w:val="auto"/>
          <w:highlight w:val="none"/>
        </w:rPr>
      </w:pPr>
    </w:p>
    <w:p w14:paraId="5AB6ABE5">
      <w:pPr>
        <w:rPr>
          <w:color w:val="auto"/>
          <w:highlight w:val="none"/>
        </w:rPr>
        <w:sectPr>
          <w:pgSz w:w="11906" w:h="16838"/>
          <w:pgMar w:top="1417" w:right="1134" w:bottom="1559" w:left="1417" w:header="851" w:footer="992" w:gutter="0"/>
          <w:pgNumType w:fmt="numberInDash"/>
          <w:cols w:space="0" w:num="1"/>
          <w:docGrid w:type="lines" w:linePitch="334" w:charSpace="0"/>
        </w:sectPr>
      </w:pPr>
    </w:p>
    <w:p w14:paraId="62297771">
      <w:pPr>
        <w:outlineLvl w:val="0"/>
        <w:rPr>
          <w:b/>
          <w:bCs/>
          <w:color w:val="auto"/>
          <w:highlight w:val="none"/>
        </w:rPr>
      </w:pPr>
      <w:bookmarkStart w:id="209" w:name="_Toc31175"/>
      <w:r>
        <w:rPr>
          <w:b/>
          <w:bCs/>
          <w:color w:val="auto"/>
          <w:highlight w:val="none"/>
        </w:rPr>
        <w:t>附件3</w:t>
      </w:r>
      <w:r>
        <w:rPr>
          <w:b/>
          <w:bCs/>
          <w:color w:val="auto"/>
          <w:sz w:val="28"/>
          <w:szCs w:val="28"/>
          <w:highlight w:val="none"/>
        </w:rPr>
        <w:t xml:space="preserve"> </w:t>
      </w:r>
      <w:bookmarkEnd w:id="207"/>
      <w:bookmarkEnd w:id="208"/>
      <w:r>
        <w:rPr>
          <w:rFonts w:hint="eastAsia"/>
          <w:b/>
          <w:bCs/>
          <w:color w:val="auto"/>
          <w:highlight w:val="none"/>
        </w:rPr>
        <w:t>建设用地不动产权证</w:t>
      </w:r>
      <w:bookmarkEnd w:id="209"/>
    </w:p>
    <w:p w14:paraId="6B9FA1AC">
      <w:pPr>
        <w:rPr>
          <w:b/>
          <w:bCs/>
          <w:color w:val="auto"/>
          <w:highlight w:val="none"/>
        </w:rPr>
      </w:pPr>
    </w:p>
    <w:p w14:paraId="76686810">
      <w:pPr>
        <w:pStyle w:val="2"/>
        <w:spacing w:line="240" w:lineRule="auto"/>
        <w:rPr>
          <w:color w:val="auto"/>
          <w:highlight w:val="none"/>
        </w:rPr>
      </w:pPr>
    </w:p>
    <w:p w14:paraId="4DC8361A">
      <w:pPr>
        <w:rPr>
          <w:color w:val="auto"/>
          <w:highlight w:val="none"/>
        </w:rPr>
        <w:sectPr>
          <w:pgSz w:w="16838" w:h="11906" w:orient="landscape"/>
          <w:pgMar w:top="1417" w:right="1417" w:bottom="1134" w:left="1559" w:header="851" w:footer="992" w:gutter="0"/>
          <w:pgNumType w:fmt="numberInDash"/>
          <w:cols w:space="0" w:num="1"/>
          <w:docGrid w:type="lines" w:linePitch="334" w:charSpace="0"/>
        </w:sectPr>
      </w:pPr>
    </w:p>
    <w:p w14:paraId="2EB4826A">
      <w:pPr>
        <w:pStyle w:val="56"/>
        <w:outlineLvl w:val="0"/>
        <w:rPr>
          <w:rFonts w:ascii="Times New Roman" w:cs="Times New Roman"/>
          <w:b/>
          <w:bCs w:val="0"/>
          <w:color w:val="auto"/>
          <w:sz w:val="24"/>
          <w:szCs w:val="24"/>
          <w:highlight w:val="none"/>
        </w:rPr>
      </w:pPr>
      <w:bookmarkStart w:id="210" w:name="_Toc29972"/>
      <w:bookmarkStart w:id="211" w:name="_Toc2034"/>
      <w:r>
        <w:rPr>
          <w:rFonts w:ascii="Times New Roman" w:cs="Times New Roman"/>
          <w:b/>
          <w:bCs w:val="0"/>
          <w:color w:val="auto"/>
          <w:sz w:val="24"/>
          <w:szCs w:val="24"/>
          <w:highlight w:val="none"/>
        </w:rPr>
        <w:t>附件4 备案证</w:t>
      </w:r>
      <w:bookmarkEnd w:id="210"/>
      <w:bookmarkEnd w:id="211"/>
    </w:p>
    <w:p w14:paraId="04FA0468">
      <w:pPr>
        <w:jc w:val="center"/>
        <w:rPr>
          <w:color w:val="auto"/>
          <w:highlight w:val="none"/>
        </w:rPr>
      </w:pPr>
    </w:p>
    <w:p w14:paraId="232E8DA5">
      <w:pPr>
        <w:pStyle w:val="2"/>
        <w:jc w:val="center"/>
        <w:rPr>
          <w:color w:val="auto"/>
          <w:highlight w:val="none"/>
        </w:rPr>
        <w:sectPr>
          <w:pgSz w:w="16838" w:h="11906" w:orient="landscape"/>
          <w:pgMar w:top="1417" w:right="1417" w:bottom="1134" w:left="1559" w:header="851" w:footer="992" w:gutter="0"/>
          <w:pgNumType w:fmt="numberInDash"/>
          <w:cols w:space="0" w:num="1"/>
          <w:docGrid w:type="lines" w:linePitch="334" w:charSpace="0"/>
        </w:sectPr>
      </w:pPr>
    </w:p>
    <w:p w14:paraId="404F9D68">
      <w:pPr>
        <w:pStyle w:val="79"/>
        <w:jc w:val="left"/>
        <w:rPr>
          <w:b/>
          <w:bCs/>
          <w:color w:val="auto"/>
          <w:highlight w:val="none"/>
        </w:rPr>
      </w:pPr>
      <w:bookmarkStart w:id="212" w:name="_Toc3481"/>
      <w:bookmarkStart w:id="213" w:name="_Toc1053"/>
      <w:r>
        <w:rPr>
          <w:rFonts w:hint="eastAsia"/>
          <w:b/>
          <w:bCs/>
          <w:color w:val="auto"/>
          <w:highlight w:val="none"/>
        </w:rPr>
        <w:t>附件5 环境质量现状监测报告（摘录部分）</w:t>
      </w:r>
      <w:bookmarkEnd w:id="212"/>
      <w:bookmarkEnd w:id="213"/>
    </w:p>
    <w:p w14:paraId="7AC75DD7">
      <w:pPr>
        <w:pStyle w:val="56"/>
        <w:jc w:val="left"/>
        <w:rPr>
          <w:color w:val="auto"/>
          <w:highlight w:val="none"/>
        </w:rPr>
      </w:pPr>
    </w:p>
    <w:p w14:paraId="371B946A">
      <w:pPr>
        <w:rPr>
          <w:color w:val="auto"/>
          <w:highlight w:val="none"/>
        </w:rPr>
      </w:pPr>
    </w:p>
    <w:p w14:paraId="740CA5B5">
      <w:pPr>
        <w:pStyle w:val="2"/>
        <w:rPr>
          <w:color w:val="auto"/>
          <w:highlight w:val="none"/>
        </w:rPr>
      </w:pPr>
    </w:p>
    <w:p w14:paraId="28D4098B">
      <w:pPr>
        <w:pStyle w:val="3"/>
        <w:bidi w:val="0"/>
        <w:rPr>
          <w:color w:val="auto"/>
          <w:highlight w:val="none"/>
        </w:rPr>
      </w:pPr>
    </w:p>
    <w:p w14:paraId="6E69A91A">
      <w:pPr>
        <w:pStyle w:val="79"/>
        <w:jc w:val="left"/>
        <w:rPr>
          <w:rFonts w:hint="eastAsia"/>
          <w:b/>
          <w:bCs/>
          <w:color w:val="auto"/>
          <w:highlight w:val="none"/>
          <w:lang w:val="en-US" w:eastAsia="zh-CN"/>
        </w:rPr>
      </w:pPr>
      <w:bookmarkStart w:id="214" w:name="_Toc20520"/>
      <w:r>
        <w:rPr>
          <w:rFonts w:hint="eastAsia"/>
          <w:b/>
          <w:bCs/>
          <w:color w:val="auto"/>
          <w:highlight w:val="none"/>
          <w:lang w:val="en-US" w:eastAsia="zh-CN"/>
        </w:rPr>
        <w:t>附件6  环评批复</w:t>
      </w:r>
      <w:bookmarkEnd w:id="214"/>
    </w:p>
    <w:p w14:paraId="2B0522D0">
      <w:pPr>
        <w:pStyle w:val="79"/>
        <w:jc w:val="left"/>
        <w:outlineLvl w:val="9"/>
        <w:rPr>
          <w:rFonts w:hint="eastAsia"/>
          <w:b/>
          <w:bCs/>
          <w:color w:val="auto"/>
          <w:highlight w:val="none"/>
          <w:lang w:val="en-US" w:eastAsia="zh-CN"/>
        </w:rPr>
      </w:pPr>
    </w:p>
    <w:p w14:paraId="6D233464">
      <w:pPr>
        <w:rPr>
          <w:color w:val="auto"/>
          <w:highlight w:val="none"/>
        </w:rPr>
      </w:pPr>
      <w:r>
        <w:rPr>
          <w:color w:val="auto"/>
          <w:highlight w:val="none"/>
        </w:rPr>
        <w:br w:type="page"/>
      </w:r>
    </w:p>
    <w:p w14:paraId="0E53B3FF">
      <w:pPr>
        <w:pStyle w:val="2"/>
        <w:rPr>
          <w:color w:val="auto"/>
          <w:highlight w:val="none"/>
        </w:rPr>
        <w:sectPr>
          <w:pgSz w:w="11906" w:h="16838"/>
          <w:pgMar w:top="1440" w:right="1417" w:bottom="1440" w:left="1417" w:header="851" w:footer="680" w:gutter="0"/>
          <w:pgNumType w:fmt="numberInDash"/>
          <w:cols w:space="720" w:num="1"/>
          <w:docGrid w:type="linesAndChars" w:linePitch="312" w:charSpace="0"/>
        </w:sectPr>
      </w:pPr>
      <w:bookmarkStart w:id="215" w:name="_Toc7215"/>
    </w:p>
    <w:bookmarkEnd w:id="215"/>
    <w:p w14:paraId="07A97A1D">
      <w:pPr>
        <w:jc w:val="center"/>
        <w:outlineLvl w:val="0"/>
        <w:rPr>
          <w:rFonts w:eastAsia="黑体"/>
          <w:b/>
          <w:bCs/>
          <w:color w:val="auto"/>
          <w:sz w:val="40"/>
          <w:szCs w:val="40"/>
          <w:highlight w:val="none"/>
        </w:rPr>
      </w:pPr>
      <w:bookmarkStart w:id="216" w:name="_Toc19653"/>
      <w:bookmarkStart w:id="217" w:name="_Toc19831"/>
      <w:bookmarkStart w:id="218" w:name="_Toc12194"/>
      <w:r>
        <w:rPr>
          <w:rFonts w:eastAsia="黑体"/>
          <w:b/>
          <w:bCs/>
          <w:color w:val="auto"/>
          <w:sz w:val="40"/>
          <w:szCs w:val="40"/>
          <w:highlight w:val="none"/>
        </w:rPr>
        <w:t>建设项目污染物排放量汇总表</w:t>
      </w:r>
      <w:bookmarkEnd w:id="216"/>
      <w:bookmarkEnd w:id="217"/>
      <w:bookmarkEnd w:id="218"/>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203"/>
        <w:gridCol w:w="1386"/>
        <w:gridCol w:w="1562"/>
        <w:gridCol w:w="1479"/>
        <w:gridCol w:w="1651"/>
        <w:gridCol w:w="1564"/>
        <w:gridCol w:w="1720"/>
        <w:gridCol w:w="1407"/>
      </w:tblGrid>
      <w:tr w14:paraId="0E80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tcBorders>
              <w:tl2br w:val="single" w:color="auto" w:sz="4" w:space="0"/>
            </w:tcBorders>
            <w:vAlign w:val="center"/>
          </w:tcPr>
          <w:p w14:paraId="5733ACC0">
            <w:pPr>
              <w:spacing w:line="240" w:lineRule="auto"/>
              <w:jc w:val="right"/>
              <w:rPr>
                <w:rFonts w:eastAsia="黑体"/>
                <w:b/>
                <w:bCs/>
                <w:color w:val="auto"/>
                <w:sz w:val="21"/>
                <w:szCs w:val="21"/>
                <w:highlight w:val="none"/>
              </w:rPr>
            </w:pPr>
            <w:r>
              <w:rPr>
                <w:rFonts w:eastAsia="黑体"/>
                <w:b/>
                <w:bCs/>
                <w:color w:val="auto"/>
                <w:sz w:val="21"/>
                <w:szCs w:val="21"/>
                <w:highlight w:val="none"/>
              </w:rPr>
              <w:t>项目</w:t>
            </w:r>
          </w:p>
          <w:p w14:paraId="564FF2B8">
            <w:pPr>
              <w:spacing w:line="240" w:lineRule="auto"/>
              <w:rPr>
                <w:b/>
                <w:bCs/>
                <w:color w:val="auto"/>
                <w:sz w:val="21"/>
                <w:szCs w:val="21"/>
                <w:highlight w:val="none"/>
              </w:rPr>
            </w:pPr>
            <w:r>
              <w:rPr>
                <w:rFonts w:eastAsia="黑体"/>
                <w:b/>
                <w:bCs/>
                <w:color w:val="auto"/>
                <w:sz w:val="21"/>
                <w:szCs w:val="21"/>
                <w:highlight w:val="none"/>
              </w:rPr>
              <w:t>分类</w:t>
            </w:r>
          </w:p>
        </w:tc>
        <w:tc>
          <w:tcPr>
            <w:tcW w:w="2203" w:type="dxa"/>
            <w:vAlign w:val="center"/>
          </w:tcPr>
          <w:p w14:paraId="14B0AFF1">
            <w:pPr>
              <w:spacing w:line="240" w:lineRule="auto"/>
              <w:jc w:val="center"/>
              <w:rPr>
                <w:rFonts w:eastAsia="黑体"/>
                <w:b/>
                <w:bCs/>
                <w:color w:val="auto"/>
                <w:sz w:val="21"/>
                <w:szCs w:val="21"/>
                <w:highlight w:val="none"/>
              </w:rPr>
            </w:pPr>
            <w:r>
              <w:rPr>
                <w:rFonts w:eastAsia="黑体"/>
                <w:b/>
                <w:bCs/>
                <w:color w:val="auto"/>
                <w:sz w:val="21"/>
                <w:szCs w:val="21"/>
                <w:highlight w:val="none"/>
              </w:rPr>
              <w:t>污染物名称</w:t>
            </w:r>
          </w:p>
        </w:tc>
        <w:tc>
          <w:tcPr>
            <w:tcW w:w="1386" w:type="dxa"/>
            <w:vAlign w:val="center"/>
          </w:tcPr>
          <w:p w14:paraId="4F16CEDF">
            <w:pPr>
              <w:spacing w:line="240" w:lineRule="auto"/>
              <w:jc w:val="center"/>
              <w:rPr>
                <w:rFonts w:eastAsia="黑体"/>
                <w:b/>
                <w:bCs/>
                <w:color w:val="auto"/>
                <w:sz w:val="21"/>
                <w:szCs w:val="21"/>
                <w:highlight w:val="none"/>
              </w:rPr>
            </w:pPr>
            <w:r>
              <w:rPr>
                <w:rFonts w:eastAsia="黑体"/>
                <w:b/>
                <w:bCs/>
                <w:color w:val="auto"/>
                <w:sz w:val="21"/>
                <w:szCs w:val="21"/>
                <w:highlight w:val="none"/>
              </w:rPr>
              <w:t>现有工程排放量（固体废物产生量）①</w:t>
            </w:r>
          </w:p>
        </w:tc>
        <w:tc>
          <w:tcPr>
            <w:tcW w:w="1562" w:type="dxa"/>
            <w:vAlign w:val="center"/>
          </w:tcPr>
          <w:p w14:paraId="5720BB45">
            <w:pPr>
              <w:spacing w:line="240" w:lineRule="auto"/>
              <w:jc w:val="center"/>
              <w:rPr>
                <w:rFonts w:eastAsia="黑体"/>
                <w:b/>
                <w:bCs/>
                <w:color w:val="auto"/>
                <w:sz w:val="21"/>
                <w:szCs w:val="21"/>
                <w:highlight w:val="none"/>
              </w:rPr>
            </w:pPr>
            <w:r>
              <w:rPr>
                <w:rFonts w:eastAsia="黑体"/>
                <w:b/>
                <w:bCs/>
                <w:color w:val="auto"/>
                <w:sz w:val="21"/>
                <w:szCs w:val="21"/>
                <w:highlight w:val="none"/>
              </w:rPr>
              <w:t>现有工程排污许可排放量②</w:t>
            </w:r>
          </w:p>
        </w:tc>
        <w:tc>
          <w:tcPr>
            <w:tcW w:w="1479" w:type="dxa"/>
            <w:vAlign w:val="center"/>
          </w:tcPr>
          <w:p w14:paraId="6177C658">
            <w:pPr>
              <w:spacing w:line="240" w:lineRule="auto"/>
              <w:jc w:val="center"/>
              <w:rPr>
                <w:rFonts w:eastAsia="黑体"/>
                <w:b/>
                <w:bCs/>
                <w:color w:val="auto"/>
                <w:sz w:val="21"/>
                <w:szCs w:val="21"/>
                <w:highlight w:val="none"/>
              </w:rPr>
            </w:pPr>
            <w:r>
              <w:rPr>
                <w:rFonts w:eastAsia="黑体"/>
                <w:b/>
                <w:bCs/>
                <w:color w:val="auto"/>
                <w:sz w:val="21"/>
                <w:szCs w:val="21"/>
                <w:highlight w:val="none"/>
              </w:rPr>
              <w:t>在建工程排放量（固体废物产生量）③</w:t>
            </w:r>
          </w:p>
        </w:tc>
        <w:tc>
          <w:tcPr>
            <w:tcW w:w="1651" w:type="dxa"/>
            <w:vAlign w:val="center"/>
          </w:tcPr>
          <w:p w14:paraId="504D939A">
            <w:pPr>
              <w:spacing w:line="240" w:lineRule="auto"/>
              <w:jc w:val="center"/>
              <w:rPr>
                <w:rFonts w:eastAsia="黑体"/>
                <w:b/>
                <w:bCs/>
                <w:color w:val="auto"/>
                <w:sz w:val="21"/>
                <w:szCs w:val="21"/>
                <w:highlight w:val="none"/>
              </w:rPr>
            </w:pPr>
            <w:r>
              <w:rPr>
                <w:rFonts w:eastAsia="黑体"/>
                <w:b/>
                <w:bCs/>
                <w:color w:val="auto"/>
                <w:sz w:val="21"/>
                <w:szCs w:val="21"/>
                <w:highlight w:val="none"/>
              </w:rPr>
              <w:t>本项目排放量（固体废物产生量）④</w:t>
            </w:r>
          </w:p>
        </w:tc>
        <w:tc>
          <w:tcPr>
            <w:tcW w:w="1564" w:type="dxa"/>
            <w:vAlign w:val="center"/>
          </w:tcPr>
          <w:p w14:paraId="1AA9015E">
            <w:pPr>
              <w:spacing w:line="240" w:lineRule="auto"/>
              <w:jc w:val="center"/>
              <w:rPr>
                <w:rFonts w:eastAsia="黑体"/>
                <w:b/>
                <w:bCs/>
                <w:color w:val="auto"/>
                <w:sz w:val="21"/>
                <w:szCs w:val="21"/>
                <w:highlight w:val="none"/>
              </w:rPr>
            </w:pPr>
            <w:r>
              <w:rPr>
                <w:rFonts w:eastAsia="黑体"/>
                <w:b/>
                <w:bCs/>
                <w:color w:val="auto"/>
                <w:sz w:val="21"/>
                <w:szCs w:val="21"/>
                <w:highlight w:val="none"/>
              </w:rPr>
              <w:t>以新带老削减量（新建项目不填）⑤</w:t>
            </w:r>
          </w:p>
        </w:tc>
        <w:tc>
          <w:tcPr>
            <w:tcW w:w="1720" w:type="dxa"/>
            <w:vAlign w:val="center"/>
          </w:tcPr>
          <w:p w14:paraId="2433B6E3">
            <w:pPr>
              <w:spacing w:line="240" w:lineRule="auto"/>
              <w:jc w:val="center"/>
              <w:rPr>
                <w:rFonts w:eastAsia="黑体"/>
                <w:b/>
                <w:bCs/>
                <w:color w:val="auto"/>
                <w:sz w:val="21"/>
                <w:szCs w:val="21"/>
                <w:highlight w:val="none"/>
              </w:rPr>
            </w:pPr>
            <w:r>
              <w:rPr>
                <w:rFonts w:eastAsia="黑体"/>
                <w:b/>
                <w:bCs/>
                <w:color w:val="auto"/>
                <w:sz w:val="21"/>
                <w:szCs w:val="21"/>
                <w:highlight w:val="none"/>
              </w:rPr>
              <w:t>本项目建成后全厂排放量（固体废物产生量）⑥</w:t>
            </w:r>
          </w:p>
        </w:tc>
        <w:tc>
          <w:tcPr>
            <w:tcW w:w="1407" w:type="dxa"/>
            <w:vAlign w:val="center"/>
          </w:tcPr>
          <w:p w14:paraId="218B05B5">
            <w:pPr>
              <w:spacing w:line="240" w:lineRule="auto"/>
              <w:jc w:val="center"/>
              <w:rPr>
                <w:rFonts w:eastAsia="黑体"/>
                <w:b/>
                <w:bCs/>
                <w:color w:val="auto"/>
                <w:sz w:val="21"/>
                <w:szCs w:val="21"/>
                <w:highlight w:val="none"/>
              </w:rPr>
            </w:pPr>
            <w:r>
              <w:rPr>
                <w:rFonts w:eastAsia="黑体"/>
                <w:b/>
                <w:bCs/>
                <w:color w:val="auto"/>
                <w:sz w:val="21"/>
                <w:szCs w:val="21"/>
                <w:highlight w:val="none"/>
              </w:rPr>
              <w:t>变化量⑦</w:t>
            </w:r>
          </w:p>
        </w:tc>
      </w:tr>
      <w:tr w14:paraId="78EF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06" w:type="dxa"/>
            <w:vMerge w:val="restart"/>
            <w:vAlign w:val="center"/>
          </w:tcPr>
          <w:p w14:paraId="4273E29C">
            <w:pPr>
              <w:spacing w:line="240" w:lineRule="auto"/>
              <w:jc w:val="center"/>
              <w:rPr>
                <w:color w:val="auto"/>
                <w:sz w:val="21"/>
                <w:szCs w:val="21"/>
                <w:highlight w:val="none"/>
              </w:rPr>
            </w:pPr>
            <w:r>
              <w:rPr>
                <w:color w:val="auto"/>
                <w:sz w:val="21"/>
                <w:szCs w:val="21"/>
                <w:highlight w:val="none"/>
              </w:rPr>
              <w:t>废水</w:t>
            </w:r>
          </w:p>
        </w:tc>
        <w:tc>
          <w:tcPr>
            <w:tcW w:w="2203" w:type="dxa"/>
            <w:vAlign w:val="center"/>
          </w:tcPr>
          <w:p w14:paraId="6D6AB1CC">
            <w:pPr>
              <w:spacing w:line="240" w:lineRule="auto"/>
              <w:jc w:val="center"/>
              <w:rPr>
                <w:color w:val="auto"/>
                <w:sz w:val="21"/>
                <w:szCs w:val="21"/>
                <w:highlight w:val="none"/>
              </w:rPr>
            </w:pPr>
            <w:r>
              <w:rPr>
                <w:color w:val="auto"/>
                <w:sz w:val="21"/>
                <w:szCs w:val="21"/>
                <w:highlight w:val="none"/>
              </w:rPr>
              <w:t>废水量</w:t>
            </w:r>
            <w:r>
              <w:rPr>
                <w:color w:val="auto"/>
                <w:kern w:val="0"/>
                <w:sz w:val="21"/>
                <w:szCs w:val="21"/>
                <w:highlight w:val="none"/>
              </w:rPr>
              <w:t>（万t/a）</w:t>
            </w:r>
          </w:p>
        </w:tc>
        <w:tc>
          <w:tcPr>
            <w:tcW w:w="1386" w:type="dxa"/>
            <w:vAlign w:val="center"/>
          </w:tcPr>
          <w:p w14:paraId="5BE6958B">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65602BEE">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68458312">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746AB2F3">
            <w:pPr>
              <w:widowControl/>
              <w:jc w:val="center"/>
              <w:textAlignment w:val="center"/>
              <w:rPr>
                <w:color w:val="auto"/>
                <w:sz w:val="21"/>
                <w:szCs w:val="21"/>
                <w:highlight w:val="none"/>
              </w:rPr>
            </w:pPr>
            <w:r>
              <w:rPr>
                <w:rFonts w:hint="eastAsia"/>
                <w:color w:val="auto"/>
                <w:kern w:val="0"/>
                <w:sz w:val="21"/>
                <w:szCs w:val="21"/>
                <w:highlight w:val="none"/>
              </w:rPr>
              <w:t>0.64</w:t>
            </w:r>
          </w:p>
        </w:tc>
        <w:tc>
          <w:tcPr>
            <w:tcW w:w="1564" w:type="dxa"/>
            <w:vAlign w:val="center"/>
          </w:tcPr>
          <w:p w14:paraId="1DD48713">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11D15CD2">
            <w:pPr>
              <w:widowControl/>
              <w:jc w:val="center"/>
              <w:textAlignment w:val="center"/>
              <w:rPr>
                <w:color w:val="auto"/>
                <w:sz w:val="21"/>
                <w:szCs w:val="21"/>
                <w:highlight w:val="none"/>
              </w:rPr>
            </w:pPr>
            <w:r>
              <w:rPr>
                <w:rFonts w:hint="eastAsia"/>
                <w:color w:val="auto"/>
                <w:kern w:val="0"/>
                <w:sz w:val="21"/>
                <w:szCs w:val="21"/>
                <w:highlight w:val="none"/>
              </w:rPr>
              <w:t>0.64</w:t>
            </w:r>
          </w:p>
        </w:tc>
        <w:tc>
          <w:tcPr>
            <w:tcW w:w="1407" w:type="dxa"/>
            <w:shd w:val="clear" w:color="auto" w:fill="auto"/>
            <w:vAlign w:val="center"/>
          </w:tcPr>
          <w:p w14:paraId="571D041C">
            <w:pPr>
              <w:widowControl/>
              <w:jc w:val="center"/>
              <w:textAlignment w:val="center"/>
              <w:rPr>
                <w:color w:val="auto"/>
                <w:sz w:val="21"/>
                <w:szCs w:val="21"/>
                <w:highlight w:val="none"/>
              </w:rPr>
            </w:pPr>
            <w:r>
              <w:rPr>
                <w:rFonts w:hint="eastAsia"/>
                <w:color w:val="auto"/>
                <w:kern w:val="0"/>
                <w:sz w:val="21"/>
                <w:szCs w:val="21"/>
                <w:highlight w:val="none"/>
              </w:rPr>
              <w:t>+0.64</w:t>
            </w:r>
          </w:p>
        </w:tc>
      </w:tr>
      <w:tr w14:paraId="0E84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15B644E2">
            <w:pPr>
              <w:spacing w:line="240" w:lineRule="auto"/>
              <w:jc w:val="center"/>
              <w:rPr>
                <w:color w:val="auto"/>
                <w:sz w:val="21"/>
                <w:szCs w:val="21"/>
                <w:highlight w:val="none"/>
              </w:rPr>
            </w:pPr>
          </w:p>
        </w:tc>
        <w:tc>
          <w:tcPr>
            <w:tcW w:w="2203" w:type="dxa"/>
            <w:vAlign w:val="center"/>
          </w:tcPr>
          <w:p w14:paraId="7F661F13">
            <w:pPr>
              <w:widowControl/>
              <w:spacing w:line="240" w:lineRule="auto"/>
              <w:jc w:val="center"/>
              <w:textAlignment w:val="center"/>
              <w:rPr>
                <w:color w:val="auto"/>
                <w:sz w:val="21"/>
                <w:szCs w:val="21"/>
                <w:highlight w:val="none"/>
              </w:rPr>
            </w:pPr>
            <w:r>
              <w:rPr>
                <w:color w:val="auto"/>
                <w:kern w:val="0"/>
                <w:sz w:val="21"/>
                <w:szCs w:val="21"/>
                <w:highlight w:val="none"/>
              </w:rPr>
              <w:t>COD</w:t>
            </w:r>
            <w:r>
              <w:rPr>
                <w:color w:val="auto"/>
                <w:kern w:val="0"/>
                <w:sz w:val="21"/>
                <w:szCs w:val="21"/>
                <w:highlight w:val="none"/>
                <w:vertAlign w:val="subscript"/>
              </w:rPr>
              <w:t>Cr</w:t>
            </w:r>
            <w:r>
              <w:rPr>
                <w:color w:val="auto"/>
                <w:kern w:val="0"/>
                <w:sz w:val="21"/>
                <w:szCs w:val="21"/>
                <w:highlight w:val="none"/>
              </w:rPr>
              <w:t>（t/a）</w:t>
            </w:r>
          </w:p>
        </w:tc>
        <w:tc>
          <w:tcPr>
            <w:tcW w:w="1386" w:type="dxa"/>
            <w:vAlign w:val="center"/>
          </w:tcPr>
          <w:p w14:paraId="40EFE337">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6A9E17F3">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1A237285">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4673CD1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0.778 </w:t>
            </w:r>
          </w:p>
        </w:tc>
        <w:tc>
          <w:tcPr>
            <w:tcW w:w="1564" w:type="dxa"/>
            <w:vAlign w:val="center"/>
          </w:tcPr>
          <w:p w14:paraId="7D148332">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72002E9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0.778 </w:t>
            </w:r>
          </w:p>
        </w:tc>
        <w:tc>
          <w:tcPr>
            <w:tcW w:w="1407" w:type="dxa"/>
            <w:shd w:val="clear" w:color="auto" w:fill="auto"/>
            <w:vAlign w:val="center"/>
          </w:tcPr>
          <w:p w14:paraId="55E7763A">
            <w:pPr>
              <w:keepNext w:val="0"/>
              <w:keepLines w:val="0"/>
              <w:widowControl/>
              <w:suppressLineNumbers w:val="0"/>
              <w:jc w:val="center"/>
              <w:textAlignment w:val="center"/>
              <w:rPr>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0.778 </w:t>
            </w:r>
          </w:p>
        </w:tc>
      </w:tr>
      <w:tr w14:paraId="3DA6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5BE6BEAC">
            <w:pPr>
              <w:spacing w:line="240" w:lineRule="auto"/>
              <w:jc w:val="center"/>
              <w:rPr>
                <w:color w:val="auto"/>
                <w:sz w:val="21"/>
                <w:szCs w:val="21"/>
                <w:highlight w:val="none"/>
              </w:rPr>
            </w:pPr>
          </w:p>
        </w:tc>
        <w:tc>
          <w:tcPr>
            <w:tcW w:w="2203" w:type="dxa"/>
            <w:vAlign w:val="center"/>
          </w:tcPr>
          <w:p w14:paraId="5FE80348">
            <w:pPr>
              <w:widowControl/>
              <w:spacing w:line="240" w:lineRule="auto"/>
              <w:jc w:val="center"/>
              <w:textAlignment w:val="center"/>
              <w:rPr>
                <w:color w:val="auto"/>
                <w:sz w:val="21"/>
                <w:szCs w:val="21"/>
                <w:highlight w:val="none"/>
              </w:rPr>
            </w:pPr>
            <w:r>
              <w:rPr>
                <w:color w:val="auto"/>
                <w:kern w:val="0"/>
                <w:sz w:val="21"/>
                <w:szCs w:val="21"/>
                <w:highlight w:val="none"/>
              </w:rPr>
              <w:t>BOD</w:t>
            </w:r>
            <w:r>
              <w:rPr>
                <w:color w:val="auto"/>
                <w:kern w:val="0"/>
                <w:sz w:val="21"/>
                <w:szCs w:val="21"/>
                <w:highlight w:val="none"/>
                <w:vertAlign w:val="subscript"/>
              </w:rPr>
              <w:t>5</w:t>
            </w:r>
            <w:r>
              <w:rPr>
                <w:color w:val="auto"/>
                <w:kern w:val="0"/>
                <w:sz w:val="21"/>
                <w:szCs w:val="21"/>
                <w:highlight w:val="none"/>
              </w:rPr>
              <w:t>（t/a）</w:t>
            </w:r>
          </w:p>
        </w:tc>
        <w:tc>
          <w:tcPr>
            <w:tcW w:w="1386" w:type="dxa"/>
            <w:vAlign w:val="center"/>
          </w:tcPr>
          <w:p w14:paraId="0309AE0A">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3B611690">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1F1A012C">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03F95FD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0.509 </w:t>
            </w:r>
          </w:p>
        </w:tc>
        <w:tc>
          <w:tcPr>
            <w:tcW w:w="1564" w:type="dxa"/>
            <w:vAlign w:val="center"/>
          </w:tcPr>
          <w:p w14:paraId="592BAB69">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1ABEA9F2">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0.509 </w:t>
            </w:r>
          </w:p>
        </w:tc>
        <w:tc>
          <w:tcPr>
            <w:tcW w:w="1407" w:type="dxa"/>
            <w:shd w:val="clear" w:color="auto" w:fill="auto"/>
            <w:vAlign w:val="center"/>
          </w:tcPr>
          <w:p w14:paraId="247D177D">
            <w:pPr>
              <w:keepNext w:val="0"/>
              <w:keepLines w:val="0"/>
              <w:widowControl/>
              <w:suppressLineNumbers w:val="0"/>
              <w:jc w:val="center"/>
              <w:textAlignment w:val="center"/>
              <w:rPr>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0.509 </w:t>
            </w:r>
          </w:p>
        </w:tc>
      </w:tr>
      <w:tr w14:paraId="456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4A3800DB">
            <w:pPr>
              <w:spacing w:line="240" w:lineRule="auto"/>
              <w:jc w:val="center"/>
              <w:rPr>
                <w:color w:val="auto"/>
                <w:sz w:val="21"/>
                <w:szCs w:val="21"/>
                <w:highlight w:val="none"/>
              </w:rPr>
            </w:pPr>
          </w:p>
        </w:tc>
        <w:tc>
          <w:tcPr>
            <w:tcW w:w="2203" w:type="dxa"/>
            <w:shd w:val="clear" w:color="auto" w:fill="auto"/>
            <w:vAlign w:val="center"/>
          </w:tcPr>
          <w:p w14:paraId="414FF1A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SS</w:t>
            </w:r>
            <w:r>
              <w:rPr>
                <w:color w:val="auto"/>
                <w:kern w:val="0"/>
                <w:sz w:val="21"/>
                <w:szCs w:val="21"/>
                <w:highlight w:val="none"/>
              </w:rPr>
              <w:t>（t/a）</w:t>
            </w:r>
          </w:p>
        </w:tc>
        <w:tc>
          <w:tcPr>
            <w:tcW w:w="1386" w:type="dxa"/>
            <w:vAlign w:val="center"/>
          </w:tcPr>
          <w:p w14:paraId="1CEA197C">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52D20F3A">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2A654BF5">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43D9103E">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0.426 </w:t>
            </w:r>
          </w:p>
        </w:tc>
        <w:tc>
          <w:tcPr>
            <w:tcW w:w="1564" w:type="dxa"/>
            <w:vAlign w:val="center"/>
          </w:tcPr>
          <w:p w14:paraId="7C43D9CD">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48AF22E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0.426 </w:t>
            </w:r>
          </w:p>
        </w:tc>
        <w:tc>
          <w:tcPr>
            <w:tcW w:w="1407" w:type="dxa"/>
            <w:shd w:val="clear" w:color="auto" w:fill="auto"/>
            <w:vAlign w:val="center"/>
          </w:tcPr>
          <w:p w14:paraId="26781C55">
            <w:pPr>
              <w:keepNext w:val="0"/>
              <w:keepLines w:val="0"/>
              <w:widowControl/>
              <w:suppressLineNumbers w:val="0"/>
              <w:jc w:val="center"/>
              <w:textAlignment w:val="center"/>
              <w:rPr>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0.426 </w:t>
            </w:r>
          </w:p>
        </w:tc>
      </w:tr>
      <w:tr w14:paraId="46E4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106" w:type="dxa"/>
            <w:vMerge w:val="continue"/>
            <w:vAlign w:val="center"/>
          </w:tcPr>
          <w:p w14:paraId="7D494991">
            <w:pPr>
              <w:spacing w:line="240" w:lineRule="auto"/>
              <w:jc w:val="center"/>
              <w:rPr>
                <w:color w:val="auto"/>
                <w:sz w:val="21"/>
                <w:szCs w:val="21"/>
                <w:highlight w:val="none"/>
              </w:rPr>
            </w:pPr>
          </w:p>
        </w:tc>
        <w:tc>
          <w:tcPr>
            <w:tcW w:w="2203" w:type="dxa"/>
            <w:shd w:val="clear" w:color="auto" w:fill="auto"/>
            <w:vAlign w:val="center"/>
          </w:tcPr>
          <w:p w14:paraId="2C5278BE">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NH</w:t>
            </w:r>
            <w:r>
              <w:rPr>
                <w:rFonts w:hint="default" w:ascii="Times New Roman" w:hAnsi="Times New Roman" w:eastAsia="宋体" w:cs="Times New Roman"/>
                <w:i w:val="0"/>
                <w:iCs w:val="0"/>
                <w:color w:val="auto"/>
                <w:kern w:val="0"/>
                <w:sz w:val="20"/>
                <w:szCs w:val="20"/>
                <w:highlight w:val="none"/>
                <w:u w:val="none"/>
                <w:vertAlign w:val="subscript"/>
                <w:lang w:val="en-US" w:eastAsia="zh-CN" w:bidi="ar"/>
              </w:rPr>
              <w:t>3</w:t>
            </w:r>
            <w:r>
              <w:rPr>
                <w:rFonts w:hint="default" w:ascii="Times New Roman" w:hAnsi="Times New Roman" w:eastAsia="宋体" w:cs="Times New Roman"/>
                <w:i w:val="0"/>
                <w:iCs w:val="0"/>
                <w:color w:val="auto"/>
                <w:kern w:val="0"/>
                <w:sz w:val="20"/>
                <w:szCs w:val="20"/>
                <w:highlight w:val="none"/>
                <w:u w:val="none"/>
                <w:lang w:val="en-US" w:eastAsia="zh-CN" w:bidi="ar"/>
              </w:rPr>
              <w:t>-N</w:t>
            </w:r>
            <w:r>
              <w:rPr>
                <w:color w:val="auto"/>
                <w:kern w:val="0"/>
                <w:sz w:val="21"/>
                <w:szCs w:val="21"/>
                <w:highlight w:val="none"/>
              </w:rPr>
              <w:t>（t/a）</w:t>
            </w:r>
          </w:p>
        </w:tc>
        <w:tc>
          <w:tcPr>
            <w:tcW w:w="1386" w:type="dxa"/>
            <w:vAlign w:val="center"/>
          </w:tcPr>
          <w:p w14:paraId="15789CA4">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0DC6D074">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75880272">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124218D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0.113 </w:t>
            </w:r>
          </w:p>
        </w:tc>
        <w:tc>
          <w:tcPr>
            <w:tcW w:w="1564" w:type="dxa"/>
            <w:vAlign w:val="center"/>
          </w:tcPr>
          <w:p w14:paraId="046BB455">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6B678C98">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0.113 </w:t>
            </w:r>
          </w:p>
        </w:tc>
        <w:tc>
          <w:tcPr>
            <w:tcW w:w="1407" w:type="dxa"/>
            <w:shd w:val="clear" w:color="auto" w:fill="auto"/>
            <w:vAlign w:val="center"/>
          </w:tcPr>
          <w:p w14:paraId="75432340">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0.113 </w:t>
            </w:r>
          </w:p>
        </w:tc>
      </w:tr>
      <w:tr w14:paraId="21F7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3661E324">
            <w:pPr>
              <w:spacing w:line="240" w:lineRule="auto"/>
              <w:jc w:val="center"/>
              <w:rPr>
                <w:color w:val="auto"/>
                <w:sz w:val="21"/>
                <w:szCs w:val="21"/>
                <w:highlight w:val="none"/>
              </w:rPr>
            </w:pPr>
          </w:p>
        </w:tc>
        <w:tc>
          <w:tcPr>
            <w:tcW w:w="2203" w:type="dxa"/>
            <w:shd w:val="clear" w:color="auto" w:fill="auto"/>
            <w:vAlign w:val="center"/>
          </w:tcPr>
          <w:p w14:paraId="24ED08D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总磷</w:t>
            </w:r>
            <w:r>
              <w:rPr>
                <w:color w:val="auto"/>
                <w:kern w:val="0"/>
                <w:sz w:val="21"/>
                <w:szCs w:val="21"/>
                <w:highlight w:val="none"/>
              </w:rPr>
              <w:t>（t/a）</w:t>
            </w:r>
          </w:p>
        </w:tc>
        <w:tc>
          <w:tcPr>
            <w:tcW w:w="1386" w:type="dxa"/>
            <w:vAlign w:val="center"/>
          </w:tcPr>
          <w:p w14:paraId="6E17AF92">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vAlign w:val="center"/>
          </w:tcPr>
          <w:p w14:paraId="76994B2E">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vAlign w:val="center"/>
          </w:tcPr>
          <w:p w14:paraId="1D6DC2BF">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vAlign w:val="center"/>
          </w:tcPr>
          <w:p w14:paraId="1953B5E2">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0.015 </w:t>
            </w:r>
          </w:p>
        </w:tc>
        <w:tc>
          <w:tcPr>
            <w:tcW w:w="1564" w:type="dxa"/>
            <w:vAlign w:val="center"/>
          </w:tcPr>
          <w:p w14:paraId="790D24A6">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vAlign w:val="center"/>
          </w:tcPr>
          <w:p w14:paraId="329771F6">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0.015 </w:t>
            </w:r>
          </w:p>
        </w:tc>
        <w:tc>
          <w:tcPr>
            <w:tcW w:w="1407" w:type="dxa"/>
            <w:shd w:val="clear" w:color="auto" w:fill="auto"/>
            <w:vAlign w:val="center"/>
          </w:tcPr>
          <w:p w14:paraId="15E75888">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0.015 </w:t>
            </w:r>
          </w:p>
        </w:tc>
      </w:tr>
      <w:tr w14:paraId="246E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171D589">
            <w:pPr>
              <w:spacing w:line="240" w:lineRule="auto"/>
              <w:jc w:val="center"/>
              <w:rPr>
                <w:color w:val="auto"/>
                <w:sz w:val="21"/>
                <w:szCs w:val="21"/>
                <w:highlight w:val="none"/>
              </w:rPr>
            </w:pPr>
          </w:p>
        </w:tc>
        <w:tc>
          <w:tcPr>
            <w:tcW w:w="2203" w:type="dxa"/>
            <w:vAlign w:val="center"/>
          </w:tcPr>
          <w:p w14:paraId="2EEC8A8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LAS</w:t>
            </w:r>
            <w:r>
              <w:rPr>
                <w:color w:val="auto"/>
                <w:kern w:val="0"/>
                <w:sz w:val="21"/>
                <w:szCs w:val="21"/>
                <w:highlight w:val="none"/>
              </w:rPr>
              <w:t>（t/a）</w:t>
            </w:r>
          </w:p>
        </w:tc>
        <w:tc>
          <w:tcPr>
            <w:tcW w:w="1386" w:type="dxa"/>
            <w:shd w:val="clear" w:color="auto" w:fill="auto"/>
            <w:vAlign w:val="center"/>
          </w:tcPr>
          <w:p w14:paraId="1BC2D8CC">
            <w:pPr>
              <w:widowControl/>
              <w:jc w:val="center"/>
              <w:textAlignment w:val="center"/>
              <w:rPr>
                <w:color w:val="auto"/>
                <w:sz w:val="21"/>
                <w:szCs w:val="21"/>
                <w:highlight w:val="none"/>
              </w:rPr>
            </w:pPr>
            <w:r>
              <w:rPr>
                <w:color w:val="auto"/>
                <w:kern w:val="0"/>
                <w:sz w:val="21"/>
                <w:szCs w:val="21"/>
                <w:highlight w:val="none"/>
              </w:rPr>
              <w:t>0</w:t>
            </w:r>
          </w:p>
        </w:tc>
        <w:tc>
          <w:tcPr>
            <w:tcW w:w="1562" w:type="dxa"/>
            <w:shd w:val="clear" w:color="auto" w:fill="auto"/>
            <w:vAlign w:val="center"/>
          </w:tcPr>
          <w:p w14:paraId="1A234440">
            <w:pPr>
              <w:widowControl/>
              <w:jc w:val="center"/>
              <w:textAlignment w:val="center"/>
              <w:rPr>
                <w:color w:val="auto"/>
                <w:sz w:val="21"/>
                <w:szCs w:val="21"/>
                <w:highlight w:val="none"/>
              </w:rPr>
            </w:pPr>
            <w:r>
              <w:rPr>
                <w:color w:val="auto"/>
                <w:kern w:val="0"/>
                <w:sz w:val="21"/>
                <w:szCs w:val="21"/>
                <w:highlight w:val="none"/>
              </w:rPr>
              <w:t>0</w:t>
            </w:r>
          </w:p>
        </w:tc>
        <w:tc>
          <w:tcPr>
            <w:tcW w:w="1479" w:type="dxa"/>
            <w:shd w:val="clear" w:color="auto" w:fill="auto"/>
            <w:vAlign w:val="center"/>
          </w:tcPr>
          <w:p w14:paraId="03B41769">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2CE0ECAF">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0.018 </w:t>
            </w:r>
          </w:p>
        </w:tc>
        <w:tc>
          <w:tcPr>
            <w:tcW w:w="1564" w:type="dxa"/>
            <w:vAlign w:val="center"/>
          </w:tcPr>
          <w:p w14:paraId="3B49D3C2">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720" w:type="dxa"/>
            <w:vAlign w:val="center"/>
          </w:tcPr>
          <w:p w14:paraId="76F9488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0.018 </w:t>
            </w:r>
          </w:p>
        </w:tc>
        <w:tc>
          <w:tcPr>
            <w:tcW w:w="1407" w:type="dxa"/>
            <w:shd w:val="clear" w:color="auto" w:fill="auto"/>
            <w:vAlign w:val="center"/>
          </w:tcPr>
          <w:p w14:paraId="361CE3ED">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0.018 </w:t>
            </w:r>
          </w:p>
        </w:tc>
      </w:tr>
      <w:tr w14:paraId="2FEE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5C455BEE">
            <w:pPr>
              <w:spacing w:line="240" w:lineRule="auto"/>
              <w:jc w:val="center"/>
              <w:rPr>
                <w:color w:val="auto"/>
                <w:sz w:val="21"/>
                <w:szCs w:val="21"/>
                <w:highlight w:val="none"/>
              </w:rPr>
            </w:pPr>
          </w:p>
        </w:tc>
        <w:tc>
          <w:tcPr>
            <w:tcW w:w="2203" w:type="dxa"/>
            <w:vAlign w:val="center"/>
          </w:tcPr>
          <w:p w14:paraId="79A8AC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TN</w:t>
            </w:r>
            <w:r>
              <w:rPr>
                <w:color w:val="auto"/>
                <w:kern w:val="0"/>
                <w:sz w:val="21"/>
                <w:szCs w:val="21"/>
                <w:highlight w:val="none"/>
              </w:rPr>
              <w:t>（t/a）</w:t>
            </w:r>
          </w:p>
        </w:tc>
        <w:tc>
          <w:tcPr>
            <w:tcW w:w="1386" w:type="dxa"/>
            <w:shd w:val="clear" w:color="auto" w:fill="auto"/>
            <w:vAlign w:val="center"/>
          </w:tcPr>
          <w:p w14:paraId="00BE132D">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4E895C13">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3936B8C8">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vAlign w:val="center"/>
          </w:tcPr>
          <w:p w14:paraId="1C32B055">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0.175 </w:t>
            </w:r>
          </w:p>
        </w:tc>
        <w:tc>
          <w:tcPr>
            <w:tcW w:w="1564" w:type="dxa"/>
            <w:vAlign w:val="center"/>
          </w:tcPr>
          <w:p w14:paraId="7DF12F38">
            <w:pPr>
              <w:widowControl/>
              <w:jc w:val="center"/>
              <w:textAlignment w:val="center"/>
              <w:rPr>
                <w:rFonts w:hint="eastAsia"/>
                <w:color w:val="auto"/>
                <w:kern w:val="0"/>
                <w:sz w:val="21"/>
                <w:szCs w:val="21"/>
                <w:highlight w:val="none"/>
              </w:rPr>
            </w:pPr>
            <w:r>
              <w:rPr>
                <w:color w:val="auto"/>
                <w:kern w:val="0"/>
                <w:sz w:val="21"/>
                <w:szCs w:val="21"/>
                <w:highlight w:val="none"/>
              </w:rPr>
              <w:t>0</w:t>
            </w:r>
          </w:p>
        </w:tc>
        <w:tc>
          <w:tcPr>
            <w:tcW w:w="1720" w:type="dxa"/>
            <w:vAlign w:val="center"/>
          </w:tcPr>
          <w:p w14:paraId="30DA9EC1">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0.175 </w:t>
            </w:r>
          </w:p>
        </w:tc>
        <w:tc>
          <w:tcPr>
            <w:tcW w:w="1407" w:type="dxa"/>
            <w:shd w:val="clear" w:color="auto" w:fill="auto"/>
            <w:vAlign w:val="center"/>
          </w:tcPr>
          <w:p w14:paraId="685E9622">
            <w:pPr>
              <w:keepNext w:val="0"/>
              <w:keepLines w:val="0"/>
              <w:widowControl/>
              <w:suppressLineNumbers w:val="0"/>
              <w:jc w:val="center"/>
              <w:textAlignment w:val="center"/>
              <w:rPr>
                <w:rFonts w:hint="eastAsia"/>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0.175 </w:t>
            </w:r>
          </w:p>
        </w:tc>
      </w:tr>
      <w:tr w14:paraId="3E15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64D073A8">
            <w:pPr>
              <w:spacing w:line="240" w:lineRule="auto"/>
              <w:jc w:val="center"/>
              <w:rPr>
                <w:color w:val="auto"/>
                <w:sz w:val="21"/>
                <w:szCs w:val="21"/>
                <w:highlight w:val="none"/>
              </w:rPr>
            </w:pPr>
          </w:p>
        </w:tc>
        <w:tc>
          <w:tcPr>
            <w:tcW w:w="2203" w:type="dxa"/>
            <w:vAlign w:val="center"/>
          </w:tcPr>
          <w:p w14:paraId="4C8205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动植物油</w:t>
            </w:r>
            <w:r>
              <w:rPr>
                <w:color w:val="auto"/>
                <w:kern w:val="0"/>
                <w:sz w:val="21"/>
                <w:szCs w:val="21"/>
                <w:highlight w:val="none"/>
              </w:rPr>
              <w:t>（t/a）</w:t>
            </w:r>
          </w:p>
        </w:tc>
        <w:tc>
          <w:tcPr>
            <w:tcW w:w="1386" w:type="dxa"/>
            <w:shd w:val="clear" w:color="auto" w:fill="auto"/>
            <w:vAlign w:val="center"/>
          </w:tcPr>
          <w:p w14:paraId="25C9D734">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621EA4C5">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0022AB60">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vAlign w:val="center"/>
          </w:tcPr>
          <w:p w14:paraId="574FA08E">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0.068 </w:t>
            </w:r>
          </w:p>
        </w:tc>
        <w:tc>
          <w:tcPr>
            <w:tcW w:w="1564" w:type="dxa"/>
            <w:vAlign w:val="center"/>
          </w:tcPr>
          <w:p w14:paraId="6C291BC7">
            <w:pPr>
              <w:widowControl/>
              <w:jc w:val="center"/>
              <w:textAlignment w:val="center"/>
              <w:rPr>
                <w:rFonts w:hint="eastAsia"/>
                <w:color w:val="auto"/>
                <w:kern w:val="0"/>
                <w:sz w:val="21"/>
                <w:szCs w:val="21"/>
                <w:highlight w:val="none"/>
              </w:rPr>
            </w:pPr>
            <w:r>
              <w:rPr>
                <w:color w:val="auto"/>
                <w:kern w:val="0"/>
                <w:sz w:val="21"/>
                <w:szCs w:val="21"/>
                <w:highlight w:val="none"/>
              </w:rPr>
              <w:t>0</w:t>
            </w:r>
          </w:p>
        </w:tc>
        <w:tc>
          <w:tcPr>
            <w:tcW w:w="1720" w:type="dxa"/>
            <w:vAlign w:val="center"/>
          </w:tcPr>
          <w:p w14:paraId="7739396A">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0.068 </w:t>
            </w:r>
          </w:p>
        </w:tc>
        <w:tc>
          <w:tcPr>
            <w:tcW w:w="1407" w:type="dxa"/>
            <w:shd w:val="clear" w:color="auto" w:fill="auto"/>
            <w:vAlign w:val="center"/>
          </w:tcPr>
          <w:p w14:paraId="3E38A66A">
            <w:pPr>
              <w:keepNext w:val="0"/>
              <w:keepLines w:val="0"/>
              <w:widowControl/>
              <w:suppressLineNumbers w:val="0"/>
              <w:jc w:val="center"/>
              <w:textAlignment w:val="center"/>
              <w:rPr>
                <w:rFonts w:hint="eastAsia"/>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0.068 </w:t>
            </w:r>
          </w:p>
        </w:tc>
      </w:tr>
      <w:tr w14:paraId="665C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3442F75B">
            <w:pPr>
              <w:spacing w:line="240" w:lineRule="auto"/>
              <w:jc w:val="center"/>
              <w:rPr>
                <w:color w:val="auto"/>
                <w:sz w:val="21"/>
                <w:szCs w:val="21"/>
                <w:highlight w:val="none"/>
              </w:rPr>
            </w:pPr>
          </w:p>
        </w:tc>
        <w:tc>
          <w:tcPr>
            <w:tcW w:w="2203" w:type="dxa"/>
            <w:vAlign w:val="center"/>
          </w:tcPr>
          <w:p w14:paraId="0C0EDFF6">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0"/>
                <w:szCs w:val="20"/>
                <w:highlight w:val="none"/>
                <w:u w:val="none"/>
                <w:lang w:val="en-US" w:eastAsia="zh-CN" w:bidi="ar"/>
              </w:rPr>
              <w:t>石油类</w:t>
            </w:r>
            <w:r>
              <w:rPr>
                <w:color w:val="auto"/>
                <w:kern w:val="0"/>
                <w:sz w:val="21"/>
                <w:szCs w:val="21"/>
                <w:highlight w:val="none"/>
              </w:rPr>
              <w:t>（t/a）</w:t>
            </w:r>
          </w:p>
        </w:tc>
        <w:tc>
          <w:tcPr>
            <w:tcW w:w="1386" w:type="dxa"/>
            <w:shd w:val="clear" w:color="auto" w:fill="auto"/>
            <w:vAlign w:val="center"/>
          </w:tcPr>
          <w:p w14:paraId="509488FF">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562" w:type="dxa"/>
            <w:shd w:val="clear" w:color="auto" w:fill="auto"/>
            <w:vAlign w:val="center"/>
          </w:tcPr>
          <w:p w14:paraId="5DC91C9D">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479" w:type="dxa"/>
            <w:shd w:val="clear" w:color="auto" w:fill="auto"/>
            <w:vAlign w:val="center"/>
          </w:tcPr>
          <w:p w14:paraId="1F44DF39">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651" w:type="dxa"/>
            <w:vAlign w:val="center"/>
          </w:tcPr>
          <w:p w14:paraId="50601C0D">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c>
          <w:tcPr>
            <w:tcW w:w="1564" w:type="dxa"/>
            <w:vAlign w:val="center"/>
          </w:tcPr>
          <w:p w14:paraId="640923A8">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720" w:type="dxa"/>
            <w:vAlign w:val="center"/>
          </w:tcPr>
          <w:p w14:paraId="0BAFC18B">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c>
          <w:tcPr>
            <w:tcW w:w="1407" w:type="dxa"/>
            <w:shd w:val="clear" w:color="auto" w:fill="auto"/>
            <w:vAlign w:val="center"/>
          </w:tcPr>
          <w:p w14:paraId="1F4DE994">
            <w:pPr>
              <w:keepNext w:val="0"/>
              <w:keepLines w:val="0"/>
              <w:widowControl/>
              <w:suppressLineNumbers w:val="0"/>
              <w:jc w:val="center"/>
              <w:textAlignment w:val="center"/>
              <w:rPr>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0.003 </w:t>
            </w:r>
          </w:p>
        </w:tc>
      </w:tr>
      <w:tr w14:paraId="1EAA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restart"/>
            <w:vAlign w:val="center"/>
          </w:tcPr>
          <w:p w14:paraId="0639F3EC">
            <w:pPr>
              <w:spacing w:line="240" w:lineRule="auto"/>
              <w:jc w:val="center"/>
              <w:rPr>
                <w:color w:val="auto"/>
                <w:sz w:val="21"/>
                <w:szCs w:val="21"/>
                <w:highlight w:val="none"/>
              </w:rPr>
            </w:pPr>
            <w:r>
              <w:rPr>
                <w:color w:val="auto"/>
                <w:sz w:val="21"/>
                <w:szCs w:val="21"/>
                <w:highlight w:val="none"/>
              </w:rPr>
              <w:t>废气</w:t>
            </w:r>
          </w:p>
        </w:tc>
        <w:tc>
          <w:tcPr>
            <w:tcW w:w="2203" w:type="dxa"/>
            <w:vAlign w:val="center"/>
          </w:tcPr>
          <w:p w14:paraId="5CFE215B">
            <w:pPr>
              <w:widowControl/>
              <w:spacing w:line="240" w:lineRule="auto"/>
              <w:jc w:val="center"/>
              <w:textAlignment w:val="center"/>
              <w:rPr>
                <w:color w:val="auto"/>
                <w:sz w:val="21"/>
                <w:szCs w:val="21"/>
                <w:highlight w:val="none"/>
              </w:rPr>
            </w:pPr>
            <w:r>
              <w:rPr>
                <w:color w:val="auto"/>
                <w:kern w:val="0"/>
                <w:sz w:val="21"/>
                <w:szCs w:val="21"/>
                <w:highlight w:val="none"/>
              </w:rPr>
              <w:t>废气量（万m</w:t>
            </w:r>
            <w:r>
              <w:rPr>
                <w:color w:val="auto"/>
                <w:kern w:val="0"/>
                <w:sz w:val="21"/>
                <w:szCs w:val="21"/>
                <w:highlight w:val="none"/>
                <w:vertAlign w:val="superscript"/>
              </w:rPr>
              <w:t>3</w:t>
            </w:r>
            <w:r>
              <w:rPr>
                <w:color w:val="auto"/>
                <w:kern w:val="0"/>
                <w:sz w:val="21"/>
                <w:szCs w:val="21"/>
                <w:highlight w:val="none"/>
              </w:rPr>
              <w:t>/a）</w:t>
            </w:r>
          </w:p>
        </w:tc>
        <w:tc>
          <w:tcPr>
            <w:tcW w:w="1386" w:type="dxa"/>
            <w:vAlign w:val="center"/>
          </w:tcPr>
          <w:p w14:paraId="50B9AC65">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69E4D259">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638AD37F">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3FFADE1D">
            <w:pPr>
              <w:widowControl/>
              <w:jc w:val="center"/>
              <w:textAlignment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rPr>
              <w:t>55440</w:t>
            </w:r>
          </w:p>
        </w:tc>
        <w:tc>
          <w:tcPr>
            <w:tcW w:w="1564" w:type="dxa"/>
            <w:vAlign w:val="center"/>
          </w:tcPr>
          <w:p w14:paraId="584464F8">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6E2F5E1A">
            <w:pPr>
              <w:widowControl/>
              <w:jc w:val="center"/>
              <w:textAlignment w:val="center"/>
              <w:rPr>
                <w:color w:val="auto"/>
                <w:sz w:val="21"/>
                <w:szCs w:val="21"/>
                <w:highlight w:val="none"/>
              </w:rPr>
            </w:pPr>
            <w:r>
              <w:rPr>
                <w:rFonts w:hint="eastAsia"/>
                <w:color w:val="auto"/>
                <w:kern w:val="0"/>
                <w:sz w:val="21"/>
                <w:szCs w:val="21"/>
                <w:highlight w:val="none"/>
                <w:lang w:val="en-US" w:eastAsia="zh-CN"/>
              </w:rPr>
              <w:t>55440</w:t>
            </w:r>
          </w:p>
        </w:tc>
        <w:tc>
          <w:tcPr>
            <w:tcW w:w="1407" w:type="dxa"/>
            <w:shd w:val="clear" w:color="auto" w:fill="auto"/>
            <w:vAlign w:val="center"/>
          </w:tcPr>
          <w:p w14:paraId="401C7C06">
            <w:pPr>
              <w:widowControl/>
              <w:jc w:val="center"/>
              <w:textAlignment w:val="center"/>
              <w:rPr>
                <w:color w:val="auto"/>
                <w:sz w:val="21"/>
                <w:szCs w:val="21"/>
                <w:highlight w:val="none"/>
              </w:rPr>
            </w:pPr>
            <w:r>
              <w:rPr>
                <w:rFonts w:hint="eastAsia"/>
                <w:color w:val="auto"/>
                <w:kern w:val="0"/>
                <w:sz w:val="21"/>
                <w:szCs w:val="21"/>
                <w:highlight w:val="none"/>
                <w:lang w:val="en-US" w:eastAsia="zh-CN"/>
              </w:rPr>
              <w:t>+55440</w:t>
            </w:r>
          </w:p>
        </w:tc>
      </w:tr>
      <w:tr w14:paraId="61F0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06" w:type="dxa"/>
            <w:vMerge w:val="continue"/>
            <w:vAlign w:val="center"/>
          </w:tcPr>
          <w:p w14:paraId="70DEDEFA">
            <w:pPr>
              <w:spacing w:line="240" w:lineRule="auto"/>
              <w:jc w:val="center"/>
              <w:rPr>
                <w:color w:val="auto"/>
                <w:sz w:val="21"/>
                <w:szCs w:val="21"/>
                <w:highlight w:val="none"/>
              </w:rPr>
            </w:pPr>
          </w:p>
        </w:tc>
        <w:tc>
          <w:tcPr>
            <w:tcW w:w="2203" w:type="dxa"/>
            <w:vAlign w:val="center"/>
          </w:tcPr>
          <w:p w14:paraId="052E255A">
            <w:pPr>
              <w:widowControl/>
              <w:spacing w:line="240" w:lineRule="auto"/>
              <w:jc w:val="center"/>
              <w:textAlignment w:val="center"/>
              <w:rPr>
                <w:color w:val="auto"/>
                <w:sz w:val="21"/>
                <w:szCs w:val="21"/>
                <w:highlight w:val="none"/>
              </w:rPr>
            </w:pPr>
            <w:bookmarkStart w:id="219" w:name="OLE_LINK58" w:colFirst="1" w:colLast="4"/>
            <w:r>
              <w:rPr>
                <w:color w:val="auto"/>
                <w:sz w:val="21"/>
                <w:szCs w:val="21"/>
                <w:highlight w:val="none"/>
              </w:rPr>
              <w:t>颗粒物（t/a）</w:t>
            </w:r>
          </w:p>
        </w:tc>
        <w:tc>
          <w:tcPr>
            <w:tcW w:w="1386" w:type="dxa"/>
            <w:vAlign w:val="center"/>
          </w:tcPr>
          <w:p w14:paraId="57B8AA74">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0924ECE8">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31950A87">
            <w:pPr>
              <w:widowControl/>
              <w:jc w:val="center"/>
              <w:textAlignment w:val="center"/>
              <w:rPr>
                <w:color w:val="auto"/>
                <w:sz w:val="21"/>
                <w:szCs w:val="21"/>
                <w:highlight w:val="none"/>
              </w:rPr>
            </w:pPr>
            <w:r>
              <w:rPr>
                <w:color w:val="auto"/>
                <w:kern w:val="0"/>
                <w:sz w:val="21"/>
                <w:szCs w:val="21"/>
                <w:highlight w:val="none"/>
              </w:rPr>
              <w:t>0</w:t>
            </w:r>
          </w:p>
          <w:bookmarkEnd w:id="219"/>
        </w:tc>
        <w:tc>
          <w:tcPr>
            <w:tcW w:w="1651" w:type="dxa"/>
            <w:vAlign w:val="center"/>
          </w:tcPr>
          <w:p w14:paraId="0B5D0556">
            <w:pPr>
              <w:widowControl/>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2.289</w:t>
            </w:r>
          </w:p>
        </w:tc>
        <w:tc>
          <w:tcPr>
            <w:tcW w:w="1564" w:type="dxa"/>
            <w:vAlign w:val="center"/>
          </w:tcPr>
          <w:p w14:paraId="7BBF6080">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54EFC138">
            <w:pPr>
              <w:widowControl/>
              <w:jc w:val="center"/>
              <w:textAlignment w:val="center"/>
              <w:rPr>
                <w:color w:val="auto"/>
                <w:sz w:val="21"/>
                <w:szCs w:val="21"/>
                <w:highlight w:val="none"/>
              </w:rPr>
            </w:pPr>
            <w:r>
              <w:rPr>
                <w:rFonts w:hint="eastAsia"/>
                <w:color w:val="auto"/>
                <w:sz w:val="21"/>
                <w:szCs w:val="21"/>
                <w:highlight w:val="none"/>
                <w:lang w:val="en-US" w:eastAsia="zh-CN"/>
              </w:rPr>
              <w:t>2.289</w:t>
            </w:r>
          </w:p>
        </w:tc>
        <w:tc>
          <w:tcPr>
            <w:tcW w:w="1407" w:type="dxa"/>
            <w:vAlign w:val="center"/>
          </w:tcPr>
          <w:p w14:paraId="24AB3CBE">
            <w:pPr>
              <w:widowControl/>
              <w:jc w:val="center"/>
              <w:textAlignment w:val="center"/>
              <w:rPr>
                <w:color w:val="auto"/>
                <w:sz w:val="21"/>
                <w:szCs w:val="21"/>
                <w:highlight w:val="none"/>
              </w:rPr>
            </w:pPr>
            <w:r>
              <w:rPr>
                <w:rFonts w:hint="eastAsia"/>
                <w:color w:val="auto"/>
                <w:sz w:val="21"/>
                <w:szCs w:val="21"/>
                <w:highlight w:val="none"/>
                <w:lang w:val="en-US" w:eastAsia="zh-CN"/>
              </w:rPr>
              <w:t>+2.289</w:t>
            </w:r>
          </w:p>
        </w:tc>
      </w:tr>
      <w:tr w14:paraId="3227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8FADF3C">
            <w:pPr>
              <w:spacing w:line="240" w:lineRule="auto"/>
              <w:jc w:val="center"/>
              <w:rPr>
                <w:color w:val="auto"/>
                <w:sz w:val="21"/>
                <w:szCs w:val="21"/>
                <w:highlight w:val="none"/>
              </w:rPr>
            </w:pPr>
          </w:p>
        </w:tc>
        <w:tc>
          <w:tcPr>
            <w:tcW w:w="2203" w:type="dxa"/>
            <w:vAlign w:val="center"/>
          </w:tcPr>
          <w:p w14:paraId="410BBC32">
            <w:pPr>
              <w:widowControl/>
              <w:spacing w:line="240" w:lineRule="auto"/>
              <w:jc w:val="center"/>
              <w:textAlignment w:val="center"/>
              <w:rPr>
                <w:color w:val="auto"/>
                <w:sz w:val="21"/>
                <w:szCs w:val="21"/>
                <w:highlight w:val="none"/>
              </w:rPr>
            </w:pPr>
            <w:r>
              <w:rPr>
                <w:rFonts w:hint="eastAsia"/>
                <w:color w:val="auto"/>
                <w:sz w:val="21"/>
                <w:szCs w:val="21"/>
                <w:highlight w:val="none"/>
                <w:lang w:val="en-US" w:eastAsia="zh-CN"/>
              </w:rPr>
              <w:t>VOCs</w:t>
            </w:r>
            <w:r>
              <w:rPr>
                <w:color w:val="auto"/>
                <w:sz w:val="21"/>
                <w:szCs w:val="21"/>
                <w:highlight w:val="none"/>
              </w:rPr>
              <w:t>（t/a）</w:t>
            </w:r>
          </w:p>
        </w:tc>
        <w:tc>
          <w:tcPr>
            <w:tcW w:w="1386" w:type="dxa"/>
            <w:vAlign w:val="center"/>
          </w:tcPr>
          <w:p w14:paraId="1A0DEC9C">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vAlign w:val="center"/>
          </w:tcPr>
          <w:p w14:paraId="3B366B97">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vAlign w:val="center"/>
          </w:tcPr>
          <w:p w14:paraId="29A9F25A">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vAlign w:val="center"/>
          </w:tcPr>
          <w:p w14:paraId="10B487BF">
            <w:pPr>
              <w:widowControl/>
              <w:jc w:val="center"/>
              <w:textAlignment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3.518</w:t>
            </w:r>
          </w:p>
        </w:tc>
        <w:tc>
          <w:tcPr>
            <w:tcW w:w="1564" w:type="dxa"/>
            <w:vAlign w:val="center"/>
          </w:tcPr>
          <w:p w14:paraId="6C1759E7">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vAlign w:val="center"/>
          </w:tcPr>
          <w:p w14:paraId="4A6A472F">
            <w:pPr>
              <w:widowControl/>
              <w:jc w:val="center"/>
              <w:textAlignment w:val="center"/>
              <w:rPr>
                <w:rFonts w:hint="eastAsia"/>
                <w:color w:val="auto"/>
                <w:kern w:val="0"/>
                <w:sz w:val="21"/>
                <w:szCs w:val="21"/>
                <w:highlight w:val="none"/>
              </w:rPr>
            </w:pPr>
            <w:r>
              <w:rPr>
                <w:rFonts w:hint="eastAsia"/>
                <w:color w:val="auto"/>
                <w:kern w:val="0"/>
                <w:sz w:val="21"/>
                <w:szCs w:val="21"/>
                <w:highlight w:val="none"/>
                <w:lang w:val="en-US" w:eastAsia="zh-CN"/>
              </w:rPr>
              <w:t>3.518</w:t>
            </w:r>
          </w:p>
        </w:tc>
        <w:tc>
          <w:tcPr>
            <w:tcW w:w="1407" w:type="dxa"/>
            <w:vAlign w:val="center"/>
          </w:tcPr>
          <w:p w14:paraId="48ABBD79">
            <w:pPr>
              <w:widowControl/>
              <w:jc w:val="center"/>
              <w:textAlignment w:val="center"/>
              <w:rPr>
                <w:rFonts w:hint="eastAsia"/>
                <w:color w:val="auto"/>
                <w:kern w:val="0"/>
                <w:sz w:val="21"/>
                <w:szCs w:val="21"/>
                <w:highlight w:val="none"/>
              </w:rPr>
            </w:pPr>
            <w:r>
              <w:rPr>
                <w:rFonts w:hint="eastAsia"/>
                <w:color w:val="auto"/>
                <w:kern w:val="0"/>
                <w:sz w:val="21"/>
                <w:szCs w:val="21"/>
                <w:highlight w:val="none"/>
                <w:lang w:val="en-US" w:eastAsia="zh-CN"/>
              </w:rPr>
              <w:t>+3.518</w:t>
            </w:r>
          </w:p>
        </w:tc>
      </w:tr>
      <w:tr w14:paraId="1D24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09BB7C28">
            <w:pPr>
              <w:spacing w:line="240" w:lineRule="auto"/>
              <w:jc w:val="center"/>
              <w:rPr>
                <w:color w:val="auto"/>
                <w:sz w:val="21"/>
                <w:szCs w:val="21"/>
                <w:highlight w:val="none"/>
              </w:rPr>
            </w:pPr>
          </w:p>
        </w:tc>
        <w:tc>
          <w:tcPr>
            <w:tcW w:w="2203" w:type="dxa"/>
            <w:vAlign w:val="center"/>
          </w:tcPr>
          <w:p w14:paraId="742FAC4C">
            <w:pPr>
              <w:widowControl/>
              <w:spacing w:line="240" w:lineRule="auto"/>
              <w:jc w:val="center"/>
              <w:textAlignment w:val="center"/>
              <w:rPr>
                <w:color w:val="auto"/>
                <w:sz w:val="21"/>
                <w:szCs w:val="21"/>
                <w:highlight w:val="none"/>
              </w:rPr>
            </w:pPr>
            <w:r>
              <w:rPr>
                <w:rFonts w:hint="eastAsia"/>
                <w:color w:val="auto"/>
                <w:sz w:val="21"/>
                <w:szCs w:val="21"/>
                <w:highlight w:val="none"/>
                <w:lang w:val="en-US" w:eastAsia="zh-CN"/>
              </w:rPr>
              <w:t>油烟</w:t>
            </w:r>
            <w:r>
              <w:rPr>
                <w:color w:val="auto"/>
                <w:sz w:val="21"/>
                <w:szCs w:val="21"/>
                <w:highlight w:val="none"/>
              </w:rPr>
              <w:t>（t/a）</w:t>
            </w:r>
          </w:p>
        </w:tc>
        <w:tc>
          <w:tcPr>
            <w:tcW w:w="1386" w:type="dxa"/>
            <w:vAlign w:val="center"/>
          </w:tcPr>
          <w:p w14:paraId="46640BE2">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vAlign w:val="center"/>
          </w:tcPr>
          <w:p w14:paraId="67FF1B01">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vAlign w:val="center"/>
          </w:tcPr>
          <w:p w14:paraId="4BEBA2F7">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vAlign w:val="center"/>
          </w:tcPr>
          <w:p w14:paraId="23D75C04">
            <w:pPr>
              <w:widowControl/>
              <w:jc w:val="center"/>
              <w:textAlignment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0.021</w:t>
            </w:r>
          </w:p>
        </w:tc>
        <w:tc>
          <w:tcPr>
            <w:tcW w:w="1564" w:type="dxa"/>
            <w:vAlign w:val="center"/>
          </w:tcPr>
          <w:p w14:paraId="0CBA0C90">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vAlign w:val="center"/>
          </w:tcPr>
          <w:p w14:paraId="7072F93D">
            <w:pPr>
              <w:widowControl/>
              <w:jc w:val="center"/>
              <w:textAlignment w:val="center"/>
              <w:rPr>
                <w:rFonts w:hint="eastAsia"/>
                <w:color w:val="auto"/>
                <w:kern w:val="0"/>
                <w:sz w:val="21"/>
                <w:szCs w:val="21"/>
                <w:highlight w:val="none"/>
              </w:rPr>
            </w:pPr>
            <w:r>
              <w:rPr>
                <w:rFonts w:hint="eastAsia"/>
                <w:color w:val="auto"/>
                <w:kern w:val="0"/>
                <w:sz w:val="21"/>
                <w:szCs w:val="21"/>
                <w:highlight w:val="none"/>
                <w:lang w:val="en-US" w:eastAsia="zh-CN"/>
              </w:rPr>
              <w:t>0.021</w:t>
            </w:r>
          </w:p>
        </w:tc>
        <w:tc>
          <w:tcPr>
            <w:tcW w:w="1407" w:type="dxa"/>
            <w:vAlign w:val="center"/>
          </w:tcPr>
          <w:p w14:paraId="7A2414F2">
            <w:pPr>
              <w:widowControl/>
              <w:jc w:val="center"/>
              <w:textAlignment w:val="center"/>
              <w:rPr>
                <w:rFonts w:hint="eastAsia"/>
                <w:color w:val="auto"/>
                <w:kern w:val="0"/>
                <w:sz w:val="21"/>
                <w:szCs w:val="21"/>
                <w:highlight w:val="none"/>
              </w:rPr>
            </w:pPr>
            <w:r>
              <w:rPr>
                <w:rFonts w:hint="eastAsia"/>
                <w:color w:val="auto"/>
                <w:kern w:val="0"/>
                <w:sz w:val="21"/>
                <w:szCs w:val="21"/>
                <w:highlight w:val="none"/>
                <w:lang w:val="en-US" w:eastAsia="zh-CN"/>
              </w:rPr>
              <w:t>+0.021</w:t>
            </w:r>
          </w:p>
        </w:tc>
      </w:tr>
      <w:tr w14:paraId="375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restart"/>
            <w:vAlign w:val="center"/>
          </w:tcPr>
          <w:p w14:paraId="7C7487F4">
            <w:pPr>
              <w:spacing w:line="240" w:lineRule="auto"/>
              <w:jc w:val="center"/>
              <w:rPr>
                <w:color w:val="auto"/>
                <w:sz w:val="21"/>
                <w:szCs w:val="21"/>
                <w:highlight w:val="none"/>
              </w:rPr>
            </w:pPr>
            <w:r>
              <w:rPr>
                <w:color w:val="auto"/>
                <w:sz w:val="21"/>
                <w:szCs w:val="21"/>
                <w:highlight w:val="none"/>
              </w:rPr>
              <w:t>一般工业固体废物（t/a）</w:t>
            </w:r>
          </w:p>
        </w:tc>
        <w:tc>
          <w:tcPr>
            <w:tcW w:w="2203" w:type="dxa"/>
            <w:vAlign w:val="center"/>
          </w:tcPr>
          <w:p w14:paraId="726EA635">
            <w:pPr>
              <w:keepNext w:val="0"/>
              <w:keepLines w:val="0"/>
              <w:widowControl/>
              <w:suppressLineNumbers w:val="0"/>
              <w:jc w:val="center"/>
              <w:textAlignment w:val="center"/>
              <w:rPr>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废木屑杂物</w:t>
            </w:r>
            <w:r>
              <w:rPr>
                <w:color w:val="auto"/>
                <w:sz w:val="21"/>
                <w:szCs w:val="21"/>
                <w:highlight w:val="none"/>
              </w:rPr>
              <w:t>（t/a）</w:t>
            </w:r>
          </w:p>
        </w:tc>
        <w:tc>
          <w:tcPr>
            <w:tcW w:w="1386" w:type="dxa"/>
            <w:vAlign w:val="center"/>
          </w:tcPr>
          <w:p w14:paraId="2A410462">
            <w:pPr>
              <w:widowControl/>
              <w:jc w:val="center"/>
              <w:textAlignment w:val="center"/>
              <w:rPr>
                <w:color w:val="auto"/>
                <w:position w:val="-10"/>
                <w:sz w:val="21"/>
                <w:szCs w:val="21"/>
                <w:highlight w:val="none"/>
              </w:rPr>
            </w:pPr>
            <w:r>
              <w:rPr>
                <w:color w:val="auto"/>
                <w:kern w:val="0"/>
                <w:sz w:val="21"/>
                <w:szCs w:val="21"/>
                <w:highlight w:val="none"/>
              </w:rPr>
              <w:t>0</w:t>
            </w:r>
          </w:p>
        </w:tc>
        <w:tc>
          <w:tcPr>
            <w:tcW w:w="1562" w:type="dxa"/>
            <w:vAlign w:val="center"/>
          </w:tcPr>
          <w:p w14:paraId="221B9AE8">
            <w:pPr>
              <w:widowControl/>
              <w:jc w:val="center"/>
              <w:textAlignment w:val="center"/>
              <w:rPr>
                <w:color w:val="auto"/>
                <w:position w:val="-10"/>
                <w:sz w:val="21"/>
                <w:szCs w:val="21"/>
                <w:highlight w:val="none"/>
              </w:rPr>
            </w:pPr>
            <w:r>
              <w:rPr>
                <w:color w:val="auto"/>
                <w:kern w:val="0"/>
                <w:sz w:val="21"/>
                <w:szCs w:val="21"/>
                <w:highlight w:val="none"/>
              </w:rPr>
              <w:t>0</w:t>
            </w:r>
          </w:p>
        </w:tc>
        <w:tc>
          <w:tcPr>
            <w:tcW w:w="1479" w:type="dxa"/>
            <w:vAlign w:val="center"/>
          </w:tcPr>
          <w:p w14:paraId="28FE69DE">
            <w:pPr>
              <w:widowControl/>
              <w:jc w:val="center"/>
              <w:textAlignment w:val="center"/>
              <w:rPr>
                <w:color w:val="auto"/>
                <w:position w:val="-10"/>
                <w:sz w:val="21"/>
                <w:szCs w:val="21"/>
                <w:highlight w:val="none"/>
              </w:rPr>
            </w:pPr>
            <w:r>
              <w:rPr>
                <w:color w:val="auto"/>
                <w:kern w:val="0"/>
                <w:sz w:val="21"/>
                <w:szCs w:val="21"/>
                <w:highlight w:val="none"/>
              </w:rPr>
              <w:t>0</w:t>
            </w:r>
          </w:p>
        </w:tc>
        <w:tc>
          <w:tcPr>
            <w:tcW w:w="1651" w:type="dxa"/>
            <w:vAlign w:val="center"/>
          </w:tcPr>
          <w:p w14:paraId="04A9C50B">
            <w:pPr>
              <w:keepNext w:val="0"/>
              <w:keepLines w:val="0"/>
              <w:widowControl/>
              <w:suppressLineNumbers w:val="0"/>
              <w:jc w:val="center"/>
              <w:textAlignment w:val="center"/>
              <w:rPr>
                <w:rFonts w:hint="default" w:eastAsia="宋体"/>
                <w:color w:val="auto"/>
                <w:position w:val="-1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1564" w:type="dxa"/>
            <w:vAlign w:val="center"/>
          </w:tcPr>
          <w:p w14:paraId="7C0401D9">
            <w:pPr>
              <w:widowControl/>
              <w:jc w:val="center"/>
              <w:textAlignment w:val="center"/>
              <w:rPr>
                <w:color w:val="auto"/>
                <w:position w:val="-10"/>
                <w:sz w:val="21"/>
                <w:szCs w:val="21"/>
                <w:highlight w:val="none"/>
              </w:rPr>
            </w:pPr>
            <w:r>
              <w:rPr>
                <w:color w:val="auto"/>
                <w:kern w:val="0"/>
                <w:sz w:val="21"/>
                <w:szCs w:val="21"/>
                <w:highlight w:val="none"/>
              </w:rPr>
              <w:t>0</w:t>
            </w:r>
          </w:p>
        </w:tc>
        <w:tc>
          <w:tcPr>
            <w:tcW w:w="1720" w:type="dxa"/>
            <w:vAlign w:val="center"/>
          </w:tcPr>
          <w:p w14:paraId="4CF39CF8">
            <w:pPr>
              <w:keepNext w:val="0"/>
              <w:keepLines w:val="0"/>
              <w:widowControl/>
              <w:suppressLineNumbers w:val="0"/>
              <w:jc w:val="center"/>
              <w:textAlignment w:val="center"/>
              <w:rPr>
                <w:color w:val="auto"/>
                <w:position w:val="-1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1407" w:type="dxa"/>
            <w:vAlign w:val="center"/>
          </w:tcPr>
          <w:p w14:paraId="219A9CDF">
            <w:pPr>
              <w:keepNext w:val="0"/>
              <w:keepLines w:val="0"/>
              <w:widowControl/>
              <w:suppressLineNumbers w:val="0"/>
              <w:jc w:val="center"/>
              <w:textAlignment w:val="center"/>
              <w:rPr>
                <w:color w:val="auto"/>
                <w:position w:val="-1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r>
      <w:tr w14:paraId="3A19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2A5C4947">
            <w:pPr>
              <w:spacing w:line="240" w:lineRule="auto"/>
              <w:jc w:val="center"/>
              <w:rPr>
                <w:color w:val="auto"/>
                <w:sz w:val="21"/>
                <w:szCs w:val="21"/>
                <w:highlight w:val="none"/>
              </w:rPr>
            </w:pPr>
          </w:p>
        </w:tc>
        <w:tc>
          <w:tcPr>
            <w:tcW w:w="2203" w:type="dxa"/>
            <w:vAlign w:val="center"/>
          </w:tcPr>
          <w:p w14:paraId="0C27510D">
            <w:pPr>
              <w:keepNext w:val="0"/>
              <w:keepLines w:val="0"/>
              <w:widowControl/>
              <w:suppressLineNumbers w:val="0"/>
              <w:jc w:val="center"/>
              <w:textAlignment w:val="center"/>
              <w:rPr>
                <w:b/>
                <w:bCs/>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废橡胶</w:t>
            </w:r>
            <w:r>
              <w:rPr>
                <w:color w:val="auto"/>
                <w:sz w:val="21"/>
                <w:szCs w:val="21"/>
                <w:highlight w:val="none"/>
              </w:rPr>
              <w:t>（t/a）</w:t>
            </w:r>
          </w:p>
        </w:tc>
        <w:tc>
          <w:tcPr>
            <w:tcW w:w="1386" w:type="dxa"/>
            <w:vAlign w:val="center"/>
          </w:tcPr>
          <w:p w14:paraId="108D9D86">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7224A340">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56446A39">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548A5543">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c>
          <w:tcPr>
            <w:tcW w:w="1564" w:type="dxa"/>
            <w:vAlign w:val="center"/>
          </w:tcPr>
          <w:p w14:paraId="4ED16141">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51D0590F">
            <w:pPr>
              <w:keepNext w:val="0"/>
              <w:keepLines w:val="0"/>
              <w:widowControl/>
              <w:suppressLineNumbers w:val="0"/>
              <w:jc w:val="center"/>
              <w:textAlignment w:val="center"/>
              <w:rPr>
                <w:rFonts w:hint="eastAsia" w:eastAsia="宋体"/>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c>
          <w:tcPr>
            <w:tcW w:w="1407" w:type="dxa"/>
            <w:vAlign w:val="center"/>
          </w:tcPr>
          <w:p w14:paraId="612A8933">
            <w:pPr>
              <w:keepNext w:val="0"/>
              <w:keepLines w:val="0"/>
              <w:widowControl/>
              <w:suppressLineNumbers w:val="0"/>
              <w:jc w:val="center"/>
              <w:textAlignment w:val="center"/>
              <w:rPr>
                <w:rFonts w:hint="eastAsia" w:eastAsia="宋体"/>
                <w:color w:val="auto"/>
                <w:sz w:val="21"/>
                <w:szCs w:val="21"/>
                <w:highlight w:val="none"/>
                <w:lang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351.23 </w:t>
            </w:r>
          </w:p>
        </w:tc>
      </w:tr>
      <w:tr w14:paraId="02E1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133035C">
            <w:pPr>
              <w:spacing w:line="240" w:lineRule="auto"/>
              <w:jc w:val="center"/>
              <w:rPr>
                <w:color w:val="auto"/>
                <w:sz w:val="21"/>
                <w:szCs w:val="21"/>
                <w:highlight w:val="none"/>
              </w:rPr>
            </w:pPr>
          </w:p>
        </w:tc>
        <w:tc>
          <w:tcPr>
            <w:tcW w:w="2203" w:type="dxa"/>
            <w:vAlign w:val="center"/>
          </w:tcPr>
          <w:p w14:paraId="69D754CE">
            <w:pPr>
              <w:keepNext w:val="0"/>
              <w:keepLines w:val="0"/>
              <w:widowControl/>
              <w:suppressLineNumbers w:val="0"/>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包装废料</w:t>
            </w:r>
            <w:r>
              <w:rPr>
                <w:color w:val="auto"/>
                <w:sz w:val="21"/>
                <w:szCs w:val="21"/>
                <w:highlight w:val="none"/>
              </w:rPr>
              <w:t>（t/a）</w:t>
            </w:r>
          </w:p>
        </w:tc>
        <w:tc>
          <w:tcPr>
            <w:tcW w:w="1386" w:type="dxa"/>
            <w:vAlign w:val="center"/>
          </w:tcPr>
          <w:p w14:paraId="589794CD">
            <w:pPr>
              <w:widowControl/>
              <w:jc w:val="center"/>
              <w:textAlignment w:val="center"/>
              <w:rPr>
                <w:color w:val="auto"/>
                <w:sz w:val="21"/>
                <w:szCs w:val="21"/>
                <w:highlight w:val="none"/>
              </w:rPr>
            </w:pPr>
            <w:r>
              <w:rPr>
                <w:color w:val="auto"/>
                <w:kern w:val="0"/>
                <w:sz w:val="21"/>
                <w:szCs w:val="21"/>
                <w:highlight w:val="none"/>
              </w:rPr>
              <w:t>0</w:t>
            </w:r>
          </w:p>
        </w:tc>
        <w:tc>
          <w:tcPr>
            <w:tcW w:w="1562" w:type="dxa"/>
            <w:vAlign w:val="center"/>
          </w:tcPr>
          <w:p w14:paraId="310884FE">
            <w:pPr>
              <w:widowControl/>
              <w:jc w:val="center"/>
              <w:textAlignment w:val="center"/>
              <w:rPr>
                <w:color w:val="auto"/>
                <w:sz w:val="21"/>
                <w:szCs w:val="21"/>
                <w:highlight w:val="none"/>
              </w:rPr>
            </w:pPr>
            <w:r>
              <w:rPr>
                <w:color w:val="auto"/>
                <w:kern w:val="0"/>
                <w:sz w:val="21"/>
                <w:szCs w:val="21"/>
                <w:highlight w:val="none"/>
              </w:rPr>
              <w:t>0</w:t>
            </w:r>
          </w:p>
        </w:tc>
        <w:tc>
          <w:tcPr>
            <w:tcW w:w="1479" w:type="dxa"/>
            <w:vAlign w:val="center"/>
          </w:tcPr>
          <w:p w14:paraId="1A878B85">
            <w:pPr>
              <w:widowControl/>
              <w:jc w:val="center"/>
              <w:textAlignment w:val="center"/>
              <w:rPr>
                <w:color w:val="auto"/>
                <w:sz w:val="21"/>
                <w:szCs w:val="21"/>
                <w:highlight w:val="none"/>
              </w:rPr>
            </w:pPr>
            <w:r>
              <w:rPr>
                <w:color w:val="auto"/>
                <w:kern w:val="0"/>
                <w:sz w:val="21"/>
                <w:szCs w:val="21"/>
                <w:highlight w:val="none"/>
              </w:rPr>
              <w:t>0</w:t>
            </w:r>
          </w:p>
        </w:tc>
        <w:tc>
          <w:tcPr>
            <w:tcW w:w="1651" w:type="dxa"/>
            <w:vAlign w:val="center"/>
          </w:tcPr>
          <w:p w14:paraId="28B048C3">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1564" w:type="dxa"/>
            <w:vAlign w:val="center"/>
          </w:tcPr>
          <w:p w14:paraId="026B0F51">
            <w:pPr>
              <w:widowControl/>
              <w:jc w:val="center"/>
              <w:textAlignment w:val="center"/>
              <w:rPr>
                <w:color w:val="auto"/>
                <w:sz w:val="21"/>
                <w:szCs w:val="21"/>
                <w:highlight w:val="none"/>
              </w:rPr>
            </w:pPr>
            <w:r>
              <w:rPr>
                <w:color w:val="auto"/>
                <w:kern w:val="0"/>
                <w:sz w:val="21"/>
                <w:szCs w:val="21"/>
                <w:highlight w:val="none"/>
              </w:rPr>
              <w:t>0</w:t>
            </w:r>
          </w:p>
        </w:tc>
        <w:tc>
          <w:tcPr>
            <w:tcW w:w="1720" w:type="dxa"/>
            <w:vAlign w:val="center"/>
          </w:tcPr>
          <w:p w14:paraId="1E6C1C37">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1407" w:type="dxa"/>
            <w:vAlign w:val="center"/>
          </w:tcPr>
          <w:p w14:paraId="12CBE48C">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r>
      <w:tr w14:paraId="31F5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385EF2F0">
            <w:pPr>
              <w:spacing w:line="240" w:lineRule="auto"/>
              <w:jc w:val="center"/>
              <w:rPr>
                <w:color w:val="auto"/>
                <w:sz w:val="21"/>
                <w:szCs w:val="21"/>
                <w:highlight w:val="none"/>
              </w:rPr>
            </w:pPr>
          </w:p>
        </w:tc>
        <w:tc>
          <w:tcPr>
            <w:tcW w:w="2203" w:type="dxa"/>
            <w:shd w:val="clear" w:color="auto" w:fill="auto"/>
            <w:vAlign w:val="center"/>
          </w:tcPr>
          <w:p w14:paraId="2D0A1A9F">
            <w:pPr>
              <w:keepNext w:val="0"/>
              <w:keepLines w:val="0"/>
              <w:widowControl/>
              <w:suppressLineNumbers w:val="0"/>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废滤料</w:t>
            </w:r>
            <w:r>
              <w:rPr>
                <w:color w:val="auto"/>
                <w:sz w:val="21"/>
                <w:szCs w:val="21"/>
                <w:highlight w:val="none"/>
              </w:rPr>
              <w:t>（t/a）</w:t>
            </w:r>
          </w:p>
        </w:tc>
        <w:tc>
          <w:tcPr>
            <w:tcW w:w="1386" w:type="dxa"/>
            <w:shd w:val="clear" w:color="auto" w:fill="auto"/>
            <w:vAlign w:val="center"/>
          </w:tcPr>
          <w:p w14:paraId="40CFE628">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6C0742C6">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4419F4EA">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shd w:val="clear" w:color="auto" w:fill="auto"/>
            <w:vAlign w:val="center"/>
          </w:tcPr>
          <w:p w14:paraId="6089A882">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 </w:t>
            </w:r>
          </w:p>
        </w:tc>
        <w:tc>
          <w:tcPr>
            <w:tcW w:w="1564" w:type="dxa"/>
            <w:shd w:val="clear" w:color="auto" w:fill="auto"/>
            <w:vAlign w:val="center"/>
          </w:tcPr>
          <w:p w14:paraId="3E38CAF4">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shd w:val="clear" w:color="auto" w:fill="auto"/>
            <w:vAlign w:val="center"/>
          </w:tcPr>
          <w:p w14:paraId="19633985">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 </w:t>
            </w:r>
          </w:p>
        </w:tc>
        <w:tc>
          <w:tcPr>
            <w:tcW w:w="1407" w:type="dxa"/>
            <w:shd w:val="clear" w:color="auto" w:fill="auto"/>
            <w:vAlign w:val="center"/>
          </w:tcPr>
          <w:p w14:paraId="5F5A372E">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0.27 </w:t>
            </w:r>
          </w:p>
        </w:tc>
      </w:tr>
      <w:tr w14:paraId="50FB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2389C798">
            <w:pPr>
              <w:spacing w:line="240" w:lineRule="auto"/>
              <w:jc w:val="center"/>
              <w:rPr>
                <w:color w:val="auto"/>
                <w:sz w:val="21"/>
                <w:szCs w:val="21"/>
                <w:highlight w:val="none"/>
              </w:rPr>
            </w:pPr>
          </w:p>
        </w:tc>
        <w:tc>
          <w:tcPr>
            <w:tcW w:w="2203" w:type="dxa"/>
            <w:shd w:val="clear" w:color="auto" w:fill="auto"/>
            <w:vAlign w:val="center"/>
          </w:tcPr>
          <w:p w14:paraId="3F1C0551">
            <w:pPr>
              <w:keepNext w:val="0"/>
              <w:keepLines w:val="0"/>
              <w:widowControl/>
              <w:suppressLineNumbers w:val="0"/>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废布袋</w:t>
            </w:r>
            <w:r>
              <w:rPr>
                <w:color w:val="auto"/>
                <w:sz w:val="21"/>
                <w:szCs w:val="21"/>
                <w:highlight w:val="none"/>
              </w:rPr>
              <w:t>（t/a）</w:t>
            </w:r>
          </w:p>
        </w:tc>
        <w:tc>
          <w:tcPr>
            <w:tcW w:w="1386" w:type="dxa"/>
            <w:shd w:val="clear" w:color="auto" w:fill="auto"/>
            <w:vAlign w:val="center"/>
          </w:tcPr>
          <w:p w14:paraId="62190480">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562" w:type="dxa"/>
            <w:shd w:val="clear" w:color="auto" w:fill="auto"/>
            <w:vAlign w:val="center"/>
          </w:tcPr>
          <w:p w14:paraId="73802A89">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479" w:type="dxa"/>
            <w:shd w:val="clear" w:color="auto" w:fill="auto"/>
            <w:vAlign w:val="center"/>
          </w:tcPr>
          <w:p w14:paraId="0E9D5570">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651" w:type="dxa"/>
            <w:shd w:val="clear" w:color="auto" w:fill="auto"/>
            <w:vAlign w:val="center"/>
          </w:tcPr>
          <w:p w14:paraId="11BD32F6">
            <w:pPr>
              <w:keepNext w:val="0"/>
              <w:keepLines w:val="0"/>
              <w:widowControl/>
              <w:suppressLineNumbers w:val="0"/>
              <w:jc w:val="center"/>
              <w:textAlignment w:val="center"/>
              <w:rPr>
                <w:rFonts w:hint="eastAsia" w:eastAsia="宋体"/>
                <w:color w:val="auto"/>
                <w:kern w:val="0"/>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1564" w:type="dxa"/>
            <w:shd w:val="clear" w:color="auto" w:fill="auto"/>
            <w:vAlign w:val="center"/>
          </w:tcPr>
          <w:p w14:paraId="2D9917C4">
            <w:pPr>
              <w:widowControl/>
              <w:jc w:val="center"/>
              <w:textAlignment w:val="center"/>
              <w:rPr>
                <w:color w:val="auto"/>
                <w:kern w:val="0"/>
                <w:sz w:val="21"/>
                <w:szCs w:val="21"/>
                <w:highlight w:val="none"/>
              </w:rPr>
            </w:pPr>
            <w:r>
              <w:rPr>
                <w:rFonts w:hint="eastAsia"/>
                <w:color w:val="auto"/>
                <w:kern w:val="0"/>
                <w:sz w:val="21"/>
                <w:szCs w:val="21"/>
                <w:highlight w:val="none"/>
              </w:rPr>
              <w:t>0</w:t>
            </w:r>
          </w:p>
        </w:tc>
        <w:tc>
          <w:tcPr>
            <w:tcW w:w="1720" w:type="dxa"/>
            <w:shd w:val="clear" w:color="auto" w:fill="auto"/>
            <w:vAlign w:val="center"/>
          </w:tcPr>
          <w:p w14:paraId="5094BF1F">
            <w:pPr>
              <w:keepNext w:val="0"/>
              <w:keepLines w:val="0"/>
              <w:widowControl/>
              <w:suppressLineNumbers w:val="0"/>
              <w:jc w:val="center"/>
              <w:textAlignment w:val="center"/>
              <w:rPr>
                <w:rFonts w:hint="eastAsia" w:eastAsia="宋体"/>
                <w:color w:val="auto"/>
                <w:kern w:val="0"/>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1407" w:type="dxa"/>
            <w:shd w:val="clear" w:color="auto" w:fill="auto"/>
            <w:vAlign w:val="center"/>
          </w:tcPr>
          <w:p w14:paraId="77ABF3A2">
            <w:pPr>
              <w:keepNext w:val="0"/>
              <w:keepLines w:val="0"/>
              <w:widowControl/>
              <w:suppressLineNumbers w:val="0"/>
              <w:jc w:val="center"/>
              <w:textAlignment w:val="center"/>
              <w:rPr>
                <w:rFonts w:hint="eastAsia" w:eastAsia="宋体"/>
                <w:color w:val="auto"/>
                <w:kern w:val="0"/>
                <w:sz w:val="21"/>
                <w:szCs w:val="21"/>
                <w:highlight w:val="none"/>
                <w:lang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r>
      <w:tr w14:paraId="6A21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0BBF395">
            <w:pPr>
              <w:spacing w:line="240" w:lineRule="auto"/>
              <w:jc w:val="center"/>
              <w:rPr>
                <w:color w:val="auto"/>
                <w:sz w:val="21"/>
                <w:szCs w:val="21"/>
                <w:highlight w:val="none"/>
              </w:rPr>
            </w:pPr>
          </w:p>
        </w:tc>
        <w:tc>
          <w:tcPr>
            <w:tcW w:w="2203" w:type="dxa"/>
            <w:shd w:val="clear" w:color="auto" w:fill="auto"/>
            <w:vAlign w:val="center"/>
          </w:tcPr>
          <w:p w14:paraId="6377D96F">
            <w:pPr>
              <w:keepNext w:val="0"/>
              <w:keepLines w:val="0"/>
              <w:widowControl/>
              <w:suppressLineNumbers w:val="0"/>
              <w:jc w:val="center"/>
              <w:textAlignment w:val="center"/>
              <w:rPr>
                <w:rFonts w:hint="eastAsia"/>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收集粉尘</w:t>
            </w:r>
            <w:r>
              <w:rPr>
                <w:color w:val="auto"/>
                <w:sz w:val="21"/>
                <w:szCs w:val="21"/>
                <w:highlight w:val="none"/>
              </w:rPr>
              <w:t>（t/a）</w:t>
            </w:r>
          </w:p>
        </w:tc>
        <w:tc>
          <w:tcPr>
            <w:tcW w:w="1386" w:type="dxa"/>
            <w:shd w:val="clear" w:color="auto" w:fill="auto"/>
            <w:vAlign w:val="center"/>
          </w:tcPr>
          <w:p w14:paraId="0C44D2C8">
            <w:pPr>
              <w:widowControl/>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0</w:t>
            </w:r>
          </w:p>
        </w:tc>
        <w:tc>
          <w:tcPr>
            <w:tcW w:w="1562" w:type="dxa"/>
            <w:shd w:val="clear" w:color="auto" w:fill="auto"/>
            <w:vAlign w:val="center"/>
          </w:tcPr>
          <w:p w14:paraId="19C0EA23">
            <w:pPr>
              <w:widowControl/>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0</w:t>
            </w:r>
          </w:p>
        </w:tc>
        <w:tc>
          <w:tcPr>
            <w:tcW w:w="1479" w:type="dxa"/>
            <w:shd w:val="clear" w:color="auto" w:fill="auto"/>
            <w:vAlign w:val="center"/>
          </w:tcPr>
          <w:p w14:paraId="727C018D">
            <w:pPr>
              <w:widowControl/>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0</w:t>
            </w:r>
          </w:p>
        </w:tc>
        <w:tc>
          <w:tcPr>
            <w:tcW w:w="1651" w:type="dxa"/>
            <w:shd w:val="clear" w:color="auto" w:fill="auto"/>
            <w:vAlign w:val="center"/>
          </w:tcPr>
          <w:p w14:paraId="1190C36E">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12.19 </w:t>
            </w:r>
          </w:p>
        </w:tc>
        <w:tc>
          <w:tcPr>
            <w:tcW w:w="1564" w:type="dxa"/>
            <w:shd w:val="clear" w:color="auto" w:fill="auto"/>
            <w:vAlign w:val="center"/>
          </w:tcPr>
          <w:p w14:paraId="1D24E0C7">
            <w:pPr>
              <w:widowControl/>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0</w:t>
            </w:r>
          </w:p>
        </w:tc>
        <w:tc>
          <w:tcPr>
            <w:tcW w:w="1720" w:type="dxa"/>
            <w:shd w:val="clear" w:color="auto" w:fill="auto"/>
            <w:vAlign w:val="center"/>
          </w:tcPr>
          <w:p w14:paraId="397D3326">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12.19 </w:t>
            </w:r>
          </w:p>
        </w:tc>
        <w:tc>
          <w:tcPr>
            <w:tcW w:w="1407" w:type="dxa"/>
            <w:shd w:val="clear" w:color="auto" w:fill="auto"/>
            <w:vAlign w:val="center"/>
          </w:tcPr>
          <w:p w14:paraId="3ED2BB48">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12.19 </w:t>
            </w:r>
          </w:p>
        </w:tc>
      </w:tr>
      <w:tr w14:paraId="3780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542332E7">
            <w:pPr>
              <w:spacing w:line="240" w:lineRule="auto"/>
              <w:jc w:val="center"/>
              <w:rPr>
                <w:color w:val="auto"/>
                <w:sz w:val="21"/>
                <w:szCs w:val="21"/>
                <w:highlight w:val="none"/>
              </w:rPr>
            </w:pPr>
          </w:p>
        </w:tc>
        <w:tc>
          <w:tcPr>
            <w:tcW w:w="2203" w:type="dxa"/>
            <w:vAlign w:val="center"/>
          </w:tcPr>
          <w:p w14:paraId="251FC7DB">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污泥</w:t>
            </w:r>
            <w:r>
              <w:rPr>
                <w:color w:val="auto"/>
                <w:sz w:val="21"/>
                <w:szCs w:val="21"/>
                <w:highlight w:val="none"/>
              </w:rPr>
              <w:t>（t/a）</w:t>
            </w:r>
          </w:p>
        </w:tc>
        <w:tc>
          <w:tcPr>
            <w:tcW w:w="1386" w:type="dxa"/>
            <w:vAlign w:val="center"/>
          </w:tcPr>
          <w:p w14:paraId="328F91EC">
            <w:pPr>
              <w:widowControl/>
              <w:jc w:val="center"/>
              <w:textAlignment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0</w:t>
            </w:r>
          </w:p>
        </w:tc>
        <w:tc>
          <w:tcPr>
            <w:tcW w:w="1562" w:type="dxa"/>
            <w:vAlign w:val="center"/>
          </w:tcPr>
          <w:p w14:paraId="3067616A">
            <w:pPr>
              <w:widowControl/>
              <w:jc w:val="center"/>
              <w:textAlignment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0</w:t>
            </w:r>
          </w:p>
        </w:tc>
        <w:tc>
          <w:tcPr>
            <w:tcW w:w="1479" w:type="dxa"/>
            <w:vAlign w:val="center"/>
          </w:tcPr>
          <w:p w14:paraId="3B521D71">
            <w:pPr>
              <w:widowControl/>
              <w:jc w:val="center"/>
              <w:textAlignment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0</w:t>
            </w:r>
          </w:p>
        </w:tc>
        <w:tc>
          <w:tcPr>
            <w:tcW w:w="1651" w:type="dxa"/>
            <w:vAlign w:val="center"/>
          </w:tcPr>
          <w:p w14:paraId="39BC1CE4">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185.84 </w:t>
            </w:r>
          </w:p>
        </w:tc>
        <w:tc>
          <w:tcPr>
            <w:tcW w:w="1564" w:type="dxa"/>
            <w:vAlign w:val="center"/>
          </w:tcPr>
          <w:p w14:paraId="4C67B8E9">
            <w:pPr>
              <w:widowControl/>
              <w:jc w:val="center"/>
              <w:textAlignment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0</w:t>
            </w:r>
          </w:p>
        </w:tc>
        <w:tc>
          <w:tcPr>
            <w:tcW w:w="1720" w:type="dxa"/>
            <w:vAlign w:val="center"/>
          </w:tcPr>
          <w:p w14:paraId="5035C0BA">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185.84 </w:t>
            </w:r>
          </w:p>
        </w:tc>
        <w:tc>
          <w:tcPr>
            <w:tcW w:w="1407" w:type="dxa"/>
            <w:vAlign w:val="center"/>
          </w:tcPr>
          <w:p w14:paraId="644EBDD7">
            <w:pPr>
              <w:keepNext w:val="0"/>
              <w:keepLines w:val="0"/>
              <w:widowControl/>
              <w:suppressLineNumbers w:val="0"/>
              <w:jc w:val="center"/>
              <w:textAlignment w:val="center"/>
              <w:rPr>
                <w:rFonts w:hint="default" w:eastAsia="宋体"/>
                <w:color w:val="auto"/>
                <w:kern w:val="0"/>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185.84 </w:t>
            </w:r>
          </w:p>
        </w:tc>
      </w:tr>
      <w:tr w14:paraId="4F58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restart"/>
            <w:vAlign w:val="center"/>
          </w:tcPr>
          <w:p w14:paraId="7931FB4C">
            <w:pPr>
              <w:spacing w:line="240" w:lineRule="auto"/>
              <w:jc w:val="center"/>
              <w:rPr>
                <w:color w:val="auto"/>
                <w:sz w:val="21"/>
                <w:szCs w:val="21"/>
                <w:highlight w:val="none"/>
              </w:rPr>
            </w:pPr>
            <w:r>
              <w:rPr>
                <w:color w:val="auto"/>
                <w:sz w:val="21"/>
                <w:szCs w:val="21"/>
                <w:highlight w:val="none"/>
              </w:rPr>
              <w:t>危险废物（t/a）</w:t>
            </w:r>
          </w:p>
        </w:tc>
        <w:tc>
          <w:tcPr>
            <w:tcW w:w="2203" w:type="dxa"/>
            <w:shd w:val="clear" w:color="auto" w:fill="auto"/>
            <w:vAlign w:val="center"/>
          </w:tcPr>
          <w:p w14:paraId="0979D9BE">
            <w:pPr>
              <w:keepNext w:val="0"/>
              <w:keepLines w:val="0"/>
              <w:widowControl/>
              <w:suppressLineNumbers w:val="0"/>
              <w:jc w:val="center"/>
              <w:textAlignment w:val="center"/>
              <w:rPr>
                <w:color w:val="auto"/>
                <w:kern w:val="2"/>
                <w:highlight w:val="none"/>
              </w:rPr>
            </w:pPr>
            <w:r>
              <w:rPr>
                <w:rFonts w:hint="eastAsia" w:ascii="宋体" w:hAnsi="宋体" w:eastAsia="宋体" w:cs="宋体"/>
                <w:i w:val="0"/>
                <w:iCs w:val="0"/>
                <w:color w:val="auto"/>
                <w:kern w:val="0"/>
                <w:sz w:val="21"/>
                <w:szCs w:val="21"/>
                <w:highlight w:val="none"/>
                <w:u w:val="none"/>
                <w:lang w:val="en-US" w:eastAsia="zh-CN" w:bidi="ar"/>
              </w:rPr>
              <w:t>废</w:t>
            </w: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eastAsia" w:ascii="宋体" w:hAnsi="宋体" w:eastAsia="宋体" w:cs="宋体"/>
                <w:i w:val="0"/>
                <w:iCs w:val="0"/>
                <w:color w:val="auto"/>
                <w:kern w:val="0"/>
                <w:sz w:val="21"/>
                <w:szCs w:val="21"/>
                <w:highlight w:val="none"/>
                <w:u w:val="none"/>
                <w:lang w:val="en-US" w:eastAsia="zh-CN" w:bidi="ar"/>
              </w:rPr>
              <w:t>调整剂包装桶</w:t>
            </w:r>
            <w:r>
              <w:rPr>
                <w:color w:val="auto"/>
                <w:sz w:val="21"/>
                <w:szCs w:val="21"/>
                <w:highlight w:val="none"/>
              </w:rPr>
              <w:t>（t/a）</w:t>
            </w:r>
          </w:p>
        </w:tc>
        <w:tc>
          <w:tcPr>
            <w:tcW w:w="1386" w:type="dxa"/>
            <w:shd w:val="clear" w:color="auto" w:fill="auto"/>
            <w:vAlign w:val="center"/>
          </w:tcPr>
          <w:p w14:paraId="63225554">
            <w:pPr>
              <w:widowControl/>
              <w:jc w:val="center"/>
              <w:textAlignment w:val="center"/>
              <w:rPr>
                <w:color w:val="auto"/>
                <w:sz w:val="21"/>
                <w:szCs w:val="21"/>
                <w:highlight w:val="none"/>
              </w:rPr>
            </w:pPr>
            <w:r>
              <w:rPr>
                <w:color w:val="auto"/>
                <w:kern w:val="0"/>
                <w:sz w:val="21"/>
                <w:szCs w:val="21"/>
                <w:highlight w:val="none"/>
              </w:rPr>
              <w:t>0</w:t>
            </w:r>
          </w:p>
        </w:tc>
        <w:tc>
          <w:tcPr>
            <w:tcW w:w="1562" w:type="dxa"/>
            <w:shd w:val="clear" w:color="auto" w:fill="auto"/>
            <w:vAlign w:val="center"/>
          </w:tcPr>
          <w:p w14:paraId="09C30D82">
            <w:pPr>
              <w:widowControl/>
              <w:jc w:val="center"/>
              <w:textAlignment w:val="center"/>
              <w:rPr>
                <w:color w:val="auto"/>
                <w:sz w:val="21"/>
                <w:szCs w:val="21"/>
                <w:highlight w:val="none"/>
              </w:rPr>
            </w:pPr>
            <w:r>
              <w:rPr>
                <w:color w:val="auto"/>
                <w:kern w:val="0"/>
                <w:sz w:val="21"/>
                <w:szCs w:val="21"/>
                <w:highlight w:val="none"/>
              </w:rPr>
              <w:t>0</w:t>
            </w:r>
          </w:p>
        </w:tc>
        <w:tc>
          <w:tcPr>
            <w:tcW w:w="1479" w:type="dxa"/>
            <w:shd w:val="clear" w:color="auto" w:fill="auto"/>
            <w:vAlign w:val="center"/>
          </w:tcPr>
          <w:p w14:paraId="7E8CA75D">
            <w:pPr>
              <w:widowControl/>
              <w:jc w:val="center"/>
              <w:textAlignment w:val="center"/>
              <w:rPr>
                <w:color w:val="auto"/>
                <w:sz w:val="21"/>
                <w:szCs w:val="21"/>
                <w:highlight w:val="none"/>
              </w:rPr>
            </w:pPr>
            <w:r>
              <w:rPr>
                <w:color w:val="auto"/>
                <w:kern w:val="0"/>
                <w:sz w:val="21"/>
                <w:szCs w:val="21"/>
                <w:highlight w:val="none"/>
              </w:rPr>
              <w:t>0</w:t>
            </w:r>
          </w:p>
        </w:tc>
        <w:tc>
          <w:tcPr>
            <w:tcW w:w="1651" w:type="dxa"/>
            <w:shd w:val="clear" w:color="auto" w:fill="auto"/>
            <w:vAlign w:val="center"/>
          </w:tcPr>
          <w:p w14:paraId="7452A799">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c>
          <w:tcPr>
            <w:tcW w:w="1564" w:type="dxa"/>
            <w:shd w:val="clear" w:color="auto" w:fill="auto"/>
            <w:vAlign w:val="center"/>
          </w:tcPr>
          <w:p w14:paraId="3CBB5600">
            <w:pPr>
              <w:widowControl/>
              <w:jc w:val="center"/>
              <w:textAlignment w:val="center"/>
              <w:rPr>
                <w:color w:val="auto"/>
                <w:sz w:val="21"/>
                <w:szCs w:val="21"/>
                <w:highlight w:val="none"/>
              </w:rPr>
            </w:pPr>
            <w:r>
              <w:rPr>
                <w:color w:val="auto"/>
                <w:kern w:val="0"/>
                <w:sz w:val="21"/>
                <w:szCs w:val="21"/>
                <w:highlight w:val="none"/>
              </w:rPr>
              <w:t>0</w:t>
            </w:r>
          </w:p>
        </w:tc>
        <w:tc>
          <w:tcPr>
            <w:tcW w:w="1720" w:type="dxa"/>
            <w:shd w:val="clear" w:color="auto" w:fill="auto"/>
            <w:vAlign w:val="center"/>
          </w:tcPr>
          <w:p w14:paraId="75D4DC0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c>
          <w:tcPr>
            <w:tcW w:w="1407" w:type="dxa"/>
            <w:shd w:val="clear" w:color="auto" w:fill="auto"/>
            <w:vAlign w:val="center"/>
          </w:tcPr>
          <w:p w14:paraId="2B698A92">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0.11 </w:t>
            </w:r>
          </w:p>
        </w:tc>
      </w:tr>
      <w:tr w14:paraId="19E2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14E0C81A">
            <w:pPr>
              <w:spacing w:line="240" w:lineRule="auto"/>
              <w:jc w:val="center"/>
              <w:rPr>
                <w:color w:val="auto"/>
                <w:sz w:val="21"/>
                <w:szCs w:val="21"/>
                <w:highlight w:val="none"/>
              </w:rPr>
            </w:pPr>
          </w:p>
        </w:tc>
        <w:tc>
          <w:tcPr>
            <w:tcW w:w="2203" w:type="dxa"/>
            <w:shd w:val="clear" w:color="auto" w:fill="auto"/>
            <w:vAlign w:val="center"/>
          </w:tcPr>
          <w:p w14:paraId="6C7B0E20">
            <w:pPr>
              <w:keepNext w:val="0"/>
              <w:keepLines w:val="0"/>
              <w:widowControl/>
              <w:suppressLineNumbers w:val="0"/>
              <w:jc w:val="center"/>
              <w:textAlignment w:val="center"/>
              <w:rPr>
                <w:b/>
                <w:bCs/>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废烧碱包装袋</w:t>
            </w:r>
            <w:r>
              <w:rPr>
                <w:color w:val="auto"/>
                <w:sz w:val="21"/>
                <w:szCs w:val="21"/>
                <w:highlight w:val="none"/>
              </w:rPr>
              <w:t>（t/a）</w:t>
            </w:r>
          </w:p>
        </w:tc>
        <w:tc>
          <w:tcPr>
            <w:tcW w:w="1386" w:type="dxa"/>
            <w:shd w:val="clear" w:color="auto" w:fill="auto"/>
            <w:vAlign w:val="center"/>
          </w:tcPr>
          <w:p w14:paraId="7EE81D81">
            <w:pPr>
              <w:widowControl/>
              <w:jc w:val="center"/>
              <w:textAlignment w:val="center"/>
              <w:rPr>
                <w:color w:val="auto"/>
                <w:sz w:val="21"/>
                <w:szCs w:val="21"/>
                <w:highlight w:val="none"/>
              </w:rPr>
            </w:pPr>
            <w:r>
              <w:rPr>
                <w:color w:val="auto"/>
                <w:kern w:val="0"/>
                <w:sz w:val="21"/>
                <w:szCs w:val="21"/>
                <w:highlight w:val="none"/>
              </w:rPr>
              <w:t>0</w:t>
            </w:r>
          </w:p>
        </w:tc>
        <w:tc>
          <w:tcPr>
            <w:tcW w:w="1562" w:type="dxa"/>
            <w:shd w:val="clear" w:color="auto" w:fill="auto"/>
            <w:vAlign w:val="center"/>
          </w:tcPr>
          <w:p w14:paraId="7161D069">
            <w:pPr>
              <w:widowControl/>
              <w:jc w:val="center"/>
              <w:textAlignment w:val="center"/>
              <w:rPr>
                <w:color w:val="auto"/>
                <w:sz w:val="21"/>
                <w:szCs w:val="21"/>
                <w:highlight w:val="none"/>
              </w:rPr>
            </w:pPr>
            <w:r>
              <w:rPr>
                <w:color w:val="auto"/>
                <w:kern w:val="0"/>
                <w:sz w:val="21"/>
                <w:szCs w:val="21"/>
                <w:highlight w:val="none"/>
              </w:rPr>
              <w:t>0</w:t>
            </w:r>
          </w:p>
        </w:tc>
        <w:tc>
          <w:tcPr>
            <w:tcW w:w="1479" w:type="dxa"/>
            <w:shd w:val="clear" w:color="auto" w:fill="auto"/>
            <w:vAlign w:val="center"/>
          </w:tcPr>
          <w:p w14:paraId="71DCBB70">
            <w:pPr>
              <w:widowControl/>
              <w:jc w:val="center"/>
              <w:textAlignment w:val="center"/>
              <w:rPr>
                <w:color w:val="auto"/>
                <w:sz w:val="21"/>
                <w:szCs w:val="21"/>
                <w:highlight w:val="none"/>
              </w:rPr>
            </w:pPr>
            <w:r>
              <w:rPr>
                <w:color w:val="auto"/>
                <w:kern w:val="0"/>
                <w:sz w:val="21"/>
                <w:szCs w:val="21"/>
                <w:highlight w:val="none"/>
              </w:rPr>
              <w:t>0</w:t>
            </w:r>
          </w:p>
        </w:tc>
        <w:tc>
          <w:tcPr>
            <w:tcW w:w="1651" w:type="dxa"/>
            <w:shd w:val="clear" w:color="auto" w:fill="auto"/>
            <w:vAlign w:val="center"/>
          </w:tcPr>
          <w:p w14:paraId="46A4745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c>
          <w:tcPr>
            <w:tcW w:w="1564" w:type="dxa"/>
            <w:shd w:val="clear" w:color="auto" w:fill="auto"/>
            <w:vAlign w:val="center"/>
          </w:tcPr>
          <w:p w14:paraId="48BDCA8B">
            <w:pPr>
              <w:widowControl/>
              <w:jc w:val="center"/>
              <w:textAlignment w:val="center"/>
              <w:rPr>
                <w:color w:val="auto"/>
                <w:sz w:val="21"/>
                <w:szCs w:val="21"/>
                <w:highlight w:val="none"/>
              </w:rPr>
            </w:pPr>
            <w:r>
              <w:rPr>
                <w:color w:val="auto"/>
                <w:kern w:val="0"/>
                <w:sz w:val="21"/>
                <w:szCs w:val="21"/>
                <w:highlight w:val="none"/>
              </w:rPr>
              <w:t>0</w:t>
            </w:r>
          </w:p>
        </w:tc>
        <w:tc>
          <w:tcPr>
            <w:tcW w:w="1720" w:type="dxa"/>
            <w:shd w:val="clear" w:color="auto" w:fill="auto"/>
            <w:vAlign w:val="center"/>
          </w:tcPr>
          <w:p w14:paraId="2DB271D0">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c>
          <w:tcPr>
            <w:tcW w:w="1407" w:type="dxa"/>
            <w:shd w:val="clear" w:color="auto" w:fill="auto"/>
            <w:vAlign w:val="center"/>
          </w:tcPr>
          <w:p w14:paraId="0BCF8D59">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0.15 </w:t>
            </w:r>
          </w:p>
        </w:tc>
      </w:tr>
      <w:tr w14:paraId="3A6A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3DF9FD0">
            <w:pPr>
              <w:spacing w:line="240" w:lineRule="auto"/>
              <w:jc w:val="center"/>
              <w:rPr>
                <w:color w:val="auto"/>
                <w:sz w:val="21"/>
                <w:szCs w:val="21"/>
                <w:highlight w:val="none"/>
              </w:rPr>
            </w:pPr>
          </w:p>
        </w:tc>
        <w:tc>
          <w:tcPr>
            <w:tcW w:w="2203" w:type="dxa"/>
            <w:shd w:val="clear" w:color="auto" w:fill="auto"/>
            <w:vAlign w:val="center"/>
          </w:tcPr>
          <w:p w14:paraId="0F9D0959">
            <w:pPr>
              <w:keepNext w:val="0"/>
              <w:keepLines w:val="0"/>
              <w:widowControl/>
              <w:suppressLineNumbers w:val="0"/>
              <w:jc w:val="center"/>
              <w:textAlignment w:val="center"/>
              <w:rPr>
                <w:b/>
                <w:bCs/>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废机油桶</w:t>
            </w:r>
            <w:r>
              <w:rPr>
                <w:color w:val="auto"/>
                <w:sz w:val="21"/>
                <w:szCs w:val="21"/>
                <w:highlight w:val="none"/>
              </w:rPr>
              <w:t>（t/a）</w:t>
            </w:r>
          </w:p>
        </w:tc>
        <w:tc>
          <w:tcPr>
            <w:tcW w:w="1386" w:type="dxa"/>
            <w:shd w:val="clear" w:color="auto" w:fill="auto"/>
            <w:vAlign w:val="center"/>
          </w:tcPr>
          <w:p w14:paraId="35DEFFB7">
            <w:pPr>
              <w:widowControl/>
              <w:jc w:val="center"/>
              <w:textAlignment w:val="center"/>
              <w:rPr>
                <w:color w:val="auto"/>
                <w:sz w:val="21"/>
                <w:szCs w:val="21"/>
                <w:highlight w:val="none"/>
              </w:rPr>
            </w:pPr>
            <w:r>
              <w:rPr>
                <w:color w:val="auto"/>
                <w:kern w:val="0"/>
                <w:sz w:val="21"/>
                <w:szCs w:val="21"/>
                <w:highlight w:val="none"/>
              </w:rPr>
              <w:t>0</w:t>
            </w:r>
          </w:p>
        </w:tc>
        <w:tc>
          <w:tcPr>
            <w:tcW w:w="1562" w:type="dxa"/>
            <w:shd w:val="clear" w:color="auto" w:fill="auto"/>
            <w:vAlign w:val="center"/>
          </w:tcPr>
          <w:p w14:paraId="566E5D7C">
            <w:pPr>
              <w:widowControl/>
              <w:jc w:val="center"/>
              <w:textAlignment w:val="center"/>
              <w:rPr>
                <w:color w:val="auto"/>
                <w:sz w:val="21"/>
                <w:szCs w:val="21"/>
                <w:highlight w:val="none"/>
              </w:rPr>
            </w:pPr>
            <w:r>
              <w:rPr>
                <w:color w:val="auto"/>
                <w:kern w:val="0"/>
                <w:sz w:val="21"/>
                <w:szCs w:val="21"/>
                <w:highlight w:val="none"/>
              </w:rPr>
              <w:t>0</w:t>
            </w:r>
          </w:p>
        </w:tc>
        <w:tc>
          <w:tcPr>
            <w:tcW w:w="1479" w:type="dxa"/>
            <w:shd w:val="clear" w:color="auto" w:fill="auto"/>
            <w:vAlign w:val="center"/>
          </w:tcPr>
          <w:p w14:paraId="3B17497A">
            <w:pPr>
              <w:widowControl/>
              <w:jc w:val="center"/>
              <w:textAlignment w:val="center"/>
              <w:rPr>
                <w:color w:val="auto"/>
                <w:sz w:val="21"/>
                <w:szCs w:val="21"/>
                <w:highlight w:val="none"/>
              </w:rPr>
            </w:pPr>
            <w:r>
              <w:rPr>
                <w:color w:val="auto"/>
                <w:kern w:val="0"/>
                <w:sz w:val="21"/>
                <w:szCs w:val="21"/>
                <w:highlight w:val="none"/>
              </w:rPr>
              <w:t>0</w:t>
            </w:r>
          </w:p>
        </w:tc>
        <w:tc>
          <w:tcPr>
            <w:tcW w:w="1651" w:type="dxa"/>
            <w:shd w:val="clear" w:color="auto" w:fill="auto"/>
            <w:vAlign w:val="center"/>
          </w:tcPr>
          <w:p w14:paraId="1DC8592F">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c>
          <w:tcPr>
            <w:tcW w:w="1564" w:type="dxa"/>
            <w:shd w:val="clear" w:color="auto" w:fill="auto"/>
            <w:vAlign w:val="center"/>
          </w:tcPr>
          <w:p w14:paraId="7E91FE75">
            <w:pPr>
              <w:widowControl/>
              <w:jc w:val="center"/>
              <w:textAlignment w:val="center"/>
              <w:rPr>
                <w:color w:val="auto"/>
                <w:sz w:val="21"/>
                <w:szCs w:val="21"/>
                <w:highlight w:val="none"/>
              </w:rPr>
            </w:pPr>
            <w:r>
              <w:rPr>
                <w:color w:val="auto"/>
                <w:kern w:val="0"/>
                <w:sz w:val="21"/>
                <w:szCs w:val="21"/>
                <w:highlight w:val="none"/>
              </w:rPr>
              <w:t>0</w:t>
            </w:r>
          </w:p>
        </w:tc>
        <w:tc>
          <w:tcPr>
            <w:tcW w:w="1720" w:type="dxa"/>
            <w:shd w:val="clear" w:color="auto" w:fill="auto"/>
            <w:vAlign w:val="center"/>
          </w:tcPr>
          <w:p w14:paraId="4952ABE4">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c>
          <w:tcPr>
            <w:tcW w:w="1407" w:type="dxa"/>
            <w:shd w:val="clear" w:color="auto" w:fill="auto"/>
            <w:vAlign w:val="center"/>
          </w:tcPr>
          <w:p w14:paraId="5C3D6C92">
            <w:pPr>
              <w:keepNext w:val="0"/>
              <w:keepLines w:val="0"/>
              <w:widowControl/>
              <w:suppressLineNumbers w:val="0"/>
              <w:jc w:val="center"/>
              <w:textAlignment w:val="center"/>
              <w:rPr>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0.03 </w:t>
            </w:r>
          </w:p>
        </w:tc>
      </w:tr>
      <w:tr w14:paraId="0167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5558A64C">
            <w:pPr>
              <w:spacing w:line="240" w:lineRule="auto"/>
              <w:jc w:val="center"/>
              <w:rPr>
                <w:color w:val="auto"/>
                <w:sz w:val="21"/>
                <w:szCs w:val="21"/>
                <w:highlight w:val="none"/>
              </w:rPr>
            </w:pPr>
          </w:p>
        </w:tc>
        <w:tc>
          <w:tcPr>
            <w:tcW w:w="2203" w:type="dxa"/>
            <w:shd w:val="clear" w:color="auto" w:fill="auto"/>
            <w:vAlign w:val="center"/>
          </w:tcPr>
          <w:p w14:paraId="4255FFA2">
            <w:pPr>
              <w:keepNext w:val="0"/>
              <w:keepLines w:val="0"/>
              <w:widowControl/>
              <w:suppressLineNumbers w:val="0"/>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废机油</w:t>
            </w:r>
            <w:r>
              <w:rPr>
                <w:color w:val="auto"/>
                <w:sz w:val="21"/>
                <w:szCs w:val="21"/>
                <w:highlight w:val="none"/>
              </w:rPr>
              <w:t>（t/a）</w:t>
            </w:r>
          </w:p>
        </w:tc>
        <w:tc>
          <w:tcPr>
            <w:tcW w:w="1386" w:type="dxa"/>
            <w:shd w:val="clear" w:color="auto" w:fill="auto"/>
            <w:vAlign w:val="center"/>
          </w:tcPr>
          <w:p w14:paraId="090BD123">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670031F8">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29D8CF33">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shd w:val="clear" w:color="auto" w:fill="auto"/>
            <w:vAlign w:val="center"/>
          </w:tcPr>
          <w:p w14:paraId="2537F9DF">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c>
          <w:tcPr>
            <w:tcW w:w="1564" w:type="dxa"/>
            <w:shd w:val="clear" w:color="auto" w:fill="auto"/>
            <w:vAlign w:val="center"/>
          </w:tcPr>
          <w:p w14:paraId="0F843510">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shd w:val="clear" w:color="auto" w:fill="auto"/>
            <w:vAlign w:val="center"/>
          </w:tcPr>
          <w:p w14:paraId="4575CDE3">
            <w:pPr>
              <w:keepNext w:val="0"/>
              <w:keepLines w:val="0"/>
              <w:widowControl/>
              <w:suppressLineNumbers w:val="0"/>
              <w:jc w:val="center"/>
              <w:textAlignment w:val="center"/>
              <w:rPr>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c>
          <w:tcPr>
            <w:tcW w:w="1407" w:type="dxa"/>
            <w:shd w:val="clear" w:color="auto" w:fill="auto"/>
            <w:vAlign w:val="center"/>
          </w:tcPr>
          <w:p w14:paraId="4F4C20EF">
            <w:pPr>
              <w:keepNext w:val="0"/>
              <w:keepLines w:val="0"/>
              <w:widowControl/>
              <w:suppressLineNumbers w:val="0"/>
              <w:jc w:val="center"/>
              <w:textAlignment w:val="center"/>
              <w:rPr>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0.90 </w:t>
            </w:r>
          </w:p>
        </w:tc>
      </w:tr>
      <w:tr w14:paraId="2A34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12BBCDD8">
            <w:pPr>
              <w:spacing w:line="240" w:lineRule="auto"/>
              <w:jc w:val="center"/>
              <w:rPr>
                <w:color w:val="auto"/>
                <w:sz w:val="21"/>
                <w:szCs w:val="21"/>
                <w:highlight w:val="none"/>
              </w:rPr>
            </w:pPr>
          </w:p>
        </w:tc>
        <w:tc>
          <w:tcPr>
            <w:tcW w:w="2203" w:type="dxa"/>
            <w:shd w:val="clear" w:color="auto" w:fill="auto"/>
            <w:vAlign w:val="center"/>
          </w:tcPr>
          <w:p w14:paraId="2CEF7B77">
            <w:pPr>
              <w:keepNext w:val="0"/>
              <w:keepLines w:val="0"/>
              <w:widowControl/>
              <w:suppressLineNumbers w:val="0"/>
              <w:jc w:val="center"/>
              <w:textAlignment w:val="center"/>
              <w:rPr>
                <w:color w:val="auto"/>
                <w:kern w:val="2"/>
                <w:position w:val="0"/>
                <w:highlight w:val="none"/>
              </w:rPr>
            </w:pPr>
            <w:r>
              <w:rPr>
                <w:rFonts w:hint="eastAsia" w:ascii="宋体" w:hAnsi="宋体" w:eastAsia="宋体" w:cs="宋体"/>
                <w:i w:val="0"/>
                <w:iCs w:val="0"/>
                <w:color w:val="auto"/>
                <w:kern w:val="0"/>
                <w:sz w:val="21"/>
                <w:szCs w:val="21"/>
                <w:highlight w:val="none"/>
                <w:u w:val="none"/>
                <w:lang w:val="en-US" w:eastAsia="zh-CN" w:bidi="ar"/>
              </w:rPr>
              <w:t>含油废抹布</w:t>
            </w:r>
            <w:r>
              <w:rPr>
                <w:color w:val="auto"/>
                <w:sz w:val="21"/>
                <w:szCs w:val="21"/>
                <w:highlight w:val="none"/>
              </w:rPr>
              <w:t>（t/a）</w:t>
            </w:r>
          </w:p>
        </w:tc>
        <w:tc>
          <w:tcPr>
            <w:tcW w:w="1386" w:type="dxa"/>
            <w:shd w:val="clear" w:color="auto" w:fill="auto"/>
            <w:vAlign w:val="center"/>
          </w:tcPr>
          <w:p w14:paraId="0711EEEC">
            <w:pPr>
              <w:pStyle w:val="64"/>
              <w:snapToGrid w:val="0"/>
              <w:rPr>
                <w:color w:val="auto"/>
                <w:kern w:val="2"/>
                <w:position w:val="0"/>
                <w:highlight w:val="none"/>
              </w:rPr>
            </w:pPr>
            <w:r>
              <w:rPr>
                <w:color w:val="auto"/>
                <w:kern w:val="2"/>
                <w:position w:val="0"/>
                <w:highlight w:val="none"/>
              </w:rPr>
              <w:t>0</w:t>
            </w:r>
          </w:p>
        </w:tc>
        <w:tc>
          <w:tcPr>
            <w:tcW w:w="1562" w:type="dxa"/>
            <w:shd w:val="clear" w:color="auto" w:fill="auto"/>
            <w:vAlign w:val="center"/>
          </w:tcPr>
          <w:p w14:paraId="6B4A7B98">
            <w:pPr>
              <w:pStyle w:val="64"/>
              <w:snapToGrid w:val="0"/>
              <w:rPr>
                <w:color w:val="auto"/>
                <w:kern w:val="2"/>
                <w:position w:val="0"/>
                <w:highlight w:val="none"/>
              </w:rPr>
            </w:pPr>
            <w:r>
              <w:rPr>
                <w:color w:val="auto"/>
                <w:kern w:val="2"/>
                <w:position w:val="0"/>
                <w:highlight w:val="none"/>
              </w:rPr>
              <w:t>0</w:t>
            </w:r>
          </w:p>
        </w:tc>
        <w:tc>
          <w:tcPr>
            <w:tcW w:w="1479" w:type="dxa"/>
            <w:shd w:val="clear" w:color="auto" w:fill="auto"/>
            <w:vAlign w:val="center"/>
          </w:tcPr>
          <w:p w14:paraId="1BD8372E">
            <w:pPr>
              <w:pStyle w:val="64"/>
              <w:snapToGrid w:val="0"/>
              <w:rPr>
                <w:color w:val="auto"/>
                <w:kern w:val="2"/>
                <w:position w:val="0"/>
                <w:highlight w:val="none"/>
              </w:rPr>
            </w:pPr>
            <w:r>
              <w:rPr>
                <w:color w:val="auto"/>
                <w:kern w:val="2"/>
                <w:position w:val="0"/>
                <w:highlight w:val="none"/>
              </w:rPr>
              <w:t>0</w:t>
            </w:r>
          </w:p>
        </w:tc>
        <w:tc>
          <w:tcPr>
            <w:tcW w:w="1651" w:type="dxa"/>
            <w:shd w:val="clear" w:color="auto" w:fill="auto"/>
            <w:vAlign w:val="center"/>
          </w:tcPr>
          <w:p w14:paraId="37646500">
            <w:pPr>
              <w:keepNext w:val="0"/>
              <w:keepLines w:val="0"/>
              <w:widowControl/>
              <w:suppressLineNumbers w:val="0"/>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1564" w:type="dxa"/>
            <w:shd w:val="clear" w:color="auto" w:fill="auto"/>
            <w:vAlign w:val="center"/>
          </w:tcPr>
          <w:p w14:paraId="3818EE12">
            <w:pPr>
              <w:pStyle w:val="64"/>
              <w:snapToGrid w:val="0"/>
              <w:rPr>
                <w:color w:val="auto"/>
                <w:kern w:val="2"/>
                <w:position w:val="0"/>
                <w:highlight w:val="none"/>
              </w:rPr>
            </w:pPr>
            <w:r>
              <w:rPr>
                <w:color w:val="auto"/>
                <w:kern w:val="2"/>
                <w:position w:val="0"/>
                <w:highlight w:val="none"/>
              </w:rPr>
              <w:t>0</w:t>
            </w:r>
          </w:p>
        </w:tc>
        <w:tc>
          <w:tcPr>
            <w:tcW w:w="1720" w:type="dxa"/>
            <w:shd w:val="clear" w:color="auto" w:fill="auto"/>
            <w:vAlign w:val="center"/>
          </w:tcPr>
          <w:p w14:paraId="1C81AC2D">
            <w:pPr>
              <w:keepNext w:val="0"/>
              <w:keepLines w:val="0"/>
              <w:widowControl/>
              <w:suppressLineNumbers w:val="0"/>
              <w:jc w:val="center"/>
              <w:textAlignment w:val="center"/>
              <w:rPr>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c>
          <w:tcPr>
            <w:tcW w:w="1407" w:type="dxa"/>
            <w:shd w:val="clear" w:color="auto" w:fill="auto"/>
            <w:vAlign w:val="center"/>
          </w:tcPr>
          <w:p w14:paraId="77D1884E">
            <w:pPr>
              <w:keepNext w:val="0"/>
              <w:keepLines w:val="0"/>
              <w:widowControl/>
              <w:suppressLineNumbers w:val="0"/>
              <w:jc w:val="center"/>
              <w:textAlignment w:val="center"/>
              <w:rPr>
                <w:color w:val="auto"/>
                <w:kern w:val="2"/>
                <w:position w:val="0"/>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0.05 </w:t>
            </w:r>
          </w:p>
        </w:tc>
      </w:tr>
      <w:tr w14:paraId="2E7B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352F04FB">
            <w:pPr>
              <w:spacing w:line="240" w:lineRule="auto"/>
              <w:jc w:val="center"/>
              <w:rPr>
                <w:color w:val="auto"/>
                <w:sz w:val="21"/>
                <w:szCs w:val="21"/>
                <w:highlight w:val="none"/>
              </w:rPr>
            </w:pPr>
          </w:p>
        </w:tc>
        <w:tc>
          <w:tcPr>
            <w:tcW w:w="2203" w:type="dxa"/>
            <w:shd w:val="clear" w:color="auto" w:fill="auto"/>
            <w:vAlign w:val="center"/>
          </w:tcPr>
          <w:p w14:paraId="1F659F00">
            <w:pPr>
              <w:keepNext w:val="0"/>
              <w:keepLines w:val="0"/>
              <w:widowControl/>
              <w:suppressLineNumbers w:val="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废柴油桶</w:t>
            </w:r>
            <w:r>
              <w:rPr>
                <w:color w:val="auto"/>
                <w:sz w:val="21"/>
                <w:szCs w:val="21"/>
                <w:highlight w:val="none"/>
              </w:rPr>
              <w:t>（t/a）</w:t>
            </w:r>
          </w:p>
        </w:tc>
        <w:tc>
          <w:tcPr>
            <w:tcW w:w="1386" w:type="dxa"/>
            <w:shd w:val="clear" w:color="auto" w:fill="auto"/>
            <w:vAlign w:val="center"/>
          </w:tcPr>
          <w:p w14:paraId="06B8648F">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562" w:type="dxa"/>
            <w:shd w:val="clear" w:color="auto" w:fill="auto"/>
            <w:vAlign w:val="center"/>
          </w:tcPr>
          <w:p w14:paraId="63AD24B1">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479" w:type="dxa"/>
            <w:shd w:val="clear" w:color="auto" w:fill="auto"/>
            <w:vAlign w:val="center"/>
          </w:tcPr>
          <w:p w14:paraId="1CE92AD0">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651" w:type="dxa"/>
            <w:shd w:val="clear" w:color="auto" w:fill="auto"/>
            <w:vAlign w:val="center"/>
          </w:tcPr>
          <w:p w14:paraId="4FE517E6">
            <w:pPr>
              <w:keepNext w:val="0"/>
              <w:keepLines w:val="0"/>
              <w:widowControl/>
              <w:suppressLineNumbers w:val="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c>
          <w:tcPr>
            <w:tcW w:w="1564" w:type="dxa"/>
            <w:shd w:val="clear" w:color="auto" w:fill="auto"/>
            <w:vAlign w:val="center"/>
          </w:tcPr>
          <w:p w14:paraId="1FC98ECF">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720" w:type="dxa"/>
            <w:shd w:val="clear" w:color="auto" w:fill="auto"/>
            <w:vAlign w:val="center"/>
          </w:tcPr>
          <w:p w14:paraId="691D3AC2">
            <w:pPr>
              <w:keepNext w:val="0"/>
              <w:keepLines w:val="0"/>
              <w:widowControl/>
              <w:suppressLineNumbers w:val="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c>
          <w:tcPr>
            <w:tcW w:w="1407" w:type="dxa"/>
            <w:shd w:val="clear" w:color="auto" w:fill="auto"/>
            <w:vAlign w:val="center"/>
          </w:tcPr>
          <w:p w14:paraId="6BE5D1CA">
            <w:pPr>
              <w:keepNext w:val="0"/>
              <w:keepLines w:val="0"/>
              <w:widowControl/>
              <w:suppressLineNumbers w:val="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0.125 </w:t>
            </w:r>
          </w:p>
        </w:tc>
      </w:tr>
      <w:tr w14:paraId="40DD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65C75A12">
            <w:pPr>
              <w:spacing w:line="240" w:lineRule="auto"/>
              <w:jc w:val="center"/>
              <w:rPr>
                <w:color w:val="auto"/>
                <w:sz w:val="21"/>
                <w:szCs w:val="21"/>
                <w:highlight w:val="none"/>
              </w:rPr>
            </w:pPr>
          </w:p>
        </w:tc>
        <w:tc>
          <w:tcPr>
            <w:tcW w:w="2203" w:type="dxa"/>
            <w:shd w:val="clear" w:color="auto" w:fill="auto"/>
            <w:vAlign w:val="center"/>
          </w:tcPr>
          <w:p w14:paraId="4F09AFCB">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废活性炭</w:t>
            </w:r>
            <w:r>
              <w:rPr>
                <w:color w:val="auto"/>
                <w:sz w:val="21"/>
                <w:szCs w:val="21"/>
                <w:highlight w:val="none"/>
              </w:rPr>
              <w:t>（t/a）</w:t>
            </w:r>
          </w:p>
        </w:tc>
        <w:tc>
          <w:tcPr>
            <w:tcW w:w="1386" w:type="dxa"/>
            <w:shd w:val="clear" w:color="auto" w:fill="auto"/>
            <w:vAlign w:val="center"/>
          </w:tcPr>
          <w:p w14:paraId="280252C8">
            <w:pPr>
              <w:widowControl/>
              <w:jc w:val="center"/>
              <w:textAlignment w:val="center"/>
              <w:rPr>
                <w:color w:val="auto"/>
                <w:kern w:val="2"/>
                <w:position w:val="0"/>
                <w:highlight w:val="none"/>
              </w:rPr>
            </w:pPr>
            <w:r>
              <w:rPr>
                <w:color w:val="auto"/>
                <w:kern w:val="0"/>
                <w:sz w:val="21"/>
                <w:szCs w:val="21"/>
                <w:highlight w:val="none"/>
              </w:rPr>
              <w:t>0</w:t>
            </w:r>
          </w:p>
        </w:tc>
        <w:tc>
          <w:tcPr>
            <w:tcW w:w="1562" w:type="dxa"/>
            <w:shd w:val="clear" w:color="auto" w:fill="auto"/>
            <w:vAlign w:val="center"/>
          </w:tcPr>
          <w:p w14:paraId="6D99C23B">
            <w:pPr>
              <w:widowControl/>
              <w:jc w:val="center"/>
              <w:textAlignment w:val="center"/>
              <w:rPr>
                <w:color w:val="auto"/>
                <w:kern w:val="2"/>
                <w:position w:val="0"/>
                <w:highlight w:val="none"/>
              </w:rPr>
            </w:pPr>
            <w:r>
              <w:rPr>
                <w:color w:val="auto"/>
                <w:kern w:val="0"/>
                <w:sz w:val="21"/>
                <w:szCs w:val="21"/>
                <w:highlight w:val="none"/>
              </w:rPr>
              <w:t>0</w:t>
            </w:r>
          </w:p>
        </w:tc>
        <w:tc>
          <w:tcPr>
            <w:tcW w:w="1479" w:type="dxa"/>
            <w:shd w:val="clear" w:color="auto" w:fill="auto"/>
            <w:vAlign w:val="center"/>
          </w:tcPr>
          <w:p w14:paraId="4BBC9C96">
            <w:pPr>
              <w:widowControl/>
              <w:jc w:val="center"/>
              <w:textAlignment w:val="center"/>
              <w:rPr>
                <w:color w:val="auto"/>
                <w:kern w:val="2"/>
                <w:position w:val="0"/>
                <w:highlight w:val="none"/>
              </w:rPr>
            </w:pPr>
            <w:r>
              <w:rPr>
                <w:color w:val="auto"/>
                <w:kern w:val="0"/>
                <w:sz w:val="21"/>
                <w:szCs w:val="21"/>
                <w:highlight w:val="none"/>
              </w:rPr>
              <w:t>0</w:t>
            </w:r>
          </w:p>
        </w:tc>
        <w:tc>
          <w:tcPr>
            <w:tcW w:w="1651" w:type="dxa"/>
            <w:shd w:val="clear" w:color="auto" w:fill="auto"/>
            <w:vAlign w:val="center"/>
          </w:tcPr>
          <w:p w14:paraId="3462AF0F">
            <w:pPr>
              <w:keepNext w:val="0"/>
              <w:keepLines w:val="0"/>
              <w:widowControl/>
              <w:suppressLineNumbers w:val="0"/>
              <w:jc w:val="center"/>
              <w:textAlignment w:val="center"/>
              <w:rPr>
                <w:rFonts w:hint="eastAsia"/>
                <w:color w:val="auto"/>
                <w:kern w:val="2"/>
                <w:position w:val="0"/>
                <w:highlight w:val="none"/>
              </w:rPr>
            </w:pP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564" w:type="dxa"/>
            <w:shd w:val="clear" w:color="auto" w:fill="auto"/>
            <w:vAlign w:val="center"/>
          </w:tcPr>
          <w:p w14:paraId="4E911CA8">
            <w:pPr>
              <w:widowControl/>
              <w:jc w:val="center"/>
              <w:textAlignment w:val="center"/>
              <w:rPr>
                <w:rFonts w:ascii="Times New Roman" w:hAnsi="Times New Roman" w:eastAsia="宋体" w:cs="Times New Roman"/>
                <w:color w:val="auto"/>
                <w:kern w:val="2"/>
                <w:sz w:val="21"/>
                <w:szCs w:val="21"/>
                <w:highlight w:val="none"/>
                <w:lang w:val="en-US" w:eastAsia="zh-CN" w:bidi="ar-SA"/>
              </w:rPr>
            </w:pPr>
            <w:r>
              <w:rPr>
                <w:color w:val="auto"/>
                <w:kern w:val="0"/>
                <w:sz w:val="21"/>
                <w:szCs w:val="21"/>
                <w:highlight w:val="none"/>
              </w:rPr>
              <w:t>0</w:t>
            </w:r>
          </w:p>
        </w:tc>
        <w:tc>
          <w:tcPr>
            <w:tcW w:w="1720" w:type="dxa"/>
            <w:shd w:val="clear" w:color="auto" w:fill="auto"/>
            <w:vAlign w:val="center"/>
          </w:tcPr>
          <w:p w14:paraId="19CCF2D1">
            <w:pPr>
              <w:keepNext w:val="0"/>
              <w:keepLines w:val="0"/>
              <w:widowControl/>
              <w:suppressLineNumbers w:val="0"/>
              <w:jc w:val="center"/>
              <w:textAlignment w:val="center"/>
              <w:rPr>
                <w:rFonts w:hint="eastAsia"/>
                <w:color w:val="auto"/>
                <w:kern w:val="2"/>
                <w:position w:val="0"/>
                <w:highlight w:val="none"/>
              </w:rPr>
            </w:pP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407" w:type="dxa"/>
            <w:shd w:val="clear" w:color="auto" w:fill="auto"/>
            <w:vAlign w:val="center"/>
          </w:tcPr>
          <w:p w14:paraId="355571B8">
            <w:pPr>
              <w:keepNext w:val="0"/>
              <w:keepLines w:val="0"/>
              <w:widowControl/>
              <w:suppressLineNumbers w:val="0"/>
              <w:jc w:val="center"/>
              <w:textAlignment w:val="center"/>
              <w:rPr>
                <w:rFonts w:hint="eastAsia"/>
                <w:color w:val="auto"/>
                <w:kern w:val="2"/>
                <w:position w:val="0"/>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39.00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r>
      <w:tr w14:paraId="35CE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6D2A90EB">
            <w:pPr>
              <w:spacing w:line="240" w:lineRule="auto"/>
              <w:jc w:val="center"/>
              <w:rPr>
                <w:color w:val="auto"/>
                <w:sz w:val="21"/>
                <w:szCs w:val="21"/>
                <w:highlight w:val="none"/>
              </w:rPr>
            </w:pPr>
          </w:p>
        </w:tc>
        <w:tc>
          <w:tcPr>
            <w:tcW w:w="2203" w:type="dxa"/>
            <w:shd w:val="clear" w:color="auto" w:fill="auto"/>
            <w:vAlign w:val="center"/>
          </w:tcPr>
          <w:p w14:paraId="02CF6BDC">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废催化剂</w:t>
            </w:r>
            <w:r>
              <w:rPr>
                <w:color w:val="auto"/>
                <w:sz w:val="21"/>
                <w:szCs w:val="21"/>
                <w:highlight w:val="none"/>
              </w:rPr>
              <w:t>（t/a）</w:t>
            </w:r>
          </w:p>
        </w:tc>
        <w:tc>
          <w:tcPr>
            <w:tcW w:w="1386" w:type="dxa"/>
            <w:shd w:val="clear" w:color="auto" w:fill="auto"/>
            <w:vAlign w:val="center"/>
          </w:tcPr>
          <w:p w14:paraId="4CA02072">
            <w:pPr>
              <w:widowControl/>
              <w:jc w:val="center"/>
              <w:textAlignment w:val="center"/>
              <w:rPr>
                <w:color w:val="auto"/>
                <w:kern w:val="2"/>
                <w:position w:val="0"/>
                <w:highlight w:val="none"/>
              </w:rPr>
            </w:pPr>
            <w:r>
              <w:rPr>
                <w:color w:val="auto"/>
                <w:kern w:val="0"/>
                <w:sz w:val="21"/>
                <w:szCs w:val="21"/>
                <w:highlight w:val="none"/>
              </w:rPr>
              <w:t>0</w:t>
            </w:r>
          </w:p>
        </w:tc>
        <w:tc>
          <w:tcPr>
            <w:tcW w:w="1562" w:type="dxa"/>
            <w:shd w:val="clear" w:color="auto" w:fill="auto"/>
            <w:vAlign w:val="center"/>
          </w:tcPr>
          <w:p w14:paraId="245D7B8A">
            <w:pPr>
              <w:widowControl/>
              <w:jc w:val="center"/>
              <w:textAlignment w:val="center"/>
              <w:rPr>
                <w:color w:val="auto"/>
                <w:kern w:val="2"/>
                <w:position w:val="0"/>
                <w:highlight w:val="none"/>
              </w:rPr>
            </w:pPr>
            <w:r>
              <w:rPr>
                <w:color w:val="auto"/>
                <w:kern w:val="0"/>
                <w:sz w:val="21"/>
                <w:szCs w:val="21"/>
                <w:highlight w:val="none"/>
              </w:rPr>
              <w:t>0</w:t>
            </w:r>
          </w:p>
        </w:tc>
        <w:tc>
          <w:tcPr>
            <w:tcW w:w="1479" w:type="dxa"/>
            <w:shd w:val="clear" w:color="auto" w:fill="auto"/>
            <w:vAlign w:val="center"/>
          </w:tcPr>
          <w:p w14:paraId="2B9EC706">
            <w:pPr>
              <w:widowControl/>
              <w:jc w:val="center"/>
              <w:textAlignment w:val="center"/>
              <w:rPr>
                <w:color w:val="auto"/>
                <w:kern w:val="2"/>
                <w:position w:val="0"/>
                <w:highlight w:val="none"/>
              </w:rPr>
            </w:pPr>
            <w:r>
              <w:rPr>
                <w:color w:val="auto"/>
                <w:kern w:val="0"/>
                <w:sz w:val="21"/>
                <w:szCs w:val="21"/>
                <w:highlight w:val="none"/>
              </w:rPr>
              <w:t>0</w:t>
            </w:r>
          </w:p>
        </w:tc>
        <w:tc>
          <w:tcPr>
            <w:tcW w:w="1651" w:type="dxa"/>
            <w:shd w:val="clear" w:color="auto" w:fill="auto"/>
            <w:vAlign w:val="center"/>
          </w:tcPr>
          <w:p w14:paraId="1DFCBEC6">
            <w:pPr>
              <w:keepNext w:val="0"/>
              <w:keepLines w:val="0"/>
              <w:widowControl/>
              <w:suppressLineNumbers w:val="0"/>
              <w:jc w:val="center"/>
              <w:textAlignment w:val="center"/>
              <w:rPr>
                <w:rFonts w:hint="eastAsia"/>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c>
          <w:tcPr>
            <w:tcW w:w="1564" w:type="dxa"/>
            <w:shd w:val="clear" w:color="auto" w:fill="auto"/>
            <w:vAlign w:val="center"/>
          </w:tcPr>
          <w:p w14:paraId="076CC566">
            <w:pPr>
              <w:widowControl/>
              <w:jc w:val="center"/>
              <w:textAlignment w:val="center"/>
              <w:rPr>
                <w:rFonts w:ascii="Times New Roman" w:hAnsi="Times New Roman" w:eastAsia="宋体" w:cs="Times New Roman"/>
                <w:color w:val="auto"/>
                <w:kern w:val="0"/>
                <w:sz w:val="21"/>
                <w:szCs w:val="21"/>
                <w:highlight w:val="none"/>
                <w:lang w:val="en-US" w:eastAsia="zh-CN" w:bidi="ar-SA"/>
              </w:rPr>
            </w:pPr>
            <w:r>
              <w:rPr>
                <w:color w:val="auto"/>
                <w:kern w:val="0"/>
                <w:sz w:val="21"/>
                <w:szCs w:val="21"/>
                <w:highlight w:val="none"/>
              </w:rPr>
              <w:t>0</w:t>
            </w:r>
          </w:p>
        </w:tc>
        <w:tc>
          <w:tcPr>
            <w:tcW w:w="1720" w:type="dxa"/>
            <w:shd w:val="clear" w:color="auto" w:fill="auto"/>
            <w:vAlign w:val="center"/>
          </w:tcPr>
          <w:p w14:paraId="79E56B2C">
            <w:pPr>
              <w:keepNext w:val="0"/>
              <w:keepLines w:val="0"/>
              <w:widowControl/>
              <w:suppressLineNumbers w:val="0"/>
              <w:jc w:val="center"/>
              <w:textAlignment w:val="center"/>
              <w:rPr>
                <w:rFonts w:hint="eastAsia"/>
                <w:color w:val="auto"/>
                <w:kern w:val="2"/>
                <w:position w:val="0"/>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c>
          <w:tcPr>
            <w:tcW w:w="1407" w:type="dxa"/>
            <w:shd w:val="clear" w:color="auto" w:fill="auto"/>
            <w:vAlign w:val="center"/>
          </w:tcPr>
          <w:p w14:paraId="5AFA3E31">
            <w:pPr>
              <w:keepNext w:val="0"/>
              <w:keepLines w:val="0"/>
              <w:widowControl/>
              <w:suppressLineNumbers w:val="0"/>
              <w:jc w:val="center"/>
              <w:textAlignment w:val="center"/>
              <w:rPr>
                <w:rFonts w:hint="eastAsia"/>
                <w:color w:val="auto"/>
                <w:kern w:val="2"/>
                <w:position w:val="0"/>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1.20 </w:t>
            </w:r>
          </w:p>
        </w:tc>
      </w:tr>
      <w:tr w14:paraId="3EE9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2FEDA61">
            <w:pPr>
              <w:spacing w:line="240" w:lineRule="auto"/>
              <w:jc w:val="center"/>
              <w:rPr>
                <w:color w:val="auto"/>
                <w:sz w:val="21"/>
                <w:szCs w:val="21"/>
                <w:highlight w:val="none"/>
              </w:rPr>
            </w:pPr>
          </w:p>
        </w:tc>
        <w:tc>
          <w:tcPr>
            <w:tcW w:w="2203" w:type="dxa"/>
            <w:shd w:val="clear" w:color="auto" w:fill="auto"/>
            <w:vAlign w:val="center"/>
          </w:tcPr>
          <w:p w14:paraId="75212D09">
            <w:pPr>
              <w:keepNext w:val="0"/>
              <w:keepLines w:val="0"/>
              <w:widowControl/>
              <w:suppressLineNumbers w:val="0"/>
              <w:jc w:val="center"/>
              <w:textAlignment w:val="center"/>
              <w:rPr>
                <w:rFonts w:hint="eastAsia"/>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喷淋沉渣</w:t>
            </w:r>
            <w:r>
              <w:rPr>
                <w:color w:val="auto"/>
                <w:sz w:val="21"/>
                <w:szCs w:val="21"/>
                <w:highlight w:val="none"/>
              </w:rPr>
              <w:t>（t/a）</w:t>
            </w:r>
          </w:p>
        </w:tc>
        <w:tc>
          <w:tcPr>
            <w:tcW w:w="1386" w:type="dxa"/>
            <w:shd w:val="clear" w:color="auto" w:fill="auto"/>
            <w:vAlign w:val="center"/>
          </w:tcPr>
          <w:p w14:paraId="671EB63D">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2575583B">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05BFCA16">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shd w:val="clear" w:color="auto" w:fill="auto"/>
            <w:vAlign w:val="center"/>
          </w:tcPr>
          <w:p w14:paraId="16AB36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c>
          <w:tcPr>
            <w:tcW w:w="1564" w:type="dxa"/>
            <w:shd w:val="clear" w:color="auto" w:fill="auto"/>
            <w:vAlign w:val="center"/>
          </w:tcPr>
          <w:p w14:paraId="0632BD82">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shd w:val="clear" w:color="auto" w:fill="auto"/>
            <w:vAlign w:val="center"/>
          </w:tcPr>
          <w:p w14:paraId="11C38C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c>
          <w:tcPr>
            <w:tcW w:w="1407" w:type="dxa"/>
            <w:shd w:val="clear" w:color="auto" w:fill="auto"/>
            <w:vAlign w:val="center"/>
          </w:tcPr>
          <w:p w14:paraId="4A45C4FB">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0.65 </w:t>
            </w:r>
          </w:p>
        </w:tc>
      </w:tr>
      <w:tr w14:paraId="1FB7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0900292">
            <w:pPr>
              <w:spacing w:line="240" w:lineRule="auto"/>
              <w:jc w:val="center"/>
              <w:rPr>
                <w:color w:val="auto"/>
                <w:sz w:val="21"/>
                <w:szCs w:val="21"/>
                <w:highlight w:val="none"/>
              </w:rPr>
            </w:pPr>
          </w:p>
        </w:tc>
        <w:tc>
          <w:tcPr>
            <w:tcW w:w="2203" w:type="dxa"/>
            <w:shd w:val="clear" w:color="auto" w:fill="auto"/>
            <w:vAlign w:val="center"/>
          </w:tcPr>
          <w:p w14:paraId="0384314B">
            <w:pPr>
              <w:keepNext w:val="0"/>
              <w:keepLines w:val="0"/>
              <w:widowControl/>
              <w:suppressLineNumbers w:val="0"/>
              <w:jc w:val="center"/>
              <w:textAlignment w:val="center"/>
              <w:rPr>
                <w:rFonts w:hint="eastAsia"/>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废过滤棉</w:t>
            </w:r>
            <w:r>
              <w:rPr>
                <w:color w:val="auto"/>
                <w:sz w:val="21"/>
                <w:szCs w:val="21"/>
                <w:highlight w:val="none"/>
              </w:rPr>
              <w:t>（t/a）</w:t>
            </w:r>
          </w:p>
        </w:tc>
        <w:tc>
          <w:tcPr>
            <w:tcW w:w="1386" w:type="dxa"/>
            <w:shd w:val="clear" w:color="auto" w:fill="auto"/>
            <w:vAlign w:val="center"/>
          </w:tcPr>
          <w:p w14:paraId="4216F03A">
            <w:pPr>
              <w:widowControl/>
              <w:jc w:val="center"/>
              <w:textAlignment w:val="center"/>
              <w:rPr>
                <w:color w:val="auto"/>
                <w:kern w:val="0"/>
                <w:sz w:val="21"/>
                <w:szCs w:val="21"/>
                <w:highlight w:val="none"/>
              </w:rPr>
            </w:pPr>
            <w:r>
              <w:rPr>
                <w:color w:val="auto"/>
                <w:kern w:val="0"/>
                <w:sz w:val="21"/>
                <w:szCs w:val="21"/>
                <w:highlight w:val="none"/>
              </w:rPr>
              <w:t>0</w:t>
            </w:r>
          </w:p>
        </w:tc>
        <w:tc>
          <w:tcPr>
            <w:tcW w:w="1562" w:type="dxa"/>
            <w:shd w:val="clear" w:color="auto" w:fill="auto"/>
            <w:vAlign w:val="center"/>
          </w:tcPr>
          <w:p w14:paraId="64BA0AD9">
            <w:pPr>
              <w:widowControl/>
              <w:jc w:val="center"/>
              <w:textAlignment w:val="center"/>
              <w:rPr>
                <w:color w:val="auto"/>
                <w:kern w:val="0"/>
                <w:sz w:val="21"/>
                <w:szCs w:val="21"/>
                <w:highlight w:val="none"/>
              </w:rPr>
            </w:pPr>
            <w:r>
              <w:rPr>
                <w:color w:val="auto"/>
                <w:kern w:val="0"/>
                <w:sz w:val="21"/>
                <w:szCs w:val="21"/>
                <w:highlight w:val="none"/>
              </w:rPr>
              <w:t>0</w:t>
            </w:r>
          </w:p>
        </w:tc>
        <w:tc>
          <w:tcPr>
            <w:tcW w:w="1479" w:type="dxa"/>
            <w:shd w:val="clear" w:color="auto" w:fill="auto"/>
            <w:vAlign w:val="center"/>
          </w:tcPr>
          <w:p w14:paraId="28C38D50">
            <w:pPr>
              <w:widowControl/>
              <w:jc w:val="center"/>
              <w:textAlignment w:val="center"/>
              <w:rPr>
                <w:color w:val="auto"/>
                <w:kern w:val="0"/>
                <w:sz w:val="21"/>
                <w:szCs w:val="21"/>
                <w:highlight w:val="none"/>
              </w:rPr>
            </w:pPr>
            <w:r>
              <w:rPr>
                <w:color w:val="auto"/>
                <w:kern w:val="0"/>
                <w:sz w:val="21"/>
                <w:szCs w:val="21"/>
                <w:highlight w:val="none"/>
              </w:rPr>
              <w:t>0</w:t>
            </w:r>
          </w:p>
        </w:tc>
        <w:tc>
          <w:tcPr>
            <w:tcW w:w="1651" w:type="dxa"/>
            <w:shd w:val="clear" w:color="auto" w:fill="auto"/>
            <w:vAlign w:val="center"/>
          </w:tcPr>
          <w:p w14:paraId="0AA9E4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c>
          <w:tcPr>
            <w:tcW w:w="1564" w:type="dxa"/>
            <w:shd w:val="clear" w:color="auto" w:fill="auto"/>
            <w:vAlign w:val="center"/>
          </w:tcPr>
          <w:p w14:paraId="77B51771">
            <w:pPr>
              <w:widowControl/>
              <w:jc w:val="center"/>
              <w:textAlignment w:val="center"/>
              <w:rPr>
                <w:color w:val="auto"/>
                <w:kern w:val="0"/>
                <w:sz w:val="21"/>
                <w:szCs w:val="21"/>
                <w:highlight w:val="none"/>
              </w:rPr>
            </w:pPr>
            <w:r>
              <w:rPr>
                <w:color w:val="auto"/>
                <w:kern w:val="0"/>
                <w:sz w:val="21"/>
                <w:szCs w:val="21"/>
                <w:highlight w:val="none"/>
              </w:rPr>
              <w:t>0</w:t>
            </w:r>
          </w:p>
        </w:tc>
        <w:tc>
          <w:tcPr>
            <w:tcW w:w="1720" w:type="dxa"/>
            <w:shd w:val="clear" w:color="auto" w:fill="auto"/>
            <w:vAlign w:val="center"/>
          </w:tcPr>
          <w:p w14:paraId="6A8A2E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c>
          <w:tcPr>
            <w:tcW w:w="1407" w:type="dxa"/>
            <w:shd w:val="clear" w:color="auto" w:fill="auto"/>
            <w:vAlign w:val="center"/>
          </w:tcPr>
          <w:p w14:paraId="36BACA8D">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0.70 </w:t>
            </w:r>
          </w:p>
        </w:tc>
      </w:tr>
      <w:tr w14:paraId="469A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4EA41CCF">
            <w:pPr>
              <w:spacing w:line="240" w:lineRule="auto"/>
              <w:jc w:val="center"/>
              <w:rPr>
                <w:color w:val="auto"/>
                <w:sz w:val="21"/>
                <w:szCs w:val="21"/>
                <w:highlight w:val="none"/>
              </w:rPr>
            </w:pPr>
          </w:p>
        </w:tc>
        <w:tc>
          <w:tcPr>
            <w:tcW w:w="2203" w:type="dxa"/>
            <w:shd w:val="clear" w:color="auto" w:fill="auto"/>
            <w:vAlign w:val="center"/>
          </w:tcPr>
          <w:p w14:paraId="2257F9D4">
            <w:pPr>
              <w:keepNext w:val="0"/>
              <w:keepLines w:val="0"/>
              <w:widowControl/>
              <w:suppressLineNumbers w:val="0"/>
              <w:jc w:val="center"/>
              <w:textAlignment w:val="center"/>
              <w:rPr>
                <w:rFonts w:hint="eastAsia" w:ascii="Times New Roman" w:hAnsi="Times New Roman" w:eastAsia="宋体" w:cs="Times New Roman"/>
                <w:color w:val="auto"/>
                <w:kern w:val="2"/>
                <w:position w:val="0"/>
                <w:sz w:val="24"/>
                <w:szCs w:val="24"/>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电捕废焦油</w:t>
            </w:r>
            <w:r>
              <w:rPr>
                <w:color w:val="auto"/>
                <w:sz w:val="21"/>
                <w:szCs w:val="21"/>
                <w:highlight w:val="none"/>
              </w:rPr>
              <w:t>（t/a）</w:t>
            </w:r>
          </w:p>
        </w:tc>
        <w:tc>
          <w:tcPr>
            <w:tcW w:w="1386" w:type="dxa"/>
            <w:shd w:val="clear" w:color="auto" w:fill="auto"/>
            <w:vAlign w:val="center"/>
          </w:tcPr>
          <w:p w14:paraId="1E43FAAE">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562" w:type="dxa"/>
            <w:shd w:val="clear" w:color="auto" w:fill="auto"/>
            <w:vAlign w:val="center"/>
          </w:tcPr>
          <w:p w14:paraId="0A17B79B">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479" w:type="dxa"/>
            <w:shd w:val="clear" w:color="auto" w:fill="auto"/>
            <w:vAlign w:val="center"/>
          </w:tcPr>
          <w:p w14:paraId="20494EDE">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651" w:type="dxa"/>
            <w:shd w:val="clear" w:color="auto" w:fill="auto"/>
            <w:vAlign w:val="center"/>
          </w:tcPr>
          <w:p w14:paraId="701A5A75">
            <w:pPr>
              <w:keepNext w:val="0"/>
              <w:keepLines w:val="0"/>
              <w:widowControl/>
              <w:suppressLineNumbers w:val="0"/>
              <w:jc w:val="center"/>
              <w:textAlignment w:val="center"/>
              <w:rPr>
                <w:rFonts w:hint="default" w:ascii="Times New Roman" w:hAnsi="Times New Roman" w:eastAsia="宋体" w:cs="Times New Roman"/>
                <w:color w:val="auto"/>
                <w:kern w:val="2"/>
                <w:position w:val="0"/>
                <w:sz w:val="24"/>
                <w:szCs w:val="24"/>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564" w:type="dxa"/>
            <w:shd w:val="clear" w:color="auto" w:fill="auto"/>
            <w:vAlign w:val="center"/>
          </w:tcPr>
          <w:p w14:paraId="2DE98B54">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720" w:type="dxa"/>
            <w:shd w:val="clear" w:color="auto" w:fill="auto"/>
            <w:vAlign w:val="center"/>
          </w:tcPr>
          <w:p w14:paraId="0D2A328F">
            <w:pPr>
              <w:keepNext w:val="0"/>
              <w:keepLines w:val="0"/>
              <w:widowControl/>
              <w:suppressLineNumbers w:val="0"/>
              <w:jc w:val="center"/>
              <w:textAlignment w:val="center"/>
              <w:rPr>
                <w:rFonts w:hint="default" w:ascii="Times New Roman" w:hAnsi="Times New Roman" w:eastAsia="宋体" w:cs="Times New Roman"/>
                <w:color w:val="auto"/>
                <w:kern w:val="2"/>
                <w:position w:val="0"/>
                <w:sz w:val="24"/>
                <w:szCs w:val="24"/>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1407" w:type="dxa"/>
            <w:shd w:val="clear" w:color="auto" w:fill="auto"/>
            <w:vAlign w:val="center"/>
          </w:tcPr>
          <w:p w14:paraId="402626A0">
            <w:pPr>
              <w:keepNext w:val="0"/>
              <w:keepLines w:val="0"/>
              <w:widowControl/>
              <w:suppressLineNumbers w:val="0"/>
              <w:jc w:val="center"/>
              <w:textAlignment w:val="center"/>
              <w:rPr>
                <w:rFonts w:hint="default" w:ascii="Times New Roman" w:hAnsi="Times New Roman" w:eastAsia="宋体" w:cs="Times New Roman"/>
                <w:color w:val="auto"/>
                <w:kern w:val="2"/>
                <w:position w:val="0"/>
                <w:sz w:val="24"/>
                <w:szCs w:val="24"/>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0.2</w:t>
            </w:r>
          </w:p>
        </w:tc>
      </w:tr>
      <w:tr w14:paraId="3886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6" w:type="dxa"/>
            <w:vMerge w:val="continue"/>
            <w:vAlign w:val="center"/>
          </w:tcPr>
          <w:p w14:paraId="7AD2E0F0">
            <w:pPr>
              <w:spacing w:line="240" w:lineRule="auto"/>
              <w:jc w:val="center"/>
              <w:rPr>
                <w:color w:val="auto"/>
                <w:sz w:val="21"/>
                <w:szCs w:val="21"/>
                <w:highlight w:val="none"/>
              </w:rPr>
            </w:pPr>
          </w:p>
        </w:tc>
        <w:tc>
          <w:tcPr>
            <w:tcW w:w="2203" w:type="dxa"/>
            <w:shd w:val="clear" w:color="auto" w:fill="auto"/>
            <w:vAlign w:val="center"/>
          </w:tcPr>
          <w:p w14:paraId="56478864">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电捕焦油器冲洗液</w:t>
            </w:r>
            <w:r>
              <w:rPr>
                <w:color w:val="auto"/>
                <w:sz w:val="21"/>
                <w:szCs w:val="21"/>
                <w:highlight w:val="none"/>
              </w:rPr>
              <w:t>（t/a）</w:t>
            </w:r>
          </w:p>
        </w:tc>
        <w:tc>
          <w:tcPr>
            <w:tcW w:w="1386" w:type="dxa"/>
            <w:shd w:val="clear" w:color="auto" w:fill="auto"/>
            <w:vAlign w:val="center"/>
          </w:tcPr>
          <w:p w14:paraId="452419DB">
            <w:pPr>
              <w:pStyle w:val="64"/>
              <w:snapToGrid w:val="0"/>
              <w:rPr>
                <w:color w:val="auto"/>
                <w:kern w:val="2"/>
                <w:position w:val="0"/>
                <w:highlight w:val="none"/>
              </w:rPr>
            </w:pPr>
            <w:r>
              <w:rPr>
                <w:color w:val="auto"/>
                <w:kern w:val="2"/>
                <w:position w:val="0"/>
                <w:highlight w:val="none"/>
              </w:rPr>
              <w:t>0</w:t>
            </w:r>
          </w:p>
        </w:tc>
        <w:tc>
          <w:tcPr>
            <w:tcW w:w="1562" w:type="dxa"/>
            <w:shd w:val="clear" w:color="auto" w:fill="auto"/>
            <w:vAlign w:val="center"/>
          </w:tcPr>
          <w:p w14:paraId="20244A92">
            <w:pPr>
              <w:pStyle w:val="64"/>
              <w:snapToGrid w:val="0"/>
              <w:rPr>
                <w:color w:val="auto"/>
                <w:kern w:val="2"/>
                <w:position w:val="0"/>
                <w:highlight w:val="none"/>
              </w:rPr>
            </w:pPr>
            <w:r>
              <w:rPr>
                <w:color w:val="auto"/>
                <w:kern w:val="2"/>
                <w:position w:val="0"/>
                <w:highlight w:val="none"/>
              </w:rPr>
              <w:t>0</w:t>
            </w:r>
          </w:p>
        </w:tc>
        <w:tc>
          <w:tcPr>
            <w:tcW w:w="1479" w:type="dxa"/>
            <w:shd w:val="clear" w:color="auto" w:fill="auto"/>
            <w:vAlign w:val="center"/>
          </w:tcPr>
          <w:p w14:paraId="25C51692">
            <w:pPr>
              <w:pStyle w:val="64"/>
              <w:snapToGrid w:val="0"/>
              <w:rPr>
                <w:color w:val="auto"/>
                <w:kern w:val="2"/>
                <w:position w:val="0"/>
                <w:highlight w:val="none"/>
              </w:rPr>
            </w:pPr>
            <w:r>
              <w:rPr>
                <w:color w:val="auto"/>
                <w:kern w:val="2"/>
                <w:position w:val="0"/>
                <w:highlight w:val="none"/>
              </w:rPr>
              <w:t>0</w:t>
            </w:r>
          </w:p>
        </w:tc>
        <w:tc>
          <w:tcPr>
            <w:tcW w:w="1651" w:type="dxa"/>
            <w:shd w:val="clear" w:color="auto" w:fill="auto"/>
            <w:vAlign w:val="center"/>
          </w:tcPr>
          <w:p w14:paraId="2269D85B">
            <w:pPr>
              <w:keepNext w:val="0"/>
              <w:keepLines w:val="0"/>
              <w:widowControl/>
              <w:suppressLineNumbers w:val="0"/>
              <w:jc w:val="center"/>
              <w:textAlignment w:val="center"/>
              <w:rPr>
                <w:rFonts w:hint="default"/>
                <w:color w:val="auto"/>
                <w:kern w:val="2"/>
                <w:position w:val="0"/>
                <w:highlight w:val="none"/>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21.12</w:t>
            </w:r>
          </w:p>
        </w:tc>
        <w:tc>
          <w:tcPr>
            <w:tcW w:w="1564" w:type="dxa"/>
            <w:shd w:val="clear" w:color="auto" w:fill="auto"/>
            <w:vAlign w:val="center"/>
          </w:tcPr>
          <w:p w14:paraId="7CCBD369">
            <w:pPr>
              <w:pStyle w:val="64"/>
              <w:snapToGrid w:val="0"/>
              <w:rPr>
                <w:rFonts w:ascii="Times New Roman" w:hAnsi="Times New Roman" w:eastAsia="宋体" w:cs="Times New Roman"/>
                <w:color w:val="auto"/>
                <w:kern w:val="2"/>
                <w:position w:val="0"/>
                <w:sz w:val="21"/>
                <w:szCs w:val="21"/>
                <w:highlight w:val="none"/>
                <w:lang w:val="en-US" w:eastAsia="zh-CN" w:bidi="ar-SA"/>
              </w:rPr>
            </w:pPr>
            <w:r>
              <w:rPr>
                <w:color w:val="auto"/>
                <w:kern w:val="2"/>
                <w:position w:val="0"/>
                <w:highlight w:val="none"/>
              </w:rPr>
              <w:t>0</w:t>
            </w:r>
          </w:p>
        </w:tc>
        <w:tc>
          <w:tcPr>
            <w:tcW w:w="1720" w:type="dxa"/>
            <w:shd w:val="clear" w:color="auto" w:fill="auto"/>
            <w:vAlign w:val="center"/>
          </w:tcPr>
          <w:p w14:paraId="75EB0461">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color w:val="auto"/>
                <w:kern w:val="2"/>
                <w:position w:val="0"/>
                <w:highlight w:val="none"/>
                <w:lang w:val="en-US" w:eastAsia="zh-CN"/>
              </w:rPr>
              <w:t>21.12</w:t>
            </w:r>
          </w:p>
        </w:tc>
        <w:tc>
          <w:tcPr>
            <w:tcW w:w="1407" w:type="dxa"/>
            <w:shd w:val="clear" w:color="auto" w:fill="auto"/>
            <w:vAlign w:val="center"/>
          </w:tcPr>
          <w:p w14:paraId="6C366FDB">
            <w:pPr>
              <w:keepNext w:val="0"/>
              <w:keepLines w:val="0"/>
              <w:widowControl/>
              <w:suppressLineNumbers w:val="0"/>
              <w:jc w:val="center"/>
              <w:textAlignment w:val="center"/>
              <w:rPr>
                <w:rFonts w:hint="default" w:eastAsia="宋体"/>
                <w:color w:val="auto"/>
                <w:kern w:val="2"/>
                <w:position w:val="0"/>
                <w:highlight w:val="none"/>
                <w:lang w:val="en-US" w:eastAsia="zh-CN"/>
              </w:rPr>
            </w:pPr>
            <w:r>
              <w:rPr>
                <w:rFonts w:hint="eastAsia"/>
                <w:color w:val="auto"/>
                <w:kern w:val="2"/>
                <w:position w:val="0"/>
                <w:highlight w:val="none"/>
                <w:lang w:val="en-US" w:eastAsia="zh-CN"/>
              </w:rPr>
              <w:t>+21.12</w:t>
            </w:r>
          </w:p>
        </w:tc>
      </w:tr>
    </w:tbl>
    <w:p w14:paraId="200B27F3">
      <w:pPr>
        <w:spacing w:line="240" w:lineRule="auto"/>
        <w:jc w:val="left"/>
        <w:rPr>
          <w:rFonts w:eastAsia="黑体"/>
          <w:color w:val="000000" w:themeColor="text1"/>
          <w:sz w:val="21"/>
          <w:szCs w:val="21"/>
          <w14:textFill>
            <w14:solidFill>
              <w14:schemeClr w14:val="tx1"/>
            </w14:solidFill>
          </w14:textFill>
        </w:rPr>
      </w:pPr>
      <w:r>
        <w:rPr>
          <w:rFonts w:eastAsia="黑体"/>
          <w:color w:val="000000" w:themeColor="text1"/>
          <w:sz w:val="21"/>
          <w:szCs w:val="21"/>
          <w14:textFill>
            <w14:solidFill>
              <w14:schemeClr w14:val="tx1"/>
            </w14:solidFill>
          </w14:textFill>
        </w:rPr>
        <w:t>注：⑥=①+③+④-⑤；⑦=⑥-①。</w:t>
      </w:r>
    </w:p>
    <w:p w14:paraId="5ACBF39E">
      <w:pPr>
        <w:pStyle w:val="12"/>
        <w:sectPr>
          <w:pgSz w:w="16838" w:h="11906" w:orient="landscape"/>
          <w:pgMar w:top="1417" w:right="1417" w:bottom="1134" w:left="1559" w:header="851" w:footer="992" w:gutter="0"/>
          <w:pgNumType w:fmt="numberInDash"/>
          <w:cols w:space="0" w:num="1"/>
          <w:docGrid w:type="lines" w:linePitch="334" w:charSpace="0"/>
        </w:sectPr>
      </w:pPr>
    </w:p>
    <w:p w14:paraId="3E4788D8">
      <w:pPr>
        <w:rPr>
          <w:rFonts w:hint="eastAsia" w:eastAsia="宋体"/>
          <w:lang w:eastAsia="zh-CN"/>
        </w:rPr>
      </w:pPr>
    </w:p>
    <w:p w14:paraId="1BA14764">
      <w:pPr>
        <w:pStyle w:val="13"/>
        <w:rPr>
          <w:rFonts w:hint="eastAsia" w:eastAsia="宋体"/>
          <w:lang w:eastAsia="zh-CN"/>
        </w:rPr>
      </w:pPr>
    </w:p>
    <w:p w14:paraId="6058CBD5">
      <w:pPr>
        <w:pStyle w:val="13"/>
        <w:rPr>
          <w:rFonts w:hint="eastAsia" w:eastAsia="宋体"/>
          <w:lang w:eastAsia="zh-CN"/>
        </w:rPr>
      </w:pPr>
    </w:p>
    <w:p w14:paraId="341028DB">
      <w:pPr>
        <w:pStyle w:val="13"/>
        <w:rPr>
          <w:rFonts w:hint="eastAsia" w:eastAsia="宋体"/>
          <w:lang w:eastAsia="zh-CN"/>
        </w:rPr>
      </w:pPr>
      <w:r>
        <w:rPr>
          <w:rFonts w:hint="eastAsia"/>
          <w:lang w:eastAsia="zh-CN"/>
        </w:rPr>
        <w:drawing>
          <wp:anchor distT="0" distB="0" distL="114300" distR="114300" simplePos="0" relativeHeight="251748352" behindDoc="0" locked="0" layoutInCell="1" allowOverlap="1">
            <wp:simplePos x="0" y="0"/>
            <wp:positionH relativeFrom="column">
              <wp:posOffset>174625</wp:posOffset>
            </wp:positionH>
            <wp:positionV relativeFrom="paragraph">
              <wp:posOffset>62230</wp:posOffset>
            </wp:positionV>
            <wp:extent cx="5206365" cy="7364095"/>
            <wp:effectExtent l="0" t="0" r="13335" b="8255"/>
            <wp:wrapSquare wrapText="bothSides"/>
            <wp:docPr id="76" name="图片 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3"/>
                    <pic:cNvPicPr>
                      <a:picLocks noChangeAspect="1"/>
                    </pic:cNvPicPr>
                  </pic:nvPicPr>
                  <pic:blipFill>
                    <a:blip r:embed="rId71"/>
                    <a:stretch>
                      <a:fillRect/>
                    </a:stretch>
                  </pic:blipFill>
                  <pic:spPr>
                    <a:xfrm>
                      <a:off x="0" y="0"/>
                      <a:ext cx="5206365" cy="7364095"/>
                    </a:xfrm>
                    <a:prstGeom prst="rect">
                      <a:avLst/>
                    </a:prstGeom>
                  </pic:spPr>
                </pic:pic>
              </a:graphicData>
            </a:graphic>
          </wp:anchor>
        </w:drawing>
      </w:r>
    </w:p>
    <w:p w14:paraId="6630B6A7">
      <w:pPr>
        <w:pStyle w:val="13"/>
        <w:rPr>
          <w:rFonts w:hint="eastAsia" w:eastAsia="宋体"/>
          <w:lang w:eastAsia="zh-CN"/>
        </w:rPr>
      </w:pPr>
    </w:p>
    <w:p w14:paraId="42DEFF0D">
      <w:pPr>
        <w:pStyle w:val="13"/>
        <w:rPr>
          <w:rFonts w:hint="eastAsia" w:eastAsia="宋体"/>
          <w:lang w:eastAsia="zh-CN"/>
        </w:rPr>
      </w:pPr>
    </w:p>
    <w:p w14:paraId="67852BEB">
      <w:pPr>
        <w:pStyle w:val="14"/>
        <w:rPr>
          <w:rFonts w:hint="eastAsia" w:eastAsia="宋体"/>
          <w:lang w:eastAsia="zh-CN"/>
        </w:rPr>
      </w:pPr>
    </w:p>
    <w:p w14:paraId="4212740E">
      <w:pPr>
        <w:pStyle w:val="17"/>
        <w:rPr>
          <w:rFonts w:hint="eastAsia"/>
          <w:lang w:eastAsia="zh-CN"/>
        </w:rPr>
      </w:pPr>
    </w:p>
    <w:p w14:paraId="379B1505">
      <w:pPr>
        <w:pStyle w:val="13"/>
        <w:rPr>
          <w:rFonts w:hint="eastAsia" w:eastAsia="宋体"/>
          <w:lang w:eastAsia="zh-CN"/>
        </w:rPr>
      </w:pPr>
    </w:p>
    <w:sectPr>
      <w:pgSz w:w="11906" w:h="16838"/>
      <w:pgMar w:top="1417" w:right="1134" w:bottom="1559" w:left="1417" w:header="851" w:footer="992" w:gutter="0"/>
      <w:pgNumType w:fmt="numberInDash"/>
      <w:cols w:space="0" w:num="1"/>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roman"/>
    <w:pitch w:val="default"/>
    <w:sig w:usb0="E00002FF" w:usb1="6AC7FDFB" w:usb2="00000012" w:usb3="00000000" w:csb0="4002009F" w:csb1="DFD7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新宋体">
    <w:panose1 w:val="02010609030101010101"/>
    <w:charset w:val="86"/>
    <w:family w:val="modern"/>
    <w:pitch w:val="default"/>
    <w:sig w:usb0="000000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2FF" w:usb1="420024FF" w:usb2="00000000" w:usb3="00000000" w:csb0="2000019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6040">
    <w:pPr>
      <w:snapToGrid w:val="0"/>
      <w:ind w:right="360" w:firstLine="360"/>
      <w:jc w:val="center"/>
      <w:rPr>
        <w:kern w:val="0"/>
        <w:sz w:val="18"/>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8879E">
    <w:pPr>
      <w:framePr w:wrap="around" w:vAnchor="text" w:hAnchor="margin" w:xAlign="center" w:y="1"/>
      <w:snapToGrid w:val="0"/>
      <w:jc w:val="left"/>
      <w:rPr>
        <w:rStyle w:val="53"/>
        <w:kern w:val="0"/>
        <w:sz w:val="18"/>
        <w:szCs w:val="20"/>
      </w:rPr>
    </w:pPr>
    <w:r>
      <w:rPr>
        <w:kern w:val="0"/>
        <w:sz w:val="18"/>
        <w:szCs w:val="20"/>
      </w:rPr>
      <w:fldChar w:fldCharType="begin"/>
    </w:r>
    <w:r>
      <w:rPr>
        <w:rStyle w:val="53"/>
        <w:sz w:val="21"/>
      </w:rPr>
      <w:instrText xml:space="preserve">PAGE  </w:instrText>
    </w:r>
    <w:r>
      <w:rPr>
        <w:kern w:val="0"/>
        <w:sz w:val="18"/>
        <w:szCs w:val="20"/>
      </w:rPr>
      <w:fldChar w:fldCharType="end"/>
    </w:r>
  </w:p>
  <w:p w14:paraId="15E2A0A4">
    <w:pPr>
      <w:snapToGrid w:val="0"/>
      <w:ind w:right="360" w:firstLine="360"/>
      <w:jc w:val="left"/>
      <w:rPr>
        <w:kern w:val="0"/>
        <w:sz w:val="18"/>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CA92A">
    <w:pPr>
      <w:pStyle w:val="37"/>
    </w:pPr>
    <w:r>
      <mc:AlternateContent>
        <mc:Choice Requires="wps">
          <w:drawing>
            <wp:anchor distT="0" distB="0" distL="0" distR="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9B4CAF3">
                          <w:pPr>
                            <w:pStyle w:val="37"/>
                          </w:pPr>
                          <w:r>
                            <w:fldChar w:fldCharType="begin"/>
                          </w:r>
                          <w:r>
                            <w:instrText xml:space="preserve"> PAGE  \* MERGEFORMAT </w:instrText>
                          </w:r>
                          <w:r>
                            <w:fldChar w:fldCharType="separate"/>
                          </w:r>
                          <w:r>
                            <w:t>I</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09B4CAF3">
                    <w:pPr>
                      <w:pStyle w:val="37"/>
                    </w:pPr>
                    <w:r>
                      <w:fldChar w:fldCharType="begin"/>
                    </w:r>
                    <w:r>
                      <w:instrText xml:space="preserve"> PAGE  \* MERGEFORMAT </w:instrText>
                    </w:r>
                    <w:r>
                      <w:fldChar w:fldCharType="separate"/>
                    </w:r>
                    <w:r>
                      <w:t>I</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BB84A">
    <w:pPr>
      <w:tabs>
        <w:tab w:val="center" w:pos="4153"/>
        <w:tab w:val="right" w:pos="8306"/>
      </w:tabs>
    </w:pPr>
    <w:r>
      <mc:AlternateContent>
        <mc:Choice Requires="wps">
          <w:drawing>
            <wp:anchor distT="0" distB="0" distL="0" distR="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EC0907B">
                          <w:pPr>
                            <w:pStyle w:val="37"/>
                          </w:pPr>
                          <w:r>
                            <w:fldChar w:fldCharType="begin"/>
                          </w:r>
                          <w:r>
                            <w:instrText xml:space="preserve"> PAGE  \* MERGEFORMAT </w:instrText>
                          </w:r>
                          <w:r>
                            <w:fldChar w:fldCharType="separate"/>
                          </w:r>
                          <w:r>
                            <w:t>- 4 -</w:t>
                          </w:r>
                          <w: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Eb63XJAQAAk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cgLw7tjpPKZWyo2Vpg4UKuyumms0iw8zvOth19p+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8RvrdckBAACSAwAADgAAAAAAAAABACAAAAAfAQAAZHJzL2Uyb0Rv&#10;Yy54bWxQSwUGAAAAAAYABgBZAQAAWgUAAAAA&#10;">
              <v:fill on="f" focussize="0,0"/>
              <v:stroke on="f"/>
              <v:imagedata o:title=""/>
              <o:lock v:ext="edit" aspectratio="f"/>
              <v:textbox inset="0mm,0mm,0mm,0mm" style="mso-fit-shape-to-text:t;">
                <w:txbxContent>
                  <w:p w14:paraId="1EC0907B">
                    <w:pPr>
                      <w:pStyle w:val="37"/>
                    </w:pPr>
                    <w:r>
                      <w:fldChar w:fldCharType="begin"/>
                    </w:r>
                    <w:r>
                      <w:instrText xml:space="preserve"> PAGE  \* MERGEFORMAT </w:instrText>
                    </w:r>
                    <w:r>
                      <w:fldChar w:fldCharType="separate"/>
                    </w:r>
                    <w:r>
                      <w:t>- 4 -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13268">
    <w:pPr>
      <w:pBdr>
        <w:bottom w:val="single" w:color="auto" w:sz="6" w:space="1"/>
      </w:pBdr>
      <w:snapToGrid w:val="0"/>
      <w:jc w:val="center"/>
      <w:rPr>
        <w:kern w:val="0"/>
        <w:sz w:val="18"/>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BB91C">
    <w:pPr>
      <w:pStyle w:val="3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0C371D"/>
    <w:multiLevelType w:val="singleLevel"/>
    <w:tmpl w:val="CE0C371D"/>
    <w:lvl w:ilvl="0" w:tentative="0">
      <w:start w:val="1"/>
      <w:numFmt w:val="decimal"/>
      <w:suff w:val="nothing"/>
      <w:lvlText w:val="%1、"/>
      <w:lvlJc w:val="left"/>
    </w:lvl>
  </w:abstractNum>
  <w:abstractNum w:abstractNumId="1">
    <w:nsid w:val="00000001"/>
    <w:multiLevelType w:val="singleLevel"/>
    <w:tmpl w:val="00000001"/>
    <w:lvl w:ilvl="0" w:tentative="0">
      <w:start w:val="1"/>
      <w:numFmt w:val="chineseCounting"/>
      <w:suff w:val="nothing"/>
      <w:lvlText w:val="%1、"/>
      <w:lvlJc w:val="left"/>
      <w:rPr>
        <w:rFonts w:hint="eastAsia"/>
      </w:rPr>
    </w:lvl>
  </w:abstractNum>
  <w:abstractNum w:abstractNumId="2">
    <w:nsid w:val="00000002"/>
    <w:multiLevelType w:val="multilevel"/>
    <w:tmpl w:val="00000002"/>
    <w:lvl w:ilvl="0" w:tentative="0">
      <w:start w:val="1"/>
      <w:numFmt w:val="bullet"/>
      <w:pStyle w:val="30"/>
      <w:lvlText w:val=""/>
      <w:lvlJc w:val="left"/>
      <w:pPr>
        <w:tabs>
          <w:tab w:val="left" w:pos="780"/>
        </w:tabs>
        <w:ind w:left="8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000003"/>
    <w:multiLevelType w:val="multilevel"/>
    <w:tmpl w:val="00000003"/>
    <w:lvl w:ilvl="0" w:tentative="0">
      <w:start w:val="1"/>
      <w:numFmt w:val="decimal"/>
      <w:pStyle w:val="109"/>
      <w:suff w:val="space"/>
      <w:lvlText w:val="%1."/>
      <w:lvlJc w:val="left"/>
      <w:pPr>
        <w:tabs>
          <w:tab w:val="left" w:pos="0"/>
        </w:tabs>
        <w:ind w:left="0" w:firstLine="482"/>
      </w:pPr>
      <w:rPr>
        <w:rFonts w:hint="default"/>
        <w:b/>
        <w:bCs/>
        <w:color w:val="000000"/>
        <w:sz w:val="24"/>
        <w:szCs w:val="24"/>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00000004"/>
    <w:multiLevelType w:val="singleLevel"/>
    <w:tmpl w:val="00000004"/>
    <w:lvl w:ilvl="0" w:tentative="0">
      <w:start w:val="6"/>
      <w:numFmt w:val="upperLetter"/>
      <w:lvlText w:val="%1."/>
      <w:lvlJc w:val="left"/>
      <w:pPr>
        <w:tabs>
          <w:tab w:val="left" w:pos="312"/>
        </w:tabs>
      </w:pPr>
    </w:lvl>
  </w:abstractNum>
  <w:abstractNum w:abstractNumId="5">
    <w:nsid w:val="00000005"/>
    <w:multiLevelType w:val="singleLevel"/>
    <w:tmpl w:val="00000005"/>
    <w:lvl w:ilvl="0" w:tentative="0">
      <w:start w:val="1"/>
      <w:numFmt w:val="bullet"/>
      <w:pStyle w:val="27"/>
      <w:lvlText w:val=""/>
      <w:lvlJc w:val="left"/>
      <w:pPr>
        <w:tabs>
          <w:tab w:val="left" w:pos="2040"/>
        </w:tabs>
        <w:ind w:left="2040" w:hanging="360"/>
      </w:pPr>
      <w:rPr>
        <w:rFonts w:hint="default" w:ascii="Wingdings" w:hAnsi="Wingdings"/>
      </w:rPr>
    </w:lvl>
  </w:abstractNum>
  <w:abstractNum w:abstractNumId="6">
    <w:nsid w:val="00000006"/>
    <w:multiLevelType w:val="multilevel"/>
    <w:tmpl w:val="00000006"/>
    <w:lvl w:ilvl="0" w:tentative="0">
      <w:start w:val="1"/>
      <w:numFmt w:val="decimal"/>
      <w:lvlText w:val="%1"/>
      <w:lvlJc w:val="left"/>
      <w:pPr>
        <w:ind w:left="432" w:hanging="432"/>
      </w:pPr>
      <w:rPr>
        <w:rFonts w:hint="eastAsia"/>
      </w:rPr>
    </w:lvl>
    <w:lvl w:ilvl="1" w:tentative="0">
      <w:start w:val="1"/>
      <w:numFmt w:val="none"/>
      <w:pStyle w:val="19"/>
      <w:suff w:val="nothing"/>
      <w:lvlText w:val=""/>
      <w:lvlJc w:val="left"/>
      <w:pPr>
        <w:tabs>
          <w:tab w:val="left" w:pos="0"/>
        </w:tabs>
        <w:ind w:left="0" w:firstLine="0"/>
      </w:pPr>
      <w:rPr>
        <w:rFonts w:hint="eastAsia" w:ascii="宋体" w:hAnsi="宋体" w:eastAsia="宋体" w:cs="宋体"/>
      </w:rPr>
    </w:lvl>
    <w:lvl w:ilvl="2" w:tentative="0">
      <w:start w:val="1"/>
      <w:numFmt w:val="chineseCounting"/>
      <w:pStyle w:val="10"/>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pStyle w:val="20"/>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2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2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7">
    <w:nsid w:val="00000007"/>
    <w:multiLevelType w:val="singleLevel"/>
    <w:tmpl w:val="00000007"/>
    <w:lvl w:ilvl="0" w:tentative="0">
      <w:start w:val="1"/>
      <w:numFmt w:val="chineseCounting"/>
      <w:pStyle w:val="18"/>
      <w:suff w:val="nothing"/>
      <w:lvlText w:val="%1、"/>
      <w:lvlJc w:val="left"/>
      <w:pPr>
        <w:tabs>
          <w:tab w:val="left" w:pos="0"/>
        </w:tabs>
        <w:ind w:left="0" w:firstLine="0"/>
      </w:pPr>
      <w:rPr>
        <w:rFonts w:hint="eastAsia" w:ascii="黑体" w:hAnsi="黑体" w:eastAsia="黑体" w:cs="黑体"/>
        <w:sz w:val="30"/>
        <w:szCs w:val="30"/>
      </w:rPr>
    </w:lvl>
  </w:abstractNum>
  <w:abstractNum w:abstractNumId="8">
    <w:nsid w:val="00000008"/>
    <w:multiLevelType w:val="multilevel"/>
    <w:tmpl w:val="00000008"/>
    <w:lvl w:ilvl="0" w:tentative="0">
      <w:start w:val="1"/>
      <w:numFmt w:val="decimal"/>
      <w:lvlText w:val="%1"/>
      <w:lvlJc w:val="center"/>
      <w:pPr>
        <w:tabs>
          <w:tab w:val="left" w:pos="0"/>
        </w:tabs>
        <w:ind w:left="0" w:firstLine="0"/>
      </w:pPr>
      <w:rPr>
        <w:rFonts w:hint="default"/>
      </w:rPr>
    </w:lvl>
    <w:lvl w:ilvl="1" w:tentative="0">
      <w:start w:val="1"/>
      <w:numFmt w:val="decimal"/>
      <w:lvlText w:val="(%2)"/>
      <w:lvlJc w:val="center"/>
      <w:pPr>
        <w:tabs>
          <w:tab w:val="left" w:pos="840"/>
        </w:tabs>
        <w:ind w:left="840" w:hanging="420"/>
      </w:pPr>
      <w:rPr>
        <w:rFonts w:hint="default"/>
      </w:rPr>
    </w:lvl>
    <w:lvl w:ilvl="2" w:tentative="0">
      <w:start w:val="1"/>
      <w:numFmt w:val="decimalEnclosedCircleChinese"/>
      <w:lvlText w:val="%3"/>
      <w:lvlJc w:val="center"/>
      <w:pPr>
        <w:tabs>
          <w:tab w:val="left" w:pos="1260"/>
        </w:tabs>
        <w:ind w:left="1260" w:hanging="420"/>
      </w:pPr>
      <w:rPr>
        <w:rFonts w:hint="default"/>
      </w:rPr>
    </w:lvl>
    <w:lvl w:ilvl="3" w:tentative="0">
      <w:start w:val="1"/>
      <w:numFmt w:val="decimal"/>
      <w:lvlText w:val="%4)"/>
      <w:lvlJc w:val="center"/>
      <w:pPr>
        <w:tabs>
          <w:tab w:val="left" w:pos="1680"/>
        </w:tabs>
        <w:ind w:left="1680" w:hanging="420"/>
      </w:pPr>
      <w:rPr>
        <w:rFonts w:hint="default"/>
      </w:rPr>
    </w:lvl>
    <w:lvl w:ilvl="4" w:tentative="0">
      <w:start w:val="1"/>
      <w:numFmt w:val="lowerLetter"/>
      <w:lvlText w:val="%5."/>
      <w:lvlJc w:val="center"/>
      <w:pPr>
        <w:tabs>
          <w:tab w:val="left" w:pos="2100"/>
        </w:tabs>
        <w:ind w:left="2100" w:hanging="420"/>
      </w:pPr>
      <w:rPr>
        <w:rFonts w:hint="default"/>
      </w:rPr>
    </w:lvl>
    <w:lvl w:ilvl="5" w:tentative="0">
      <w:start w:val="1"/>
      <w:numFmt w:val="lowerLetter"/>
      <w:lvlText w:val="%6)"/>
      <w:lvlJc w:val="center"/>
      <w:pPr>
        <w:tabs>
          <w:tab w:val="left" w:pos="2520"/>
        </w:tabs>
        <w:ind w:left="2520" w:hanging="420"/>
      </w:pPr>
      <w:rPr>
        <w:rFonts w:hint="default"/>
      </w:rPr>
    </w:lvl>
    <w:lvl w:ilvl="6" w:tentative="0">
      <w:start w:val="1"/>
      <w:numFmt w:val="lowerRoman"/>
      <w:lvlText w:val="%7."/>
      <w:lvlJc w:val="center"/>
      <w:pPr>
        <w:tabs>
          <w:tab w:val="left" w:pos="2940"/>
        </w:tabs>
        <w:ind w:left="2940" w:hanging="420"/>
      </w:pPr>
      <w:rPr>
        <w:rFonts w:hint="default"/>
      </w:rPr>
    </w:lvl>
    <w:lvl w:ilvl="7" w:tentative="0">
      <w:start w:val="1"/>
      <w:numFmt w:val="lowerRoman"/>
      <w:lvlText w:val="%8)"/>
      <w:lvlJc w:val="center"/>
      <w:pPr>
        <w:tabs>
          <w:tab w:val="left" w:pos="3360"/>
        </w:tabs>
        <w:ind w:left="3360" w:hanging="420"/>
      </w:pPr>
      <w:rPr>
        <w:rFonts w:hint="default"/>
      </w:rPr>
    </w:lvl>
    <w:lvl w:ilvl="8" w:tentative="0">
      <w:start w:val="1"/>
      <w:numFmt w:val="lowerLetter"/>
      <w:lvlText w:val="%9."/>
      <w:lvlJc w:val="center"/>
      <w:pPr>
        <w:tabs>
          <w:tab w:val="left" w:pos="3780"/>
        </w:tabs>
        <w:ind w:left="3780" w:hanging="420"/>
      </w:pPr>
      <w:rPr>
        <w:rFonts w:hint="default"/>
      </w:rPr>
    </w:lvl>
  </w:abstractNum>
  <w:abstractNum w:abstractNumId="9">
    <w:nsid w:val="0000000A"/>
    <w:multiLevelType w:val="multilevel"/>
    <w:tmpl w:val="0000000A"/>
    <w:lvl w:ilvl="0" w:tentative="0">
      <w:start w:val="1"/>
      <w:numFmt w:val="decimal"/>
      <w:pStyle w:val="107"/>
      <w:suff w:val="space"/>
      <w:lvlText w:val="表1-%1"/>
      <w:lvlJc w:val="center"/>
      <w:pPr>
        <w:tabs>
          <w:tab w:val="left" w:pos="0"/>
        </w:tabs>
        <w:ind w:left="0" w:firstLine="0"/>
      </w:pPr>
      <w:rPr>
        <w:rFonts w:hint="default" w:ascii="Times New Roman" w:hAnsi="Times New Roman"/>
        <w:b/>
        <w:bCs/>
        <w:sz w:val="21"/>
        <w:szCs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0000000C"/>
    <w:multiLevelType w:val="singleLevel"/>
    <w:tmpl w:val="0000000C"/>
    <w:lvl w:ilvl="0" w:tentative="0">
      <w:start w:val="1"/>
      <w:numFmt w:val="chineseCounting"/>
      <w:pStyle w:val="129"/>
      <w:suff w:val="nothing"/>
      <w:lvlText w:val="（%1）"/>
      <w:lvlJc w:val="left"/>
      <w:pPr>
        <w:ind w:left="0" w:firstLine="420"/>
      </w:pPr>
      <w:rPr>
        <w:rFonts w:hint="eastAsia"/>
      </w:rPr>
    </w:lvl>
  </w:abstractNum>
  <w:abstractNum w:abstractNumId="11">
    <w:nsid w:val="0053208E"/>
    <w:multiLevelType w:val="singleLevel"/>
    <w:tmpl w:val="0053208E"/>
    <w:lvl w:ilvl="0" w:tentative="0">
      <w:start w:val="1"/>
      <w:numFmt w:val="decimal"/>
      <w:pStyle w:val="112"/>
      <w:suff w:val="space"/>
      <w:lvlText w:val="表2-%1"/>
      <w:lvlJc w:val="center"/>
      <w:pPr>
        <w:tabs>
          <w:tab w:val="left" w:pos="0"/>
        </w:tabs>
        <w:ind w:left="0" w:firstLine="0"/>
      </w:pPr>
      <w:rPr>
        <w:rFonts w:hint="default" w:ascii="Times New Roman" w:hAnsi="Times New Roman"/>
        <w:b/>
        <w:bCs/>
        <w:snapToGrid w:val="0"/>
        <w:color w:val="000000"/>
        <w:sz w:val="21"/>
        <w:szCs w:val="21"/>
      </w:rPr>
    </w:lvl>
  </w:abstractNum>
  <w:abstractNum w:abstractNumId="12">
    <w:nsid w:val="70E7BDD9"/>
    <w:multiLevelType w:val="singleLevel"/>
    <w:tmpl w:val="70E7BDD9"/>
    <w:lvl w:ilvl="0" w:tentative="0">
      <w:start w:val="1"/>
      <w:numFmt w:val="decimal"/>
      <w:suff w:val="nothing"/>
      <w:lvlText w:val="%1、"/>
      <w:lvlJc w:val="left"/>
    </w:lvl>
  </w:abstractNum>
  <w:abstractNum w:abstractNumId="13">
    <w:nsid w:val="752DC082"/>
    <w:multiLevelType w:val="singleLevel"/>
    <w:tmpl w:val="752DC082"/>
    <w:lvl w:ilvl="0" w:tentative="0">
      <w:start w:val="4"/>
      <w:numFmt w:val="decimal"/>
      <w:suff w:val="nothing"/>
      <w:lvlText w:val="%1）"/>
      <w:lvlJc w:val="left"/>
    </w:lvl>
  </w:abstractNum>
  <w:num w:numId="1">
    <w:abstractNumId w:val="7"/>
  </w:num>
  <w:num w:numId="2">
    <w:abstractNumId w:val="6"/>
  </w:num>
  <w:num w:numId="3">
    <w:abstractNumId w:val="5"/>
  </w:num>
  <w:num w:numId="4">
    <w:abstractNumId w:val="2"/>
  </w:num>
  <w:num w:numId="5">
    <w:abstractNumId w:val="9"/>
  </w:num>
  <w:num w:numId="6">
    <w:abstractNumId w:val="3"/>
  </w:num>
  <w:num w:numId="7">
    <w:abstractNumId w:val="11"/>
  </w:num>
  <w:num w:numId="8">
    <w:abstractNumId w:val="10"/>
  </w:num>
  <w:num w:numId="9">
    <w:abstractNumId w:val="0"/>
  </w:num>
  <w:num w:numId="10">
    <w:abstractNumId w:val="12"/>
  </w:num>
  <w:num w:numId="11">
    <w:abstractNumId w:val="8"/>
  </w:num>
  <w:num w:numId="12">
    <w:abstractNumId w:val="1"/>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F04F3"/>
    <w:rsid w:val="00140AC6"/>
    <w:rsid w:val="00B358EF"/>
    <w:rsid w:val="00E26B68"/>
    <w:rsid w:val="010A7002"/>
    <w:rsid w:val="01903AAE"/>
    <w:rsid w:val="01A16DEC"/>
    <w:rsid w:val="01F91B78"/>
    <w:rsid w:val="02443CCC"/>
    <w:rsid w:val="024D54BA"/>
    <w:rsid w:val="02A568D9"/>
    <w:rsid w:val="02A66735"/>
    <w:rsid w:val="02F64D2B"/>
    <w:rsid w:val="03024F09"/>
    <w:rsid w:val="037C62BC"/>
    <w:rsid w:val="038806B1"/>
    <w:rsid w:val="038B1487"/>
    <w:rsid w:val="038E15BE"/>
    <w:rsid w:val="03B920EF"/>
    <w:rsid w:val="03C70841"/>
    <w:rsid w:val="04583822"/>
    <w:rsid w:val="047359F1"/>
    <w:rsid w:val="05070440"/>
    <w:rsid w:val="05464A31"/>
    <w:rsid w:val="05E6352B"/>
    <w:rsid w:val="060D24AA"/>
    <w:rsid w:val="063C1324"/>
    <w:rsid w:val="06956707"/>
    <w:rsid w:val="06C00B06"/>
    <w:rsid w:val="070469BB"/>
    <w:rsid w:val="0705542F"/>
    <w:rsid w:val="072608E8"/>
    <w:rsid w:val="073E2A8A"/>
    <w:rsid w:val="0766313B"/>
    <w:rsid w:val="080170C8"/>
    <w:rsid w:val="08164EC5"/>
    <w:rsid w:val="084D6D1C"/>
    <w:rsid w:val="093F3B74"/>
    <w:rsid w:val="096B7280"/>
    <w:rsid w:val="09784085"/>
    <w:rsid w:val="099F5C8C"/>
    <w:rsid w:val="0A3463D4"/>
    <w:rsid w:val="0A5E6A25"/>
    <w:rsid w:val="0A5F1209"/>
    <w:rsid w:val="0ACD0E05"/>
    <w:rsid w:val="0AEC58DB"/>
    <w:rsid w:val="0B5E3666"/>
    <w:rsid w:val="0BFE6C9A"/>
    <w:rsid w:val="0C453C16"/>
    <w:rsid w:val="0CDD4579"/>
    <w:rsid w:val="0D0B0F74"/>
    <w:rsid w:val="0D124D99"/>
    <w:rsid w:val="0D493D76"/>
    <w:rsid w:val="0D846B08"/>
    <w:rsid w:val="0E1E37BA"/>
    <w:rsid w:val="0E2E2906"/>
    <w:rsid w:val="0E32510A"/>
    <w:rsid w:val="0EEF6D6E"/>
    <w:rsid w:val="0F6E5AE7"/>
    <w:rsid w:val="10F90377"/>
    <w:rsid w:val="112269E0"/>
    <w:rsid w:val="113D61A3"/>
    <w:rsid w:val="11671956"/>
    <w:rsid w:val="11694C78"/>
    <w:rsid w:val="11724810"/>
    <w:rsid w:val="117D2598"/>
    <w:rsid w:val="11867876"/>
    <w:rsid w:val="118865E2"/>
    <w:rsid w:val="118F00ED"/>
    <w:rsid w:val="11BC4CC4"/>
    <w:rsid w:val="12082A6F"/>
    <w:rsid w:val="12231716"/>
    <w:rsid w:val="123353A1"/>
    <w:rsid w:val="12C6210F"/>
    <w:rsid w:val="12D44A81"/>
    <w:rsid w:val="12E717B1"/>
    <w:rsid w:val="12F62009"/>
    <w:rsid w:val="13682C3F"/>
    <w:rsid w:val="13A72BAB"/>
    <w:rsid w:val="13DB2B49"/>
    <w:rsid w:val="13EA4F9A"/>
    <w:rsid w:val="13F0029F"/>
    <w:rsid w:val="13F30C93"/>
    <w:rsid w:val="14123F35"/>
    <w:rsid w:val="144E4536"/>
    <w:rsid w:val="146A1A6C"/>
    <w:rsid w:val="14CF499A"/>
    <w:rsid w:val="14D3313A"/>
    <w:rsid w:val="14F03D49"/>
    <w:rsid w:val="14F86A89"/>
    <w:rsid w:val="150C0BB6"/>
    <w:rsid w:val="15105A5A"/>
    <w:rsid w:val="15474DA9"/>
    <w:rsid w:val="15C82905"/>
    <w:rsid w:val="15D626EC"/>
    <w:rsid w:val="1621168A"/>
    <w:rsid w:val="1686353C"/>
    <w:rsid w:val="168F1223"/>
    <w:rsid w:val="16B90DCA"/>
    <w:rsid w:val="17254D7D"/>
    <w:rsid w:val="176108EE"/>
    <w:rsid w:val="17A9308F"/>
    <w:rsid w:val="17B17FAC"/>
    <w:rsid w:val="17CD1C6F"/>
    <w:rsid w:val="17F94268"/>
    <w:rsid w:val="18057005"/>
    <w:rsid w:val="180A2EB0"/>
    <w:rsid w:val="184223A7"/>
    <w:rsid w:val="18595A12"/>
    <w:rsid w:val="18627978"/>
    <w:rsid w:val="18931713"/>
    <w:rsid w:val="18FF0432"/>
    <w:rsid w:val="1908604B"/>
    <w:rsid w:val="192C1C5E"/>
    <w:rsid w:val="1945381D"/>
    <w:rsid w:val="19470720"/>
    <w:rsid w:val="199F3972"/>
    <w:rsid w:val="19C1285E"/>
    <w:rsid w:val="19D13528"/>
    <w:rsid w:val="1A475CB0"/>
    <w:rsid w:val="1A50511F"/>
    <w:rsid w:val="1AD05D25"/>
    <w:rsid w:val="1AD7439F"/>
    <w:rsid w:val="1B6F4A76"/>
    <w:rsid w:val="1BB92B3A"/>
    <w:rsid w:val="1C535C16"/>
    <w:rsid w:val="1C8D286B"/>
    <w:rsid w:val="1CA80EE7"/>
    <w:rsid w:val="1CC62DA7"/>
    <w:rsid w:val="1CCA1640"/>
    <w:rsid w:val="1CF708A8"/>
    <w:rsid w:val="1D092B8C"/>
    <w:rsid w:val="1D370D7F"/>
    <w:rsid w:val="1D780A46"/>
    <w:rsid w:val="1D8A585E"/>
    <w:rsid w:val="1DC62E20"/>
    <w:rsid w:val="1DE105EE"/>
    <w:rsid w:val="1DE43E6A"/>
    <w:rsid w:val="1DEF77AC"/>
    <w:rsid w:val="1E0C6DD4"/>
    <w:rsid w:val="1E31272C"/>
    <w:rsid w:val="1E764DB5"/>
    <w:rsid w:val="1FA162FE"/>
    <w:rsid w:val="1FD46CA4"/>
    <w:rsid w:val="1FEB3581"/>
    <w:rsid w:val="1FF35F0D"/>
    <w:rsid w:val="204513DA"/>
    <w:rsid w:val="204D14D8"/>
    <w:rsid w:val="20646A88"/>
    <w:rsid w:val="20B315F1"/>
    <w:rsid w:val="213A4BCA"/>
    <w:rsid w:val="2150313D"/>
    <w:rsid w:val="217E0904"/>
    <w:rsid w:val="21BF7A5A"/>
    <w:rsid w:val="22057540"/>
    <w:rsid w:val="225C589E"/>
    <w:rsid w:val="2261597F"/>
    <w:rsid w:val="22DA5505"/>
    <w:rsid w:val="22E92FB8"/>
    <w:rsid w:val="22FE58EF"/>
    <w:rsid w:val="238B51F3"/>
    <w:rsid w:val="240C078B"/>
    <w:rsid w:val="24BD5BCA"/>
    <w:rsid w:val="24E43D8A"/>
    <w:rsid w:val="24ED56A6"/>
    <w:rsid w:val="251E28B3"/>
    <w:rsid w:val="258778A8"/>
    <w:rsid w:val="25A86FBF"/>
    <w:rsid w:val="25C36F39"/>
    <w:rsid w:val="25E4746B"/>
    <w:rsid w:val="25FC1157"/>
    <w:rsid w:val="260415F2"/>
    <w:rsid w:val="26136E77"/>
    <w:rsid w:val="26265313"/>
    <w:rsid w:val="26396775"/>
    <w:rsid w:val="26EC0D40"/>
    <w:rsid w:val="27393470"/>
    <w:rsid w:val="27395107"/>
    <w:rsid w:val="27A83B7A"/>
    <w:rsid w:val="280D4E90"/>
    <w:rsid w:val="28CF3A40"/>
    <w:rsid w:val="293E667D"/>
    <w:rsid w:val="29BC1EE9"/>
    <w:rsid w:val="29FF30C2"/>
    <w:rsid w:val="2A334C7F"/>
    <w:rsid w:val="2AC716F4"/>
    <w:rsid w:val="2B112C04"/>
    <w:rsid w:val="2B2010D2"/>
    <w:rsid w:val="2B4B03B1"/>
    <w:rsid w:val="2B6C75C2"/>
    <w:rsid w:val="2B7B00F2"/>
    <w:rsid w:val="2B846FDA"/>
    <w:rsid w:val="2BB71AD6"/>
    <w:rsid w:val="2BCA0035"/>
    <w:rsid w:val="2BE2212B"/>
    <w:rsid w:val="2C1D49E1"/>
    <w:rsid w:val="2C5A25F3"/>
    <w:rsid w:val="2C6D3C9C"/>
    <w:rsid w:val="2CBD296B"/>
    <w:rsid w:val="2CE4777B"/>
    <w:rsid w:val="2D0143E4"/>
    <w:rsid w:val="2D1265F1"/>
    <w:rsid w:val="2D454F6A"/>
    <w:rsid w:val="2D64310C"/>
    <w:rsid w:val="2D6A75F0"/>
    <w:rsid w:val="2D904132"/>
    <w:rsid w:val="2E040177"/>
    <w:rsid w:val="2EB3368D"/>
    <w:rsid w:val="2F351862"/>
    <w:rsid w:val="2F450B6E"/>
    <w:rsid w:val="2F9F7C08"/>
    <w:rsid w:val="30015C07"/>
    <w:rsid w:val="300264A9"/>
    <w:rsid w:val="30051800"/>
    <w:rsid w:val="30182170"/>
    <w:rsid w:val="30482297"/>
    <w:rsid w:val="318B339A"/>
    <w:rsid w:val="32202354"/>
    <w:rsid w:val="323D4FBE"/>
    <w:rsid w:val="32752782"/>
    <w:rsid w:val="32826244"/>
    <w:rsid w:val="32971FC2"/>
    <w:rsid w:val="32E93950"/>
    <w:rsid w:val="337554C9"/>
    <w:rsid w:val="337C79B0"/>
    <w:rsid w:val="33995376"/>
    <w:rsid w:val="33BF2903"/>
    <w:rsid w:val="34014CC9"/>
    <w:rsid w:val="34351D28"/>
    <w:rsid w:val="343C3F54"/>
    <w:rsid w:val="345B2E22"/>
    <w:rsid w:val="34822140"/>
    <w:rsid w:val="34A336B5"/>
    <w:rsid w:val="34E52400"/>
    <w:rsid w:val="359202CF"/>
    <w:rsid w:val="35950E41"/>
    <w:rsid w:val="35A85888"/>
    <w:rsid w:val="35D272C2"/>
    <w:rsid w:val="361F272C"/>
    <w:rsid w:val="362F0E3F"/>
    <w:rsid w:val="366F6174"/>
    <w:rsid w:val="374114DD"/>
    <w:rsid w:val="375C13EB"/>
    <w:rsid w:val="375F0DC0"/>
    <w:rsid w:val="37785E80"/>
    <w:rsid w:val="37941652"/>
    <w:rsid w:val="37A90E68"/>
    <w:rsid w:val="37B1030C"/>
    <w:rsid w:val="37DA468E"/>
    <w:rsid w:val="37FC139F"/>
    <w:rsid w:val="385B630D"/>
    <w:rsid w:val="38635F53"/>
    <w:rsid w:val="3869482A"/>
    <w:rsid w:val="38B95B73"/>
    <w:rsid w:val="38D909FA"/>
    <w:rsid w:val="38EC5F48"/>
    <w:rsid w:val="391E4D8C"/>
    <w:rsid w:val="39794940"/>
    <w:rsid w:val="39A771F6"/>
    <w:rsid w:val="39FF3290"/>
    <w:rsid w:val="3A810D66"/>
    <w:rsid w:val="3ACA22B9"/>
    <w:rsid w:val="3ACA591A"/>
    <w:rsid w:val="3AD061D5"/>
    <w:rsid w:val="3AE315CD"/>
    <w:rsid w:val="3B223EA3"/>
    <w:rsid w:val="3B3C2A5C"/>
    <w:rsid w:val="3B843387"/>
    <w:rsid w:val="3BD10D36"/>
    <w:rsid w:val="3BE13D5E"/>
    <w:rsid w:val="3D2C0077"/>
    <w:rsid w:val="3D791F7C"/>
    <w:rsid w:val="3DEB1A70"/>
    <w:rsid w:val="3E0A3E0A"/>
    <w:rsid w:val="3E164E42"/>
    <w:rsid w:val="3E365EE9"/>
    <w:rsid w:val="3E43780F"/>
    <w:rsid w:val="3E56592D"/>
    <w:rsid w:val="3E7E390C"/>
    <w:rsid w:val="3F0B2EA0"/>
    <w:rsid w:val="3F224311"/>
    <w:rsid w:val="3F386D9D"/>
    <w:rsid w:val="3F406FEE"/>
    <w:rsid w:val="3F5D6E04"/>
    <w:rsid w:val="3F6D1432"/>
    <w:rsid w:val="3F7B406A"/>
    <w:rsid w:val="3F841701"/>
    <w:rsid w:val="3FAF2D03"/>
    <w:rsid w:val="402763F4"/>
    <w:rsid w:val="4044258D"/>
    <w:rsid w:val="409A0B88"/>
    <w:rsid w:val="41046C8C"/>
    <w:rsid w:val="4120499D"/>
    <w:rsid w:val="412A3AB2"/>
    <w:rsid w:val="41EB61F0"/>
    <w:rsid w:val="42306E93"/>
    <w:rsid w:val="42423F72"/>
    <w:rsid w:val="42746D8C"/>
    <w:rsid w:val="42D00689"/>
    <w:rsid w:val="43184500"/>
    <w:rsid w:val="435754F7"/>
    <w:rsid w:val="438576C5"/>
    <w:rsid w:val="439A01A5"/>
    <w:rsid w:val="43BF6DE8"/>
    <w:rsid w:val="43EC23E4"/>
    <w:rsid w:val="44184E04"/>
    <w:rsid w:val="444756BF"/>
    <w:rsid w:val="448D3D22"/>
    <w:rsid w:val="459C797E"/>
    <w:rsid w:val="46362A48"/>
    <w:rsid w:val="46386C71"/>
    <w:rsid w:val="468A38EB"/>
    <w:rsid w:val="46CD560B"/>
    <w:rsid w:val="46EF0A8D"/>
    <w:rsid w:val="46EF6468"/>
    <w:rsid w:val="47155126"/>
    <w:rsid w:val="47394C31"/>
    <w:rsid w:val="4776683D"/>
    <w:rsid w:val="477912EF"/>
    <w:rsid w:val="47C306AC"/>
    <w:rsid w:val="47DF4AF8"/>
    <w:rsid w:val="483C4BA8"/>
    <w:rsid w:val="48582D1F"/>
    <w:rsid w:val="489B647F"/>
    <w:rsid w:val="48A73BE0"/>
    <w:rsid w:val="48C37D28"/>
    <w:rsid w:val="49663AF5"/>
    <w:rsid w:val="498D12C8"/>
    <w:rsid w:val="49AD2339"/>
    <w:rsid w:val="4AF764A2"/>
    <w:rsid w:val="4B31282D"/>
    <w:rsid w:val="4B54124D"/>
    <w:rsid w:val="4B900477"/>
    <w:rsid w:val="4B906FEA"/>
    <w:rsid w:val="4B9A5420"/>
    <w:rsid w:val="4BBD05CA"/>
    <w:rsid w:val="4C0F5D7E"/>
    <w:rsid w:val="4C157BC4"/>
    <w:rsid w:val="4C161DA9"/>
    <w:rsid w:val="4C487C03"/>
    <w:rsid w:val="4C89261F"/>
    <w:rsid w:val="4CA42FDA"/>
    <w:rsid w:val="4CCC3241"/>
    <w:rsid w:val="4CED3A70"/>
    <w:rsid w:val="4D5B6740"/>
    <w:rsid w:val="4D6E02A0"/>
    <w:rsid w:val="4D8B1D7C"/>
    <w:rsid w:val="4D9A5B1B"/>
    <w:rsid w:val="4F347C96"/>
    <w:rsid w:val="4F3F6EC8"/>
    <w:rsid w:val="4F5123FB"/>
    <w:rsid w:val="4F7545B6"/>
    <w:rsid w:val="4F7B372A"/>
    <w:rsid w:val="4FCF0299"/>
    <w:rsid w:val="505411D3"/>
    <w:rsid w:val="505503C8"/>
    <w:rsid w:val="50F7661F"/>
    <w:rsid w:val="51066E73"/>
    <w:rsid w:val="518F720C"/>
    <w:rsid w:val="51A50062"/>
    <w:rsid w:val="51A77958"/>
    <w:rsid w:val="51AB4108"/>
    <w:rsid w:val="51B413F5"/>
    <w:rsid w:val="521B6ECB"/>
    <w:rsid w:val="523F6E53"/>
    <w:rsid w:val="52745546"/>
    <w:rsid w:val="536B16E9"/>
    <w:rsid w:val="536E3CD2"/>
    <w:rsid w:val="53C21FE4"/>
    <w:rsid w:val="53C25DCC"/>
    <w:rsid w:val="53DC0CED"/>
    <w:rsid w:val="53E977FC"/>
    <w:rsid w:val="542909DD"/>
    <w:rsid w:val="544E370D"/>
    <w:rsid w:val="546B5E83"/>
    <w:rsid w:val="54D2259C"/>
    <w:rsid w:val="54E82DF7"/>
    <w:rsid w:val="558A6E6B"/>
    <w:rsid w:val="564A319E"/>
    <w:rsid w:val="564E1715"/>
    <w:rsid w:val="56793112"/>
    <w:rsid w:val="56824A29"/>
    <w:rsid w:val="56A8745A"/>
    <w:rsid w:val="56AE367F"/>
    <w:rsid w:val="56E258D6"/>
    <w:rsid w:val="56F6195B"/>
    <w:rsid w:val="570404A9"/>
    <w:rsid w:val="572932B2"/>
    <w:rsid w:val="576A01DA"/>
    <w:rsid w:val="57771AE8"/>
    <w:rsid w:val="57F95B34"/>
    <w:rsid w:val="580B5808"/>
    <w:rsid w:val="586B011F"/>
    <w:rsid w:val="58AB44A7"/>
    <w:rsid w:val="594518F8"/>
    <w:rsid w:val="59512C85"/>
    <w:rsid w:val="59883E35"/>
    <w:rsid w:val="59B13BE9"/>
    <w:rsid w:val="59E611F1"/>
    <w:rsid w:val="5A2D08CE"/>
    <w:rsid w:val="5A6B2032"/>
    <w:rsid w:val="5AA75D1B"/>
    <w:rsid w:val="5B5437AD"/>
    <w:rsid w:val="5B7827E1"/>
    <w:rsid w:val="5C124D16"/>
    <w:rsid w:val="5C392C98"/>
    <w:rsid w:val="5C966047"/>
    <w:rsid w:val="5CC04323"/>
    <w:rsid w:val="5DD921C5"/>
    <w:rsid w:val="5E27001E"/>
    <w:rsid w:val="5E2A3E5C"/>
    <w:rsid w:val="5E453D00"/>
    <w:rsid w:val="5E734892"/>
    <w:rsid w:val="5EB61685"/>
    <w:rsid w:val="5ECF1D47"/>
    <w:rsid w:val="5EDD1316"/>
    <w:rsid w:val="5F372A53"/>
    <w:rsid w:val="5F407C12"/>
    <w:rsid w:val="5F532847"/>
    <w:rsid w:val="5F7D540E"/>
    <w:rsid w:val="5FA162A3"/>
    <w:rsid w:val="5FBE6521"/>
    <w:rsid w:val="5FD03F09"/>
    <w:rsid w:val="5FD3469F"/>
    <w:rsid w:val="5FD96977"/>
    <w:rsid w:val="60315815"/>
    <w:rsid w:val="60527913"/>
    <w:rsid w:val="60A0228B"/>
    <w:rsid w:val="60BA538E"/>
    <w:rsid w:val="60F82A97"/>
    <w:rsid w:val="610A18FA"/>
    <w:rsid w:val="61AC7224"/>
    <w:rsid w:val="61F11F59"/>
    <w:rsid w:val="626E2ADB"/>
    <w:rsid w:val="627049AC"/>
    <w:rsid w:val="62A82630"/>
    <w:rsid w:val="631E3720"/>
    <w:rsid w:val="632B426F"/>
    <w:rsid w:val="63607FD1"/>
    <w:rsid w:val="63852E48"/>
    <w:rsid w:val="639F74D1"/>
    <w:rsid w:val="63D12AA9"/>
    <w:rsid w:val="640F1B91"/>
    <w:rsid w:val="647A423D"/>
    <w:rsid w:val="64DA56BB"/>
    <w:rsid w:val="64F66DBB"/>
    <w:rsid w:val="65A044CA"/>
    <w:rsid w:val="65B07EDF"/>
    <w:rsid w:val="65D35C16"/>
    <w:rsid w:val="66875999"/>
    <w:rsid w:val="67310BBF"/>
    <w:rsid w:val="673A3A26"/>
    <w:rsid w:val="6759214B"/>
    <w:rsid w:val="675A10DC"/>
    <w:rsid w:val="67673AF6"/>
    <w:rsid w:val="677265B8"/>
    <w:rsid w:val="67900263"/>
    <w:rsid w:val="679522B9"/>
    <w:rsid w:val="67A15FA8"/>
    <w:rsid w:val="67B82C1F"/>
    <w:rsid w:val="67BE3A01"/>
    <w:rsid w:val="67EB7247"/>
    <w:rsid w:val="6804038D"/>
    <w:rsid w:val="680622D3"/>
    <w:rsid w:val="684F4FAC"/>
    <w:rsid w:val="6866313B"/>
    <w:rsid w:val="68A11FFC"/>
    <w:rsid w:val="68CB1059"/>
    <w:rsid w:val="68CC5CCD"/>
    <w:rsid w:val="68ED7A6D"/>
    <w:rsid w:val="690A7BA1"/>
    <w:rsid w:val="691A6BAC"/>
    <w:rsid w:val="69281E17"/>
    <w:rsid w:val="69594684"/>
    <w:rsid w:val="696D77E4"/>
    <w:rsid w:val="69817A9C"/>
    <w:rsid w:val="69D76CD1"/>
    <w:rsid w:val="69E16B9E"/>
    <w:rsid w:val="6A1B7226"/>
    <w:rsid w:val="6A1E2A49"/>
    <w:rsid w:val="6A3473BC"/>
    <w:rsid w:val="6A362894"/>
    <w:rsid w:val="6A8909B5"/>
    <w:rsid w:val="6A9E63C6"/>
    <w:rsid w:val="6AA54CA0"/>
    <w:rsid w:val="6ABB621C"/>
    <w:rsid w:val="6AD56EF9"/>
    <w:rsid w:val="6AF04983"/>
    <w:rsid w:val="6BB25050"/>
    <w:rsid w:val="6BFE14A9"/>
    <w:rsid w:val="6C1A5675"/>
    <w:rsid w:val="6C511D71"/>
    <w:rsid w:val="6C5F7AA9"/>
    <w:rsid w:val="6C7A6C2C"/>
    <w:rsid w:val="6C904861"/>
    <w:rsid w:val="6CAE7739"/>
    <w:rsid w:val="6CD3474E"/>
    <w:rsid w:val="6CDA3D2E"/>
    <w:rsid w:val="6CDC7AA6"/>
    <w:rsid w:val="6CEB6BE5"/>
    <w:rsid w:val="6CF85DCF"/>
    <w:rsid w:val="6D3C0057"/>
    <w:rsid w:val="6DAB2013"/>
    <w:rsid w:val="6DFE2615"/>
    <w:rsid w:val="6E3815A4"/>
    <w:rsid w:val="6E661D80"/>
    <w:rsid w:val="6EC30A76"/>
    <w:rsid w:val="6EC62972"/>
    <w:rsid w:val="6EE964AB"/>
    <w:rsid w:val="6F575F82"/>
    <w:rsid w:val="6F5F2194"/>
    <w:rsid w:val="6F772360"/>
    <w:rsid w:val="6F963F3C"/>
    <w:rsid w:val="6FA91335"/>
    <w:rsid w:val="704E0CBB"/>
    <w:rsid w:val="70772A37"/>
    <w:rsid w:val="70CB5ACC"/>
    <w:rsid w:val="70D94962"/>
    <w:rsid w:val="712F2DBD"/>
    <w:rsid w:val="7133578F"/>
    <w:rsid w:val="715E6CAF"/>
    <w:rsid w:val="71C41F17"/>
    <w:rsid w:val="71E138CB"/>
    <w:rsid w:val="722B6E62"/>
    <w:rsid w:val="725A3947"/>
    <w:rsid w:val="729053B4"/>
    <w:rsid w:val="729E5AAE"/>
    <w:rsid w:val="73793AE0"/>
    <w:rsid w:val="73921339"/>
    <w:rsid w:val="73A663C2"/>
    <w:rsid w:val="73B021B6"/>
    <w:rsid w:val="74163BC0"/>
    <w:rsid w:val="74C2174E"/>
    <w:rsid w:val="74CC7EB4"/>
    <w:rsid w:val="74D24D99"/>
    <w:rsid w:val="75700C4F"/>
    <w:rsid w:val="75CB2BC8"/>
    <w:rsid w:val="762D14B3"/>
    <w:rsid w:val="765A5E41"/>
    <w:rsid w:val="76793371"/>
    <w:rsid w:val="769F5B2A"/>
    <w:rsid w:val="76DB0168"/>
    <w:rsid w:val="77585F7B"/>
    <w:rsid w:val="77C8778E"/>
    <w:rsid w:val="783339D9"/>
    <w:rsid w:val="789C58DD"/>
    <w:rsid w:val="790939D1"/>
    <w:rsid w:val="797F0051"/>
    <w:rsid w:val="79D90435"/>
    <w:rsid w:val="79F109E5"/>
    <w:rsid w:val="7AB00A3D"/>
    <w:rsid w:val="7AB70577"/>
    <w:rsid w:val="7AD428B2"/>
    <w:rsid w:val="7AED2681"/>
    <w:rsid w:val="7AF90135"/>
    <w:rsid w:val="7B6E661D"/>
    <w:rsid w:val="7B8F68D7"/>
    <w:rsid w:val="7B9E2A52"/>
    <w:rsid w:val="7BB86609"/>
    <w:rsid w:val="7BDE436A"/>
    <w:rsid w:val="7CD347C3"/>
    <w:rsid w:val="7CF20958"/>
    <w:rsid w:val="7D0D18D1"/>
    <w:rsid w:val="7D2A7164"/>
    <w:rsid w:val="7D97120B"/>
    <w:rsid w:val="7DC84413"/>
    <w:rsid w:val="7DEC7BD3"/>
    <w:rsid w:val="7E2902F1"/>
    <w:rsid w:val="7E6D7774"/>
    <w:rsid w:val="7EB75C7D"/>
    <w:rsid w:val="7ED3230E"/>
    <w:rsid w:val="7F0F7616"/>
    <w:rsid w:val="7F2C5692"/>
    <w:rsid w:val="7F66467B"/>
    <w:rsid w:val="7FB115A3"/>
    <w:rsid w:val="7FC53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18">
    <w:name w:val="heading 1"/>
    <w:basedOn w:val="1"/>
    <w:next w:val="1"/>
    <w:qFormat/>
    <w:uiPriority w:val="0"/>
    <w:pPr>
      <w:keepNext/>
      <w:keepLines/>
      <w:numPr>
        <w:ilvl w:val="0"/>
        <w:numId w:val="1"/>
      </w:numPr>
      <w:jc w:val="center"/>
      <w:outlineLvl w:val="0"/>
    </w:pPr>
    <w:rPr>
      <w:rFonts w:eastAsia="黑体" w:cs="宋体"/>
      <w:color w:val="000000"/>
      <w:kern w:val="44"/>
      <w:sz w:val="30"/>
      <w:szCs w:val="30"/>
    </w:rPr>
  </w:style>
  <w:style w:type="paragraph" w:styleId="19">
    <w:name w:val="heading 2"/>
    <w:next w:val="1"/>
    <w:qFormat/>
    <w:uiPriority w:val="0"/>
    <w:pPr>
      <w:keepNext/>
      <w:numPr>
        <w:ilvl w:val="1"/>
        <w:numId w:val="2"/>
      </w:numPr>
      <w:tabs>
        <w:tab w:val="clear" w:pos="0"/>
      </w:tabs>
      <w:jc w:val="center"/>
      <w:outlineLvl w:val="1"/>
    </w:pPr>
    <w:rPr>
      <w:rFonts w:ascii="Times New Roman" w:hAnsi="Times New Roman" w:eastAsia="宋体" w:cs="Times New Roman"/>
      <w:color w:val="000000"/>
      <w:sz w:val="24"/>
      <w:szCs w:val="24"/>
      <w:lang w:val="en-US" w:eastAsia="zh-CN" w:bidi="ar-SA"/>
    </w:rPr>
  </w:style>
  <w:style w:type="paragraph" w:styleId="10">
    <w:name w:val="heading 3"/>
    <w:basedOn w:val="1"/>
    <w:next w:val="1"/>
    <w:qFormat/>
    <w:uiPriority w:val="0"/>
    <w:pPr>
      <w:keepNext/>
      <w:keepLines/>
      <w:numPr>
        <w:ilvl w:val="2"/>
        <w:numId w:val="2"/>
      </w:numPr>
      <w:tabs>
        <w:tab w:val="clear" w:pos="0"/>
      </w:tabs>
      <w:ind w:firstLine="1440" w:firstLineChars="200"/>
      <w:outlineLvl w:val="2"/>
    </w:pPr>
    <w:rPr>
      <w:b/>
      <w:bCs/>
      <w:color w:val="000000"/>
    </w:rPr>
  </w:style>
  <w:style w:type="paragraph" w:styleId="20">
    <w:name w:val="heading 4"/>
    <w:basedOn w:val="1"/>
    <w:next w:val="1"/>
    <w:qFormat/>
    <w:uiPriority w:val="0"/>
    <w:pPr>
      <w:keepNext/>
      <w:keepLines/>
      <w:numPr>
        <w:ilvl w:val="3"/>
        <w:numId w:val="2"/>
      </w:numPr>
      <w:tabs>
        <w:tab w:val="clear" w:pos="0"/>
      </w:tabs>
      <w:ind w:left="0" w:firstLine="1440" w:firstLineChars="200"/>
      <w:outlineLvl w:val="3"/>
    </w:pPr>
    <w:rPr>
      <w:b/>
      <w:bCs/>
      <w:color w:val="000000"/>
      <w:szCs w:val="28"/>
    </w:rPr>
  </w:style>
  <w:style w:type="paragraph" w:styleId="21">
    <w:name w:val="heading 5"/>
    <w:next w:val="1"/>
    <w:qFormat/>
    <w:uiPriority w:val="0"/>
    <w:pPr>
      <w:keepNext/>
      <w:keepLines/>
      <w:numPr>
        <w:ilvl w:val="4"/>
        <w:numId w:val="2"/>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22">
    <w:name w:val="heading 6"/>
    <w:basedOn w:val="1"/>
    <w:next w:val="1"/>
    <w:qFormat/>
    <w:uiPriority w:val="0"/>
    <w:pPr>
      <w:keepNext/>
      <w:keepLines/>
      <w:numPr>
        <w:ilvl w:val="5"/>
        <w:numId w:val="2"/>
      </w:numPr>
      <w:ind w:firstLine="1440" w:firstLineChars="200"/>
      <w:outlineLvl w:val="5"/>
    </w:pPr>
    <w:rPr>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Times New Roman" w:cs="宋体"/>
      <w:color w:val="000000"/>
    </w:rPr>
  </w:style>
  <w:style w:type="paragraph" w:customStyle="1" w:styleId="3">
    <w:name w:val="纯文本1"/>
    <w:basedOn w:val="1"/>
    <w:next w:val="1"/>
    <w:qFormat/>
    <w:uiPriority w:val="0"/>
    <w:pPr>
      <w:adjustRightInd w:val="0"/>
    </w:pPr>
    <w:rPr>
      <w:rFonts w:ascii="宋体" w:hAnsi="Courier New"/>
    </w:rPr>
  </w:style>
  <w:style w:type="paragraph" w:customStyle="1" w:styleId="4">
    <w:name w:val="样式35"/>
    <w:basedOn w:val="5"/>
    <w:next w:val="11"/>
    <w:qFormat/>
    <w:uiPriority w:val="0"/>
    <w:pPr>
      <w:tabs>
        <w:tab w:val="left" w:pos="0"/>
        <w:tab w:val="left" w:pos="360"/>
        <w:tab w:val="left" w:pos="540"/>
        <w:tab w:val="left" w:pos="567"/>
      </w:tabs>
      <w:spacing w:line="312" w:lineRule="auto"/>
      <w:ind w:firstLine="567"/>
    </w:pPr>
  </w:style>
  <w:style w:type="paragraph" w:customStyle="1" w:styleId="5">
    <w:name w:val="样式26"/>
    <w:basedOn w:val="6"/>
    <w:qFormat/>
    <w:uiPriority w:val="0"/>
    <w:pPr>
      <w:tabs>
        <w:tab w:val="left" w:pos="0"/>
        <w:tab w:val="left" w:pos="360"/>
        <w:tab w:val="left" w:pos="540"/>
        <w:tab w:val="left" w:pos="567"/>
      </w:tabs>
    </w:pPr>
  </w:style>
  <w:style w:type="paragraph" w:customStyle="1" w:styleId="6">
    <w:name w:val="样式21"/>
    <w:basedOn w:val="7"/>
    <w:qFormat/>
    <w:uiPriority w:val="0"/>
    <w:pPr>
      <w:tabs>
        <w:tab w:val="left" w:pos="360"/>
        <w:tab w:val="left" w:pos="567"/>
      </w:tabs>
      <w:ind w:hanging="992"/>
    </w:pPr>
  </w:style>
  <w:style w:type="paragraph" w:customStyle="1" w:styleId="7">
    <w:name w:val="样式5"/>
    <w:basedOn w:val="8"/>
    <w:qFormat/>
    <w:uiPriority w:val="0"/>
    <w:pPr>
      <w:tabs>
        <w:tab w:val="left" w:pos="360"/>
      </w:tabs>
      <w:ind w:right="-105" w:rightChars="-50"/>
      <w:jc w:val="center"/>
    </w:pPr>
    <w:rPr>
      <w:rFonts w:ascii="宋体"/>
      <w:sz w:val="21"/>
    </w:rPr>
  </w:style>
  <w:style w:type="paragraph" w:customStyle="1" w:styleId="8">
    <w:name w:val="样式12"/>
    <w:basedOn w:val="9"/>
    <w:qFormat/>
    <w:uiPriority w:val="0"/>
    <w:pPr>
      <w:keepNext/>
      <w:keepLines/>
      <w:tabs>
        <w:tab w:val="left" w:pos="360"/>
      </w:tabs>
      <w:spacing w:beforeLines="50" w:afterLines="50"/>
      <w:ind w:left="567" w:hanging="567"/>
      <w:outlineLvl w:val="1"/>
    </w:pPr>
    <w:rPr>
      <w:rFonts w:eastAsia="MS Mincho"/>
      <w:kern w:val="0"/>
      <w:sz w:val="28"/>
      <w:szCs w:val="28"/>
    </w:rPr>
  </w:style>
  <w:style w:type="paragraph" w:customStyle="1" w:styleId="9">
    <w:name w:val="样式 标题 3标题 3 Char标题3H3h33rd level第二层条三级标题ReHead 3 WSA头..."/>
    <w:basedOn w:val="10"/>
    <w:qFormat/>
    <w:uiPriority w:val="0"/>
    <w:pPr>
      <w:ind w:left="4140" w:hanging="720"/>
    </w:pPr>
    <w:rPr>
      <w:rFonts w:eastAsia="黑体"/>
      <w:color w:val="FF0000"/>
    </w:rPr>
  </w:style>
  <w:style w:type="paragraph" w:customStyle="1" w:styleId="11">
    <w:name w:val="font6"/>
    <w:basedOn w:val="1"/>
    <w:next w:val="12"/>
    <w:qFormat/>
    <w:uiPriority w:val="0"/>
    <w:pPr>
      <w:widowControl/>
      <w:spacing w:before="280" w:after="280"/>
    </w:pPr>
    <w:rPr>
      <w:sz w:val="21"/>
    </w:rPr>
  </w:style>
  <w:style w:type="paragraph" w:styleId="12">
    <w:name w:val="toc 2"/>
    <w:basedOn w:val="1"/>
    <w:next w:val="13"/>
    <w:qFormat/>
    <w:uiPriority w:val="0"/>
    <w:pPr>
      <w:ind w:left="420" w:leftChars="200"/>
    </w:pPr>
  </w:style>
  <w:style w:type="paragraph" w:styleId="13">
    <w:name w:val="E-mail Signature"/>
    <w:basedOn w:val="1"/>
    <w:next w:val="14"/>
    <w:qFormat/>
    <w:uiPriority w:val="0"/>
    <w:pPr>
      <w:spacing w:line="460" w:lineRule="exact"/>
      <w:ind w:firstLine="200"/>
    </w:pPr>
  </w:style>
  <w:style w:type="paragraph" w:customStyle="1" w:styleId="14">
    <w:name w:val="文章"/>
    <w:basedOn w:val="15"/>
    <w:next w:val="17"/>
    <w:qFormat/>
    <w:uiPriority w:val="0"/>
    <w:pPr>
      <w:widowControl/>
      <w:ind w:firstLine="480"/>
      <w:jc w:val="center"/>
    </w:pPr>
    <w:rPr>
      <w:sz w:val="26"/>
    </w:rPr>
  </w:style>
  <w:style w:type="paragraph" w:styleId="15">
    <w:name w:val="Body Text Indent"/>
    <w:basedOn w:val="1"/>
    <w:next w:val="16"/>
    <w:qFormat/>
    <w:uiPriority w:val="0"/>
    <w:pPr>
      <w:adjustRightInd w:val="0"/>
      <w:spacing w:after="120"/>
      <w:ind w:left="420" w:leftChars="200"/>
      <w:textAlignment w:val="baseline"/>
    </w:pPr>
    <w:rPr>
      <w:sz w:val="21"/>
      <w:szCs w:val="21"/>
    </w:rPr>
  </w:style>
  <w:style w:type="paragraph" w:styleId="16">
    <w:name w:val="caption"/>
    <w:basedOn w:val="1"/>
    <w:next w:val="1"/>
    <w:link w:val="65"/>
    <w:qFormat/>
    <w:uiPriority w:val="0"/>
    <w:pPr>
      <w:tabs>
        <w:tab w:val="left" w:pos="628"/>
        <w:tab w:val="left" w:pos="993"/>
        <w:tab w:val="left" w:pos="1884"/>
      </w:tabs>
    </w:pPr>
    <w:rPr>
      <w:szCs w:val="21"/>
    </w:rPr>
  </w:style>
  <w:style w:type="paragraph" w:styleId="17">
    <w:name w:val="List"/>
    <w:basedOn w:val="1"/>
    <w:next w:val="1"/>
    <w:qFormat/>
    <w:uiPriority w:val="0"/>
    <w:pPr>
      <w:ind w:left="200" w:hanging="200" w:hangingChars="200"/>
      <w:contextualSpacing/>
    </w:pPr>
  </w:style>
  <w:style w:type="paragraph" w:styleId="23">
    <w:name w:val="List 3"/>
    <w:basedOn w:val="1"/>
    <w:next w:val="1"/>
    <w:qFormat/>
    <w:uiPriority w:val="0"/>
    <w:pPr>
      <w:autoSpaceDE w:val="0"/>
      <w:autoSpaceDN w:val="0"/>
      <w:adjustRightInd w:val="0"/>
      <w:spacing w:line="288" w:lineRule="auto"/>
      <w:ind w:left="1260" w:hanging="420"/>
      <w:jc w:val="left"/>
      <w:textAlignment w:val="baseline"/>
    </w:pPr>
    <w:rPr>
      <w:kern w:val="0"/>
      <w:szCs w:val="20"/>
    </w:rPr>
  </w:style>
  <w:style w:type="paragraph" w:styleId="24">
    <w:name w:val="Normal Indent"/>
    <w:basedOn w:val="1"/>
    <w:link w:val="127"/>
    <w:qFormat/>
    <w:uiPriority w:val="0"/>
    <w:pPr>
      <w:ind w:firstLine="200" w:firstLineChars="200"/>
    </w:pPr>
    <w:rPr>
      <w:sz w:val="21"/>
    </w:rPr>
  </w:style>
  <w:style w:type="paragraph" w:styleId="25">
    <w:name w:val="annotation text"/>
    <w:basedOn w:val="1"/>
    <w:link w:val="91"/>
    <w:qFormat/>
    <w:uiPriority w:val="0"/>
    <w:pPr>
      <w:jc w:val="left"/>
    </w:pPr>
    <w:rPr>
      <w:kern w:val="0"/>
      <w:szCs w:val="20"/>
    </w:rPr>
  </w:style>
  <w:style w:type="paragraph" w:styleId="26">
    <w:name w:val="Body Text"/>
    <w:basedOn w:val="1"/>
    <w:next w:val="27"/>
    <w:qFormat/>
    <w:uiPriority w:val="0"/>
    <w:pPr>
      <w:wordWrap w:val="0"/>
      <w:ind w:firstLine="1440" w:firstLineChars="200"/>
    </w:pPr>
    <w:rPr>
      <w:color w:val="000000"/>
    </w:rPr>
  </w:style>
  <w:style w:type="paragraph" w:styleId="27">
    <w:name w:val="List Bullet 5"/>
    <w:basedOn w:val="1"/>
    <w:qFormat/>
    <w:uiPriority w:val="0"/>
    <w:pPr>
      <w:numPr>
        <w:ilvl w:val="0"/>
        <w:numId w:val="3"/>
      </w:numPr>
    </w:pPr>
  </w:style>
  <w:style w:type="paragraph" w:styleId="28">
    <w:name w:val="List 2"/>
    <w:basedOn w:val="1"/>
    <w:qFormat/>
    <w:uiPriority w:val="0"/>
    <w:rPr>
      <w:rFonts w:ascii="楷体_GB2312" w:hAnsi="宋体" w:eastAsia="楷体_GB2312"/>
      <w:color w:val="000000"/>
      <w:szCs w:val="28"/>
    </w:rPr>
  </w:style>
  <w:style w:type="paragraph" w:styleId="29">
    <w:name w:val="Block Text"/>
    <w:basedOn w:val="1"/>
    <w:qFormat/>
    <w:uiPriority w:val="0"/>
    <w:pPr>
      <w:adjustRightInd w:val="0"/>
      <w:spacing w:line="360" w:lineRule="auto"/>
      <w:ind w:firstLine="1446" w:firstLineChars="200"/>
      <w:textAlignment w:val="baseline"/>
    </w:pPr>
    <w:rPr>
      <w:rFonts w:ascii="Times New Roman" w:hAnsi="Times New Roman"/>
      <w:spacing w:val="-2"/>
      <w:sz w:val="24"/>
      <w:szCs w:val="20"/>
    </w:rPr>
  </w:style>
  <w:style w:type="paragraph" w:styleId="30">
    <w:name w:val="List Bullet 2"/>
    <w:basedOn w:val="1"/>
    <w:next w:val="31"/>
    <w:qFormat/>
    <w:uiPriority w:val="0"/>
    <w:pPr>
      <w:numPr>
        <w:ilvl w:val="0"/>
        <w:numId w:val="4"/>
      </w:numPr>
    </w:pPr>
  </w:style>
  <w:style w:type="paragraph" w:customStyle="1" w:styleId="31">
    <w:name w:val="xl70"/>
    <w:basedOn w:val="1"/>
    <w:next w:val="32"/>
    <w:qFormat/>
    <w:uiPriority w:val="0"/>
    <w:pPr>
      <w:widowControl/>
      <w:spacing w:before="280" w:after="280" w:line="240" w:lineRule="auto"/>
    </w:pPr>
    <w:rPr>
      <w:rFonts w:ascii="宋体"/>
    </w:rPr>
  </w:style>
  <w:style w:type="paragraph" w:customStyle="1" w:styleId="32">
    <w:name w:val="正文缩进1"/>
    <w:basedOn w:val="1"/>
    <w:next w:val="33"/>
    <w:qFormat/>
    <w:uiPriority w:val="0"/>
    <w:pPr>
      <w:spacing w:line="312" w:lineRule="atLeast"/>
      <w:textAlignment w:val="baseline"/>
    </w:pPr>
    <w:rPr>
      <w:kern w:val="0"/>
      <w:sz w:val="28"/>
      <w:szCs w:val="20"/>
    </w:rPr>
  </w:style>
  <w:style w:type="paragraph" w:customStyle="1" w:styleId="33">
    <w:name w:val="td1"/>
    <w:basedOn w:val="1"/>
    <w:next w:val="1"/>
    <w:qFormat/>
    <w:uiPriority w:val="0"/>
    <w:pPr>
      <w:widowControl/>
      <w:spacing w:before="280" w:after="280" w:line="300" w:lineRule="atLeast"/>
      <w:ind w:firstLine="200"/>
    </w:pPr>
    <w:rPr>
      <w:color w:val="000000"/>
      <w:sz w:val="18"/>
    </w:rPr>
  </w:style>
  <w:style w:type="paragraph" w:styleId="34">
    <w:name w:val="Plain Text"/>
    <w:basedOn w:val="1"/>
    <w:qFormat/>
    <w:uiPriority w:val="0"/>
    <w:rPr>
      <w:rFonts w:ascii="宋体" w:hAnsi="Courier New"/>
      <w:sz w:val="20"/>
      <w:szCs w:val="20"/>
    </w:rPr>
  </w:style>
  <w:style w:type="paragraph" w:styleId="35">
    <w:name w:val="Body Text Indent 2"/>
    <w:basedOn w:val="1"/>
    <w:next w:val="1"/>
    <w:qFormat/>
    <w:uiPriority w:val="0"/>
    <w:pPr>
      <w:spacing w:after="120" w:line="480" w:lineRule="auto"/>
      <w:ind w:left="420" w:leftChars="200"/>
    </w:pPr>
  </w:style>
  <w:style w:type="paragraph" w:styleId="36">
    <w:name w:val="Balloon Text"/>
    <w:basedOn w:val="1"/>
    <w:qFormat/>
    <w:uiPriority w:val="0"/>
    <w:rPr>
      <w:kern w:val="0"/>
      <w:sz w:val="18"/>
      <w:szCs w:val="20"/>
    </w:rPr>
  </w:style>
  <w:style w:type="paragraph" w:styleId="37">
    <w:name w:val="footer"/>
    <w:basedOn w:val="1"/>
    <w:qFormat/>
    <w:uiPriority w:val="0"/>
    <w:pPr>
      <w:tabs>
        <w:tab w:val="center" w:pos="4153"/>
        <w:tab w:val="right" w:pos="8306"/>
      </w:tabs>
      <w:snapToGrid w:val="0"/>
      <w:jc w:val="left"/>
    </w:pPr>
    <w:rPr>
      <w:sz w:val="18"/>
    </w:rPr>
  </w:style>
  <w:style w:type="paragraph" w:styleId="38">
    <w:name w:val="header"/>
    <w:basedOn w:val="1"/>
    <w:next w:val="3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39">
    <w:name w:val="index heading"/>
    <w:basedOn w:val="1"/>
    <w:next w:val="40"/>
    <w:qFormat/>
    <w:uiPriority w:val="99"/>
    <w:pPr>
      <w:snapToGrid w:val="0"/>
      <w:spacing w:line="360" w:lineRule="auto"/>
    </w:pPr>
    <w:rPr>
      <w:sz w:val="28"/>
      <w:szCs w:val="20"/>
    </w:rPr>
  </w:style>
  <w:style w:type="paragraph" w:styleId="40">
    <w:name w:val="index 1"/>
    <w:basedOn w:val="1"/>
    <w:next w:val="1"/>
    <w:qFormat/>
    <w:uiPriority w:val="0"/>
    <w:pPr>
      <w:spacing w:line="400" w:lineRule="exact"/>
      <w:ind w:right="-154"/>
    </w:pPr>
  </w:style>
  <w:style w:type="paragraph" w:styleId="41">
    <w:name w:val="toc 1"/>
    <w:basedOn w:val="1"/>
    <w:next w:val="1"/>
    <w:qFormat/>
    <w:uiPriority w:val="0"/>
  </w:style>
  <w:style w:type="paragraph" w:styleId="42">
    <w:name w:val="Subtitle"/>
    <w:basedOn w:val="1"/>
    <w:next w:val="1"/>
    <w:qFormat/>
    <w:uiPriority w:val="0"/>
    <w:pPr>
      <w:ind w:firstLine="200" w:firstLineChars="200"/>
      <w:outlineLvl w:val="1"/>
    </w:pPr>
    <w:rPr>
      <w:bCs/>
      <w:kern w:val="28"/>
      <w:szCs w:val="32"/>
    </w:rPr>
  </w:style>
  <w:style w:type="paragraph" w:styleId="43">
    <w:name w:val="Body Text Indent 3"/>
    <w:basedOn w:val="1"/>
    <w:qFormat/>
    <w:uiPriority w:val="99"/>
    <w:pPr>
      <w:snapToGrid w:val="0"/>
      <w:spacing w:line="480" w:lineRule="exact"/>
      <w:ind w:firstLine="535" w:firstLineChars="191"/>
    </w:pPr>
    <w:rPr>
      <w:sz w:val="28"/>
    </w:rPr>
  </w:style>
  <w:style w:type="paragraph" w:styleId="44">
    <w:name w:val="table of figures"/>
    <w:basedOn w:val="1"/>
    <w:next w:val="1"/>
    <w:qFormat/>
    <w:uiPriority w:val="0"/>
    <w:pPr>
      <w:ind w:left="200" w:leftChars="200" w:hanging="200" w:hangingChars="200"/>
    </w:pPr>
  </w:style>
  <w:style w:type="paragraph" w:styleId="45">
    <w:name w:val="Normal (Web)"/>
    <w:basedOn w:val="1"/>
    <w:qFormat/>
    <w:uiPriority w:val="0"/>
    <w:pPr>
      <w:spacing w:before="100" w:beforeAutospacing="1" w:after="100" w:afterAutospacing="1"/>
      <w:jc w:val="left"/>
    </w:pPr>
    <w:rPr>
      <w:kern w:val="0"/>
    </w:rPr>
  </w:style>
  <w:style w:type="paragraph" w:styleId="46">
    <w:name w:val="annotation subject"/>
    <w:basedOn w:val="25"/>
    <w:next w:val="25"/>
    <w:link w:val="92"/>
    <w:qFormat/>
    <w:uiPriority w:val="0"/>
    <w:rPr>
      <w:b/>
      <w:bCs/>
      <w:kern w:val="2"/>
      <w:szCs w:val="24"/>
    </w:rPr>
  </w:style>
  <w:style w:type="paragraph" w:styleId="47">
    <w:name w:val="Body Text First Indent"/>
    <w:basedOn w:val="26"/>
    <w:next w:val="1"/>
    <w:qFormat/>
    <w:uiPriority w:val="0"/>
    <w:pPr>
      <w:spacing w:after="120"/>
      <w:ind w:firstLine="420" w:firstLineChars="100"/>
    </w:pPr>
  </w:style>
  <w:style w:type="paragraph" w:styleId="48">
    <w:name w:val="Body Text First Indent 2"/>
    <w:basedOn w:val="1"/>
    <w:next w:val="47"/>
    <w:qFormat/>
    <w:uiPriority w:val="0"/>
    <w:pPr>
      <w:widowControl/>
      <w:ind w:firstLine="420"/>
      <w:jc w:val="left"/>
    </w:pPr>
    <w:rPr>
      <w:kern w:val="0"/>
      <w:sz w:val="28"/>
      <w:szCs w:val="20"/>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basedOn w:val="51"/>
    <w:qFormat/>
    <w:uiPriority w:val="0"/>
    <w:rPr>
      <w:b/>
    </w:rPr>
  </w:style>
  <w:style w:type="character" w:styleId="53">
    <w:name w:val="page number"/>
    <w:basedOn w:val="51"/>
    <w:qFormat/>
    <w:uiPriority w:val="0"/>
  </w:style>
  <w:style w:type="character" w:styleId="54">
    <w:name w:val="Hyperlink"/>
    <w:basedOn w:val="51"/>
    <w:qFormat/>
    <w:uiPriority w:val="0"/>
    <w:rPr>
      <w:color w:val="0000FF"/>
      <w:u w:val="single"/>
    </w:rPr>
  </w:style>
  <w:style w:type="character" w:styleId="55">
    <w:name w:val="annotation reference"/>
    <w:basedOn w:val="51"/>
    <w:qFormat/>
    <w:uiPriority w:val="0"/>
    <w:rPr>
      <w:sz w:val="21"/>
      <w:szCs w:val="21"/>
    </w:rPr>
  </w:style>
  <w:style w:type="paragraph" w:customStyle="1" w:styleId="56">
    <w:name w:val="正文文字 6"/>
    <w:basedOn w:val="57"/>
    <w:next w:val="1"/>
    <w:qFormat/>
    <w:uiPriority w:val="0"/>
    <w:pPr>
      <w:ind w:left="240"/>
      <w:jc w:val="both"/>
    </w:pPr>
    <w:rPr>
      <w:rFonts w:ascii="宋体"/>
      <w:bCs/>
      <w:sz w:val="32"/>
      <w:szCs w:val="32"/>
    </w:rPr>
  </w:style>
  <w:style w:type="paragraph" w:customStyle="1" w:styleId="57">
    <w:name w:val="图位置"/>
    <w:next w:val="58"/>
    <w:qFormat/>
    <w:uiPriority w:val="0"/>
    <w:pPr>
      <w:jc w:val="center"/>
    </w:pPr>
    <w:rPr>
      <w:rFonts w:ascii="Times New Roman" w:hAnsi="Times New Roman" w:eastAsia="宋体" w:cs="Times New Roman"/>
      <w:kern w:val="2"/>
      <w:sz w:val="24"/>
      <w:szCs w:val="21"/>
      <w:lang w:val="en-US" w:eastAsia="zh-CN" w:bidi="ar-SA"/>
    </w:rPr>
  </w:style>
  <w:style w:type="paragraph" w:customStyle="1" w:styleId="58">
    <w:name w:val="图题"/>
    <w:basedOn w:val="1"/>
    <w:next w:val="1"/>
    <w:qFormat/>
    <w:uiPriority w:val="0"/>
    <w:pPr>
      <w:jc w:val="center"/>
    </w:pPr>
    <w:rPr>
      <w:rFonts w:ascii="宋体" w:hAnsi="宋体" w:eastAsia="黑体"/>
      <w:b/>
    </w:rPr>
  </w:style>
  <w:style w:type="paragraph" w:customStyle="1" w:styleId="59">
    <w:name w:val="图表名称"/>
    <w:basedOn w:val="47"/>
    <w:next w:val="60"/>
    <w:qFormat/>
    <w:uiPriority w:val="0"/>
    <w:pPr>
      <w:tabs>
        <w:tab w:val="left" w:pos="628"/>
        <w:tab w:val="left" w:pos="993"/>
        <w:tab w:val="left" w:pos="1884"/>
      </w:tabs>
      <w:spacing w:after="10"/>
      <w:jc w:val="center"/>
    </w:pPr>
    <w:rPr>
      <w:b/>
      <w:bCs/>
      <w:sz w:val="21"/>
      <w:szCs w:val="28"/>
    </w:rPr>
  </w:style>
  <w:style w:type="paragraph" w:customStyle="1" w:styleId="60">
    <w:name w:val="报告正文"/>
    <w:basedOn w:val="1"/>
    <w:qFormat/>
    <w:uiPriority w:val="0"/>
    <w:pPr>
      <w:ind w:firstLine="480" w:firstLineChars="200"/>
    </w:pPr>
  </w:style>
  <w:style w:type="paragraph" w:customStyle="1" w:styleId="61">
    <w:name w:val="表 内容"/>
    <w:basedOn w:val="1"/>
    <w:qFormat/>
    <w:uiPriority w:val="0"/>
    <w:pPr>
      <w:adjustRightInd w:val="0"/>
      <w:snapToGrid w:val="0"/>
      <w:spacing w:beforeLines="15"/>
      <w:jc w:val="center"/>
    </w:pPr>
    <w:rPr>
      <w:kern w:val="0"/>
      <w:sz w:val="20"/>
      <w:szCs w:val="21"/>
    </w:rPr>
  </w:style>
  <w:style w:type="paragraph" w:customStyle="1" w:styleId="62">
    <w:name w:val="TT标题"/>
    <w:basedOn w:val="1"/>
    <w:qFormat/>
    <w:uiPriority w:val="0"/>
    <w:pPr>
      <w:jc w:val="center"/>
    </w:pPr>
    <w:rPr>
      <w:rFonts w:cs="宋体"/>
      <w:b/>
      <w:szCs w:val="20"/>
    </w:rPr>
  </w:style>
  <w:style w:type="paragraph" w:customStyle="1" w:styleId="63">
    <w:name w:val="6-正文"/>
    <w:basedOn w:val="1"/>
    <w:link w:val="95"/>
    <w:qFormat/>
    <w:uiPriority w:val="0"/>
    <w:rPr>
      <w:szCs w:val="28"/>
    </w:rPr>
  </w:style>
  <w:style w:type="paragraph" w:customStyle="1" w:styleId="64">
    <w:name w:val="表格文字"/>
    <w:basedOn w:val="34"/>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character" w:customStyle="1" w:styleId="65">
    <w:name w:val="题注 字符"/>
    <w:link w:val="16"/>
    <w:qFormat/>
    <w:uiPriority w:val="0"/>
    <w:rPr>
      <w:rFonts w:ascii="Times New Roman" w:hAnsi="Times New Roman"/>
      <w:b/>
      <w:bCs/>
      <w:color w:val="000000"/>
      <w:sz w:val="21"/>
      <w:szCs w:val="21"/>
    </w:rPr>
  </w:style>
  <w:style w:type="paragraph" w:customStyle="1" w:styleId="66">
    <w:name w:val="括号标题"/>
    <w:basedOn w:val="3"/>
    <w:next w:val="56"/>
    <w:qFormat/>
    <w:uiPriority w:val="0"/>
    <w:pPr>
      <w:autoSpaceDE w:val="0"/>
      <w:autoSpaceDN w:val="0"/>
    </w:pPr>
    <w:rPr>
      <w:rFonts w:hAnsi="宋体"/>
      <w:color w:val="000000"/>
    </w:rPr>
  </w:style>
  <w:style w:type="paragraph" w:customStyle="1" w:styleId="67">
    <w:name w:val="J-表格内容（5号+居中）"/>
    <w:basedOn w:val="1"/>
    <w:qFormat/>
    <w:uiPriority w:val="0"/>
    <w:pPr>
      <w:spacing w:line="240" w:lineRule="auto"/>
      <w:jc w:val="center"/>
    </w:pPr>
    <w:rPr>
      <w:sz w:val="21"/>
      <w:szCs w:val="21"/>
    </w:rPr>
  </w:style>
  <w:style w:type="paragraph" w:customStyle="1" w:styleId="68">
    <w:name w:val="表内字"/>
    <w:basedOn w:val="69"/>
    <w:qFormat/>
    <w:uiPriority w:val="0"/>
    <w:pPr>
      <w:autoSpaceDE w:val="0"/>
      <w:autoSpaceDN w:val="0"/>
      <w:spacing w:line="320" w:lineRule="exact"/>
    </w:pPr>
    <w:rPr>
      <w:rFonts w:hAnsi="宋体"/>
      <w:kern w:val="2"/>
      <w:sz w:val="21"/>
      <w:szCs w:val="21"/>
    </w:rPr>
  </w:style>
  <w:style w:type="paragraph" w:customStyle="1" w:styleId="69">
    <w:name w:val="表格"/>
    <w:basedOn w:val="24"/>
    <w:next w:val="1"/>
    <w:qFormat/>
    <w:uiPriority w:val="0"/>
    <w:pPr>
      <w:adjustRightInd w:val="0"/>
      <w:snapToGrid w:val="0"/>
      <w:spacing w:before="31" w:beforeLines="10" w:after="31" w:afterLines="10" w:line="259" w:lineRule="auto"/>
      <w:jc w:val="center"/>
    </w:pPr>
    <w:rPr>
      <w:rFonts w:ascii="宋体"/>
      <w:kern w:val="0"/>
      <w:szCs w:val="20"/>
    </w:rPr>
  </w:style>
  <w:style w:type="paragraph" w:customStyle="1" w:styleId="70">
    <w:name w:val="表内字1"/>
    <w:basedOn w:val="1"/>
    <w:qFormat/>
    <w:uiPriority w:val="0"/>
    <w:pPr>
      <w:adjustRightInd w:val="0"/>
      <w:snapToGrid w:val="0"/>
      <w:spacing w:line="300" w:lineRule="exact"/>
      <w:jc w:val="center"/>
    </w:pPr>
    <w:rPr>
      <w:rFonts w:ascii="Calibri" w:hAnsi="Calibri"/>
      <w:color w:val="000000"/>
      <w:sz w:val="22"/>
      <w:szCs w:val="21"/>
    </w:rPr>
  </w:style>
  <w:style w:type="paragraph" w:customStyle="1" w:styleId="71">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72">
    <w:name w:val="无间隔1"/>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73">
    <w:name w:val="font61"/>
    <w:basedOn w:val="51"/>
    <w:qFormat/>
    <w:uiPriority w:val="0"/>
    <w:rPr>
      <w:rFonts w:hint="default" w:ascii="Times New Roman" w:hAnsi="Times New Roman" w:cs="Times New Roman"/>
      <w:b/>
      <w:color w:val="000000"/>
      <w:sz w:val="18"/>
      <w:szCs w:val="18"/>
      <w:u w:val="none"/>
    </w:rPr>
  </w:style>
  <w:style w:type="character" w:customStyle="1" w:styleId="74">
    <w:name w:val="font81"/>
    <w:basedOn w:val="51"/>
    <w:qFormat/>
    <w:uiPriority w:val="0"/>
    <w:rPr>
      <w:rFonts w:hint="default" w:ascii="Times New Roman" w:hAnsi="Times New Roman" w:cs="Times New Roman"/>
      <w:b/>
      <w:color w:val="000000"/>
      <w:sz w:val="18"/>
      <w:szCs w:val="18"/>
      <w:u w:val="none"/>
    </w:rPr>
  </w:style>
  <w:style w:type="character" w:customStyle="1" w:styleId="75">
    <w:name w:val="font51"/>
    <w:basedOn w:val="51"/>
    <w:qFormat/>
    <w:uiPriority w:val="0"/>
    <w:rPr>
      <w:rFonts w:hint="eastAsia" w:ascii="宋体" w:hAnsi="宋体" w:eastAsia="宋体" w:cs="宋体"/>
      <w:b/>
      <w:color w:val="000000"/>
      <w:sz w:val="18"/>
      <w:szCs w:val="18"/>
      <w:u w:val="none"/>
    </w:rPr>
  </w:style>
  <w:style w:type="character" w:customStyle="1" w:styleId="76">
    <w:name w:val="font91"/>
    <w:basedOn w:val="51"/>
    <w:qFormat/>
    <w:uiPriority w:val="0"/>
    <w:rPr>
      <w:rFonts w:ascii="Calibri" w:hAnsi="Calibri" w:cs="Calibri"/>
      <w:color w:val="auto"/>
      <w:sz w:val="21"/>
      <w:szCs w:val="21"/>
      <w:u w:val="none"/>
    </w:rPr>
  </w:style>
  <w:style w:type="character" w:customStyle="1" w:styleId="77">
    <w:name w:val="font111"/>
    <w:basedOn w:val="51"/>
    <w:qFormat/>
    <w:uiPriority w:val="0"/>
    <w:rPr>
      <w:rFonts w:hint="default" w:ascii="Times New Roman" w:hAnsi="Times New Roman" w:cs="Times New Roman"/>
      <w:b/>
      <w:color w:val="000000"/>
      <w:sz w:val="18"/>
      <w:szCs w:val="18"/>
      <w:u w:val="none"/>
    </w:rPr>
  </w:style>
  <w:style w:type="character" w:customStyle="1" w:styleId="78">
    <w:name w:val="font101"/>
    <w:basedOn w:val="51"/>
    <w:qFormat/>
    <w:uiPriority w:val="0"/>
    <w:rPr>
      <w:rFonts w:hint="eastAsia" w:ascii="宋体" w:hAnsi="宋体" w:eastAsia="宋体" w:cs="宋体"/>
      <w:b/>
      <w:color w:val="000000"/>
      <w:sz w:val="18"/>
      <w:szCs w:val="18"/>
      <w:u w:val="none"/>
    </w:rPr>
  </w:style>
  <w:style w:type="paragraph" w:customStyle="1" w:styleId="79">
    <w:name w:val="附图附件"/>
    <w:basedOn w:val="1"/>
    <w:qFormat/>
    <w:uiPriority w:val="0"/>
    <w:pPr>
      <w:spacing w:line="240" w:lineRule="auto"/>
      <w:jc w:val="center"/>
      <w:outlineLvl w:val="0"/>
    </w:pPr>
  </w:style>
  <w:style w:type="paragraph" w:customStyle="1" w:styleId="80">
    <w:name w:val="J-表格标题+图片标题（5号+居中）"/>
    <w:basedOn w:val="1"/>
    <w:qFormat/>
    <w:uiPriority w:val="0"/>
    <w:pPr>
      <w:spacing w:line="240" w:lineRule="auto"/>
      <w:jc w:val="center"/>
    </w:pPr>
    <w:rPr>
      <w:b/>
      <w:sz w:val="21"/>
      <w:szCs w:val="21"/>
    </w:rPr>
  </w:style>
  <w:style w:type="paragraph" w:customStyle="1" w:styleId="81">
    <w:name w:val="报告表小标题"/>
    <w:basedOn w:val="1"/>
    <w:qFormat/>
    <w:uiPriority w:val="0"/>
    <w:pPr>
      <w:spacing w:before="100" w:beforeAutospacing="1"/>
    </w:pPr>
    <w:rPr>
      <w:b/>
    </w:rPr>
  </w:style>
  <w:style w:type="character" w:customStyle="1" w:styleId="82">
    <w:name w:val="font21"/>
    <w:basedOn w:val="51"/>
    <w:qFormat/>
    <w:uiPriority w:val="0"/>
    <w:rPr>
      <w:rFonts w:hint="eastAsia" w:ascii="宋体" w:hAnsi="宋体" w:eastAsia="宋体" w:cs="宋体"/>
      <w:b/>
      <w:bCs/>
      <w:color w:val="000000"/>
      <w:sz w:val="21"/>
      <w:szCs w:val="21"/>
      <w:u w:val="none"/>
    </w:rPr>
  </w:style>
  <w:style w:type="character" w:customStyle="1" w:styleId="83">
    <w:name w:val="font11"/>
    <w:basedOn w:val="51"/>
    <w:qFormat/>
    <w:uiPriority w:val="0"/>
    <w:rPr>
      <w:rFonts w:hint="eastAsia" w:ascii="宋体" w:hAnsi="宋体" w:eastAsia="宋体" w:cs="宋体"/>
      <w:color w:val="000000"/>
      <w:sz w:val="21"/>
      <w:szCs w:val="21"/>
      <w:u w:val="none"/>
    </w:rPr>
  </w:style>
  <w:style w:type="character" w:customStyle="1" w:styleId="84">
    <w:name w:val="font41"/>
    <w:basedOn w:val="51"/>
    <w:qFormat/>
    <w:uiPriority w:val="0"/>
    <w:rPr>
      <w:rFonts w:hint="eastAsia" w:ascii="宋体" w:hAnsi="宋体" w:eastAsia="宋体" w:cs="宋体"/>
      <w:color w:val="000000"/>
      <w:sz w:val="21"/>
      <w:szCs w:val="21"/>
      <w:u w:val="none"/>
    </w:rPr>
  </w:style>
  <w:style w:type="paragraph" w:customStyle="1" w:styleId="85">
    <w:name w:val="样式 方正仿宋_GBK 三号 行距: 固定值 28 磅"/>
    <w:basedOn w:val="1"/>
    <w:qFormat/>
    <w:uiPriority w:val="0"/>
    <w:pPr>
      <w:ind w:firstLine="200" w:firstLineChars="200"/>
      <w:jc w:val="left"/>
    </w:pPr>
    <w:rPr>
      <w:rFonts w:ascii="方正仿宋_GBK" w:hAnsi="方正仿宋_GBK" w:cs="宋体"/>
      <w:sz w:val="28"/>
      <w:szCs w:val="20"/>
    </w:rPr>
  </w:style>
  <w:style w:type="paragraph" w:styleId="86">
    <w:name w:val="List Paragraph"/>
    <w:basedOn w:val="1"/>
    <w:qFormat/>
    <w:uiPriority w:val="99"/>
    <w:pPr>
      <w:ind w:firstLine="420" w:firstLineChars="200"/>
    </w:pPr>
  </w:style>
  <w:style w:type="character" w:customStyle="1" w:styleId="87">
    <w:name w:val="fontstyle01"/>
    <w:basedOn w:val="51"/>
    <w:qFormat/>
    <w:uiPriority w:val="0"/>
    <w:rPr>
      <w:rFonts w:hint="eastAsia" w:ascii="宋体" w:hAnsi="宋体" w:eastAsia="宋体"/>
      <w:color w:val="000000"/>
      <w:sz w:val="24"/>
      <w:szCs w:val="24"/>
    </w:rPr>
  </w:style>
  <w:style w:type="paragraph" w:customStyle="1" w:styleId="88">
    <w:name w:val="HJ-正文"/>
    <w:basedOn w:val="1"/>
    <w:qFormat/>
    <w:uiPriority w:val="0"/>
    <w:pPr>
      <w:ind w:firstLine="480" w:firstLineChars="200"/>
    </w:pPr>
  </w:style>
  <w:style w:type="paragraph" w:customStyle="1" w:styleId="89">
    <w:name w:val="WPSOffice手动目录 1"/>
    <w:qFormat/>
    <w:uiPriority w:val="0"/>
    <w:rPr>
      <w:rFonts w:ascii="Times New Roman" w:hAnsi="Times New Roman" w:eastAsia="宋体" w:cs="Times New Roman"/>
      <w:lang w:val="en-US" w:eastAsia="zh-CN" w:bidi="ar-SA"/>
    </w:rPr>
  </w:style>
  <w:style w:type="paragraph" w:customStyle="1" w:styleId="90">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91">
    <w:name w:val="批注文字 字符"/>
    <w:basedOn w:val="51"/>
    <w:link w:val="25"/>
    <w:qFormat/>
    <w:uiPriority w:val="0"/>
    <w:rPr>
      <w:sz w:val="24"/>
    </w:rPr>
  </w:style>
  <w:style w:type="character" w:customStyle="1" w:styleId="92">
    <w:name w:val="批注主题 字符"/>
    <w:basedOn w:val="91"/>
    <w:link w:val="46"/>
    <w:qFormat/>
    <w:uiPriority w:val="0"/>
    <w:rPr>
      <w:b/>
      <w:bCs/>
      <w:kern w:val="2"/>
      <w:sz w:val="24"/>
      <w:szCs w:val="24"/>
    </w:rPr>
  </w:style>
  <w:style w:type="character" w:customStyle="1" w:styleId="93">
    <w:name w:val="NormalCharacter"/>
    <w:qFormat/>
    <w:uiPriority w:val="0"/>
    <w:rPr>
      <w:rFonts w:ascii="Times New Roman" w:hAnsi="Times New Roman" w:eastAsia="宋体" w:cs="Times New Roman"/>
      <w:kern w:val="2"/>
      <w:sz w:val="24"/>
      <w:szCs w:val="24"/>
      <w:lang w:val="en-US" w:eastAsia="zh-CN" w:bidi="ar-SA"/>
    </w:rPr>
  </w:style>
  <w:style w:type="character" w:customStyle="1" w:styleId="94">
    <w:name w:val="font31"/>
    <w:basedOn w:val="51"/>
    <w:qFormat/>
    <w:uiPriority w:val="0"/>
    <w:rPr>
      <w:rFonts w:hint="default" w:ascii="Times New Roman" w:hAnsi="Times New Roman" w:cs="Times New Roman"/>
      <w:color w:val="000000"/>
      <w:sz w:val="21"/>
      <w:szCs w:val="21"/>
      <w:u w:val="none"/>
    </w:rPr>
  </w:style>
  <w:style w:type="character" w:customStyle="1" w:styleId="95">
    <w:name w:val="6-正文 Char"/>
    <w:link w:val="63"/>
    <w:qFormat/>
    <w:uiPriority w:val="0"/>
    <w:rPr>
      <w:szCs w:val="28"/>
    </w:rPr>
  </w:style>
  <w:style w:type="table" w:customStyle="1" w:styleId="96">
    <w:name w:val="报告书标准表格"/>
    <w:basedOn w:val="49"/>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7">
    <w:name w:val="表格内容"/>
    <w:basedOn w:val="98"/>
    <w:qFormat/>
    <w:uiPriority w:val="0"/>
    <w:rPr>
      <w:sz w:val="21"/>
      <w:szCs w:val="21"/>
    </w:rPr>
  </w:style>
  <w:style w:type="paragraph" w:customStyle="1" w:styleId="98">
    <w:name w:val="表头"/>
    <w:basedOn w:val="99"/>
    <w:next w:val="1"/>
    <w:qFormat/>
    <w:uiPriority w:val="0"/>
    <w:pPr>
      <w:adjustRightInd w:val="0"/>
      <w:jc w:val="center"/>
    </w:pPr>
    <w:rPr>
      <w:rFonts w:eastAsia="新宋体"/>
      <w:kern w:val="0"/>
    </w:rPr>
  </w:style>
  <w:style w:type="paragraph" w:customStyle="1" w:styleId="99">
    <w:name w:val="表标题"/>
    <w:basedOn w:val="26"/>
    <w:next w:val="26"/>
    <w:qFormat/>
    <w:uiPriority w:val="0"/>
    <w:pPr>
      <w:spacing w:line="500" w:lineRule="exact"/>
      <w:ind w:firstLine="482" w:firstLineChars="200"/>
      <w:jc w:val="center"/>
    </w:pPr>
    <w:rPr>
      <w:rFonts w:ascii="仿宋_GB2312" w:eastAsia="仿宋_GB2312"/>
      <w:b/>
      <w:sz w:val="24"/>
    </w:rPr>
  </w:style>
  <w:style w:type="paragraph" w:customStyle="1" w:styleId="100">
    <w:name w:val="表格标题"/>
    <w:basedOn w:val="101"/>
    <w:next w:val="1"/>
    <w:qFormat/>
    <w:uiPriority w:val="0"/>
    <w:rPr>
      <w:b/>
    </w:rPr>
  </w:style>
  <w:style w:type="paragraph" w:customStyle="1" w:styleId="101">
    <w:name w:val="表格000"/>
    <w:basedOn w:val="1"/>
    <w:qFormat/>
    <w:uiPriority w:val="0"/>
    <w:pPr>
      <w:jc w:val="center"/>
    </w:pPr>
    <w:rPr>
      <w:kern w:val="11"/>
      <w:szCs w:val="21"/>
    </w:rPr>
  </w:style>
  <w:style w:type="character" w:customStyle="1" w:styleId="102">
    <w:name w:val="16"/>
    <w:basedOn w:val="51"/>
    <w:qFormat/>
    <w:uiPriority w:val="0"/>
    <w:rPr>
      <w:rFonts w:hint="default" w:ascii="Times New Roman" w:hAnsi="Times New Roman" w:cs="Times New Roman"/>
      <w:color w:val="000000"/>
      <w:sz w:val="21"/>
      <w:szCs w:val="21"/>
    </w:rPr>
  </w:style>
  <w:style w:type="character" w:customStyle="1" w:styleId="103">
    <w:name w:val="17"/>
    <w:basedOn w:val="51"/>
    <w:qFormat/>
    <w:uiPriority w:val="0"/>
    <w:rPr>
      <w:rFonts w:hint="default" w:ascii="Times New Roman" w:hAnsi="Times New Roman" w:cs="Times New Roman"/>
      <w:color w:val="000000"/>
      <w:sz w:val="21"/>
      <w:szCs w:val="21"/>
      <w:vertAlign w:val="superscript"/>
    </w:rPr>
  </w:style>
  <w:style w:type="character" w:customStyle="1" w:styleId="104">
    <w:name w:val="15"/>
    <w:basedOn w:val="51"/>
    <w:qFormat/>
    <w:uiPriority w:val="0"/>
    <w:rPr>
      <w:rFonts w:hint="eastAsia" w:ascii="宋体" w:hAnsi="宋体" w:eastAsia="宋体"/>
      <w:color w:val="000000"/>
      <w:sz w:val="21"/>
      <w:szCs w:val="21"/>
    </w:rPr>
  </w:style>
  <w:style w:type="paragraph" w:customStyle="1" w:styleId="105">
    <w:name w:val="List Paragraph1"/>
    <w:basedOn w:val="1"/>
    <w:qFormat/>
    <w:uiPriority w:val="34"/>
    <w:pPr>
      <w:ind w:firstLine="420" w:firstLineChars="200"/>
    </w:pPr>
    <w:rPr>
      <w:rFonts w:ascii="Calibri" w:hAnsi="Calibri"/>
      <w:sz w:val="21"/>
      <w:szCs w:val="22"/>
    </w:rPr>
  </w:style>
  <w:style w:type="paragraph" w:customStyle="1" w:styleId="106">
    <w:name w:val="图表标题"/>
    <w:basedOn w:val="1"/>
    <w:next w:val="1"/>
    <w:qFormat/>
    <w:uiPriority w:val="0"/>
    <w:pPr>
      <w:jc w:val="center"/>
    </w:pPr>
    <w:rPr>
      <w:b/>
      <w:sz w:val="21"/>
    </w:rPr>
  </w:style>
  <w:style w:type="paragraph" w:customStyle="1" w:styleId="107">
    <w:name w:val="表1"/>
    <w:basedOn w:val="1"/>
    <w:next w:val="69"/>
    <w:qFormat/>
    <w:uiPriority w:val="0"/>
    <w:pPr>
      <w:numPr>
        <w:ilvl w:val="0"/>
        <w:numId w:val="5"/>
      </w:numPr>
      <w:jc w:val="center"/>
    </w:pPr>
    <w:rPr>
      <w:b/>
    </w:rPr>
  </w:style>
  <w:style w:type="table" w:customStyle="1" w:styleId="108">
    <w:name w:val="常规"/>
    <w:basedOn w:val="49"/>
    <w:qFormat/>
    <w:uiPriority w:val="0"/>
    <w:pPr>
      <w:spacing w:line="276" w:lineRule="auto"/>
      <w:jc w:val="center"/>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rFonts w:hint="default" w:ascii="Times New Roman" w:hAnsi="Times New Roman" w:eastAsia="宋体" w:cs="Times New Roman"/>
        <w:b w:val="0"/>
        <w:sz w:val="21"/>
        <w:szCs w:val="21"/>
      </w:rPr>
    </w:tblStylePr>
  </w:style>
  <w:style w:type="paragraph" w:customStyle="1" w:styleId="109">
    <w:name w:val="小节标题"/>
    <w:basedOn w:val="1"/>
    <w:next w:val="110"/>
    <w:qFormat/>
    <w:uiPriority w:val="0"/>
    <w:pPr>
      <w:widowControl/>
      <w:numPr>
        <w:ilvl w:val="0"/>
        <w:numId w:val="6"/>
      </w:numPr>
      <w:tabs>
        <w:tab w:val="clear" w:pos="0"/>
      </w:tabs>
      <w:ind w:firstLine="560" w:firstLineChars="200"/>
      <w:jc w:val="left"/>
    </w:pPr>
    <w:rPr>
      <w:rFonts w:hint="eastAsia" w:cs="宋体"/>
      <w:b/>
      <w:bCs/>
      <w:szCs w:val="21"/>
    </w:rPr>
  </w:style>
  <w:style w:type="paragraph" w:customStyle="1" w:styleId="110">
    <w:name w:val="正文小四"/>
    <w:basedOn w:val="1"/>
    <w:qFormat/>
    <w:uiPriority w:val="0"/>
    <w:pPr>
      <w:ind w:firstLine="420" w:firstLineChars="200"/>
    </w:pPr>
  </w:style>
  <w:style w:type="character" w:customStyle="1" w:styleId="111">
    <w:name w:val="font71"/>
    <w:basedOn w:val="51"/>
    <w:qFormat/>
    <w:uiPriority w:val="0"/>
    <w:rPr>
      <w:rFonts w:hint="eastAsia" w:ascii="宋体" w:hAnsi="宋体" w:eastAsia="宋体" w:cs="宋体"/>
      <w:color w:val="000000"/>
      <w:sz w:val="20"/>
      <w:szCs w:val="20"/>
      <w:u w:val="none"/>
    </w:rPr>
  </w:style>
  <w:style w:type="paragraph" w:customStyle="1" w:styleId="112">
    <w:name w:val="表2"/>
    <w:basedOn w:val="1"/>
    <w:next w:val="69"/>
    <w:qFormat/>
    <w:uiPriority w:val="0"/>
    <w:pPr>
      <w:numPr>
        <w:ilvl w:val="0"/>
        <w:numId w:val="7"/>
      </w:numPr>
    </w:pPr>
  </w:style>
  <w:style w:type="character" w:customStyle="1" w:styleId="113">
    <w:name w:val="font13"/>
    <w:basedOn w:val="51"/>
    <w:qFormat/>
    <w:uiPriority w:val="0"/>
    <w:rPr>
      <w:rFonts w:hint="eastAsia" w:ascii="宋体" w:hAnsi="宋体" w:eastAsia="宋体" w:cs="宋体"/>
      <w:b/>
      <w:bCs/>
      <w:color w:val="000000"/>
      <w:sz w:val="20"/>
      <w:szCs w:val="20"/>
      <w:u w:val="none"/>
    </w:rPr>
  </w:style>
  <w:style w:type="character" w:customStyle="1" w:styleId="114">
    <w:name w:val="font121"/>
    <w:basedOn w:val="51"/>
    <w:qFormat/>
    <w:uiPriority w:val="0"/>
    <w:rPr>
      <w:rFonts w:hint="default" w:ascii="Times New Roman" w:hAnsi="Times New Roman" w:cs="Times New Roman"/>
      <w:color w:val="000000"/>
      <w:sz w:val="20"/>
      <w:szCs w:val="20"/>
      <w:u w:val="none"/>
      <w:vertAlign w:val="superscript"/>
    </w:rPr>
  </w:style>
  <w:style w:type="paragraph" w:customStyle="1" w:styleId="115">
    <w:name w:val="国寰正文"/>
    <w:basedOn w:val="1"/>
    <w:qFormat/>
    <w:uiPriority w:val="0"/>
    <w:pPr>
      <w:adjustRightInd w:val="0"/>
      <w:snapToGrid w:val="0"/>
      <w:ind w:firstLine="200" w:firstLineChars="200"/>
    </w:pPr>
  </w:style>
  <w:style w:type="character" w:customStyle="1" w:styleId="116">
    <w:name w:val="fontstyle21"/>
    <w:qFormat/>
    <w:uiPriority w:val="0"/>
    <w:rPr>
      <w:rFonts w:hint="default" w:ascii="Times New Roman" w:hAnsi="Times New Roman" w:cs="Times New Roman"/>
      <w:color w:val="000000"/>
      <w:sz w:val="24"/>
      <w:szCs w:val="24"/>
    </w:rPr>
  </w:style>
  <w:style w:type="character" w:customStyle="1" w:styleId="117">
    <w:name w:val="fontstyle11"/>
    <w:basedOn w:val="51"/>
    <w:qFormat/>
    <w:uiPriority w:val="0"/>
    <w:rPr>
      <w:rFonts w:hint="default" w:ascii="Times New Roman" w:hAnsi="Times New Roman" w:cs="Times New Roman"/>
      <w:color w:val="000000"/>
      <w:sz w:val="24"/>
      <w:szCs w:val="24"/>
    </w:rPr>
  </w:style>
  <w:style w:type="character" w:customStyle="1" w:styleId="118">
    <w:name w:val="font112"/>
    <w:basedOn w:val="51"/>
    <w:qFormat/>
    <w:uiPriority w:val="0"/>
    <w:rPr>
      <w:rFonts w:hint="eastAsia" w:ascii="宋体" w:hAnsi="宋体" w:eastAsia="宋体" w:cs="宋体"/>
      <w:color w:val="000000"/>
      <w:sz w:val="20"/>
      <w:szCs w:val="20"/>
      <w:u w:val="none"/>
    </w:rPr>
  </w:style>
  <w:style w:type="paragraph" w:customStyle="1" w:styleId="119">
    <w:name w:val="表格头"/>
    <w:basedOn w:val="120"/>
    <w:qFormat/>
    <w:uiPriority w:val="0"/>
    <w:rPr>
      <w:b/>
    </w:rPr>
  </w:style>
  <w:style w:type="paragraph" w:customStyle="1" w:styleId="120">
    <w:name w:val="表格1"/>
    <w:basedOn w:val="1"/>
    <w:qFormat/>
    <w:uiPriority w:val="99"/>
    <w:pPr>
      <w:snapToGrid w:val="0"/>
      <w:spacing w:line="240" w:lineRule="auto"/>
      <w:jc w:val="center"/>
    </w:pPr>
    <w:rPr>
      <w:color w:val="000000"/>
      <w:sz w:val="21"/>
    </w:rPr>
  </w:style>
  <w:style w:type="paragraph" w:customStyle="1" w:styleId="121">
    <w:name w:val="0表格"/>
    <w:basedOn w:val="1"/>
    <w:qFormat/>
    <w:uiPriority w:val="0"/>
    <w:pPr>
      <w:spacing w:line="240" w:lineRule="auto"/>
      <w:jc w:val="center"/>
    </w:pPr>
    <w:rPr>
      <w:snapToGrid w:val="0"/>
      <w:kern w:val="0"/>
      <w:sz w:val="21"/>
    </w:rPr>
  </w:style>
  <w:style w:type="paragraph" w:customStyle="1" w:styleId="122">
    <w:name w:val="正文1"/>
    <w:basedOn w:val="15"/>
    <w:qFormat/>
    <w:uiPriority w:val="0"/>
    <w:pPr>
      <w:spacing w:beforeLines="30" w:afterLines="30"/>
      <w:ind w:left="0" w:leftChars="0" w:firstLine="960" w:firstLineChars="200"/>
    </w:pPr>
  </w:style>
  <w:style w:type="paragraph" w:customStyle="1" w:styleId="123">
    <w:name w:val="!正文"/>
    <w:basedOn w:val="1"/>
    <w:autoRedefine/>
    <w:qFormat/>
    <w:uiPriority w:val="0"/>
    <w:pPr>
      <w:spacing w:before="50" w:beforeLines="50" w:line="360" w:lineRule="auto"/>
      <w:ind w:firstLine="200" w:firstLineChars="200"/>
      <w:jc w:val="left"/>
    </w:pPr>
    <w:rPr>
      <w:rFonts w:cs="宋体"/>
    </w:rPr>
  </w:style>
  <w:style w:type="paragraph" w:customStyle="1" w:styleId="124">
    <w:name w:val="5文章(治)"/>
    <w:basedOn w:val="1"/>
    <w:autoRedefine/>
    <w:qFormat/>
    <w:uiPriority w:val="0"/>
    <w:pPr>
      <w:spacing w:line="360" w:lineRule="auto"/>
      <w:ind w:firstLine="560" w:firstLineChars="200"/>
    </w:pPr>
    <w:rPr>
      <w:sz w:val="24"/>
      <w:szCs w:val="20"/>
    </w:rPr>
  </w:style>
  <w:style w:type="character" w:customStyle="1" w:styleId="125">
    <w:name w:val="font01"/>
    <w:basedOn w:val="51"/>
    <w:qFormat/>
    <w:uiPriority w:val="0"/>
    <w:rPr>
      <w:rFonts w:hint="eastAsia" w:ascii="宋体" w:hAnsi="宋体" w:eastAsia="宋体" w:cs="宋体"/>
      <w:color w:val="000000"/>
      <w:sz w:val="24"/>
      <w:szCs w:val="24"/>
      <w:u w:val="none"/>
    </w:rPr>
  </w:style>
  <w:style w:type="paragraph" w:customStyle="1" w:styleId="126">
    <w:name w:val="环评 表格"/>
    <w:basedOn w:val="72"/>
    <w:qFormat/>
    <w:uiPriority w:val="0"/>
    <w:pPr>
      <w:pBdr>
        <w:top w:val="none" w:color="auto" w:sz="0" w:space="1"/>
        <w:left w:val="dashed" w:color="FFFFFF" w:sz="4" w:space="4"/>
        <w:bottom w:val="none" w:color="auto" w:sz="0" w:space="1"/>
        <w:right w:val="dashed" w:color="FFFFFF" w:sz="4" w:space="4"/>
      </w:pBdr>
      <w:ind w:firstLine="0" w:firstLineChars="0"/>
      <w:jc w:val="center"/>
    </w:pPr>
    <w:rPr>
      <w:sz w:val="21"/>
      <w:szCs w:val="21"/>
      <w:lang w:eastAsia="en-US"/>
    </w:rPr>
  </w:style>
  <w:style w:type="character" w:customStyle="1" w:styleId="127">
    <w:name w:val="正文缩进 Char"/>
    <w:link w:val="24"/>
    <w:qFormat/>
    <w:uiPriority w:val="0"/>
    <w:rPr>
      <w:sz w:val="21"/>
    </w:rPr>
  </w:style>
  <w:style w:type="paragraph" w:customStyle="1" w:styleId="128">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29">
    <w:name w:val="（一）"/>
    <w:basedOn w:val="1"/>
    <w:qFormat/>
    <w:uiPriority w:val="0"/>
    <w:pPr>
      <w:numPr>
        <w:ilvl w:val="0"/>
        <w:numId w:val="8"/>
      </w:numPr>
      <w:spacing w:line="400" w:lineRule="exact"/>
    </w:pPr>
    <w:rPr>
      <w:b/>
      <w:sz w:val="24"/>
    </w:rPr>
  </w:style>
  <w:style w:type="table" w:customStyle="1" w:styleId="130">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5" Type="http://schemas.openxmlformats.org/officeDocument/2006/relationships/fontTable" Target="fontTable.xml"/><Relationship Id="rId74" Type="http://schemas.openxmlformats.org/officeDocument/2006/relationships/customXml" Target="../customXml/item2.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50.jpeg"/><Relationship Id="rId70" Type="http://schemas.openxmlformats.org/officeDocument/2006/relationships/image" Target="media/image49.png"/><Relationship Id="rId7" Type="http://schemas.openxmlformats.org/officeDocument/2006/relationships/footer" Target="footer2.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jpeg"/><Relationship Id="rId60" Type="http://schemas.openxmlformats.org/officeDocument/2006/relationships/image" Target="media/image39.jpeg"/><Relationship Id="rId6" Type="http://schemas.openxmlformats.org/officeDocument/2006/relationships/footer" Target="footer1.xml"/><Relationship Id="rId59" Type="http://schemas.openxmlformats.org/officeDocument/2006/relationships/image" Target="media/image38.jpeg"/><Relationship Id="rId58" Type="http://schemas.openxmlformats.org/officeDocument/2006/relationships/image" Target="media/image37.jpe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1.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jpeg"/><Relationship Id="rId46" Type="http://schemas.openxmlformats.org/officeDocument/2006/relationships/customXml" Target="ink/ink4.xml"/><Relationship Id="rId45" Type="http://schemas.openxmlformats.org/officeDocument/2006/relationships/customXml" Target="ink/ink3.xml"/><Relationship Id="rId44" Type="http://schemas.openxmlformats.org/officeDocument/2006/relationships/customXml" Target="ink/ink2.xml"/><Relationship Id="rId43" Type="http://schemas.openxmlformats.org/officeDocument/2006/relationships/image" Target="media/image25.png"/><Relationship Id="rId42" Type="http://schemas.openxmlformats.org/officeDocument/2006/relationships/customXml" Target="ink/ink1.xml"/><Relationship Id="rId41" Type="http://schemas.openxmlformats.org/officeDocument/2006/relationships/image" Target="media/image24.png"/><Relationship Id="rId40" Type="http://schemas.openxmlformats.org/officeDocument/2006/relationships/image" Target="media/image23.emf"/><Relationship Id="rId4" Type="http://schemas.openxmlformats.org/officeDocument/2006/relationships/endnotes" Target="endnotes.xml"/><Relationship Id="rId39" Type="http://schemas.openxmlformats.org/officeDocument/2006/relationships/oleObject" Target="embeddings/oleObject6.bin"/><Relationship Id="rId38" Type="http://schemas.openxmlformats.org/officeDocument/2006/relationships/image" Target="media/image22.emf"/><Relationship Id="rId37" Type="http://schemas.openxmlformats.org/officeDocument/2006/relationships/oleObject" Target="embeddings/oleObject5.bin"/><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jpeg"/><Relationship Id="rId32" Type="http://schemas.openxmlformats.org/officeDocument/2006/relationships/image" Target="media/image17.pn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4.emf"/><Relationship Id="rId17" Type="http://schemas.openxmlformats.org/officeDocument/2006/relationships/oleObject" Target="embeddings/oleObject3.bin"/><Relationship Id="rId16" Type="http://schemas.openxmlformats.org/officeDocument/2006/relationships/image" Target="media/image3.emf"/><Relationship Id="rId15" Type="http://schemas.openxmlformats.org/officeDocument/2006/relationships/oleObject" Target="embeddings/oleObject2.bin"/><Relationship Id="rId14" Type="http://schemas.openxmlformats.org/officeDocument/2006/relationships/image" Target="media/image2.emf"/><Relationship Id="rId13" Type="http://schemas.openxmlformats.org/officeDocument/2006/relationships/oleObject" Target="embeddings/oleObject1.bin"/><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10905.000 953700.000,'0.000'0.000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10380.000 953700.000,'0.000'0.000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10860.000 953850.000,'0.000'0.000</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10875.000 953685.000,'0.000'0.000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40D927-CC95-4A6E-AAC4-C90895EACAFC}">
  <ds:schemaRefs/>
</ds:datastoreItem>
</file>

<file path=docProps/app.xml><?xml version="1.0" encoding="utf-8"?>
<Properties xmlns="http://schemas.openxmlformats.org/officeDocument/2006/extended-properties" xmlns:vt="http://schemas.openxmlformats.org/officeDocument/2006/docPropsVTypes">
  <Template>Normal</Template>
  <Pages>163</Pages>
  <Words>1774</Words>
  <Characters>1966</Characters>
  <Lines>568</Lines>
  <Paragraphs>160</Paragraphs>
  <TotalTime>1</TotalTime>
  <ScaleCrop>false</ScaleCrop>
  <LinksUpToDate>false</LinksUpToDate>
  <CharactersWithSpaces>2103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2022-04-28T02:26:00Z</dcterms:created>
  <dc:creator>O</dc:creator>
  <cp:lastModifiedBy>＇夜归郎＇</cp:lastModifiedBy>
  <dcterms:modified xsi:type="dcterms:W3CDTF">2026-10-19T02:52:53Z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DD4976AF1752418D9D8AAA864B65BB1C_13</vt:lpwstr>
  </property>
  <property fmtid="{D5CDD505-2E9C-101B-9397-08002B2CF9AE}" pid="4" name="KSOTemplateDocerSaveRecord">
    <vt:lpwstr>eyJoZGlkIjoiZjdjMmQwNzZhNTFhMjFkZmQ0OThlNzhhYjlmZjg3YmIiLCJ1c2VySWQiOiIzNTExNzk0NTAifQ==</vt:lpwstr>
  </property>
</Properties>
</file>