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697AC">
      <w:pPr>
        <w:adjustRightInd w:val="0"/>
        <w:spacing w:line="288" w:lineRule="auto"/>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5608955" cy="7924800"/>
            <wp:effectExtent l="0" t="0" r="10795" b="0"/>
            <wp:docPr id="45" name="图片 45"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 首页"/>
                    <pic:cNvPicPr>
                      <a:picLocks noChangeAspect="1"/>
                    </pic:cNvPicPr>
                  </pic:nvPicPr>
                  <pic:blipFill>
                    <a:blip r:embed="rId10"/>
                    <a:stretch>
                      <a:fillRect/>
                    </a:stretch>
                  </pic:blipFill>
                  <pic:spPr>
                    <a:xfrm>
                      <a:off x="0" y="0"/>
                      <a:ext cx="5608955" cy="7924800"/>
                    </a:xfrm>
                    <a:prstGeom prst="rect">
                      <a:avLst/>
                    </a:prstGeom>
                  </pic:spPr>
                </pic:pic>
              </a:graphicData>
            </a:graphic>
          </wp:inline>
        </w:drawing>
      </w:r>
    </w:p>
    <w:p w14:paraId="7CBC069B">
      <w:pPr>
        <w:spacing w:line="240" w:lineRule="auto"/>
        <w:jc w:val="center"/>
        <w:rPr>
          <w:rFonts w:hint="default" w:ascii="Times New Roman" w:hAnsi="Times New Roman" w:cs="Times New Roman"/>
          <w:b/>
          <w:bCs/>
          <w:color w:val="auto"/>
          <w:sz w:val="36"/>
          <w:szCs w:val="44"/>
          <w:highlight w:val="none"/>
          <w:lang w:val="en-US" w:eastAsia="zh-CN"/>
        </w:rPr>
        <w:sectPr>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0" w:num="1"/>
          <w:docGrid w:linePitch="312" w:charSpace="0"/>
        </w:sectPr>
      </w:pPr>
    </w:p>
    <w:p w14:paraId="316BEF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auto"/>
          <w:sz w:val="32"/>
          <w:szCs w:val="40"/>
          <w:highlight w:val="none"/>
        </w:rPr>
      </w:pPr>
      <w:r>
        <w:rPr>
          <w:rFonts w:hint="default" w:ascii="Times New Roman" w:hAnsi="Times New Roman" w:cs="Times New Roman"/>
          <w:b/>
          <w:bCs/>
          <w:color w:val="auto"/>
          <w:sz w:val="32"/>
          <w:szCs w:val="40"/>
          <w:highlight w:val="none"/>
        </w:rPr>
        <w:t>目</w:t>
      </w:r>
      <w:r>
        <w:rPr>
          <w:rFonts w:hint="default" w:ascii="Times New Roman" w:hAnsi="Times New Roman" w:cs="Times New Roman"/>
          <w:b/>
          <w:bCs/>
          <w:color w:val="auto"/>
          <w:sz w:val="32"/>
          <w:szCs w:val="40"/>
          <w:highlight w:val="none"/>
          <w:lang w:val="en-US" w:eastAsia="zh-CN"/>
        </w:rPr>
        <w:t xml:space="preserve">  </w:t>
      </w:r>
      <w:r>
        <w:rPr>
          <w:rFonts w:hint="default" w:ascii="Times New Roman" w:hAnsi="Times New Roman" w:cs="Times New Roman"/>
          <w:b/>
          <w:bCs/>
          <w:color w:val="auto"/>
          <w:sz w:val="32"/>
          <w:szCs w:val="40"/>
          <w:highlight w:val="none"/>
        </w:rPr>
        <w:t>录</w:t>
      </w:r>
    </w:p>
    <w:p w14:paraId="17ECCF7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TOC \o "1-1" \h \u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_Toc1176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szCs w:val="30"/>
          <w:highlight w:val="none"/>
        </w:rPr>
        <w:t>一、建设项目基本情况</w:t>
      </w:r>
      <w:r>
        <w:rPr>
          <w:color w:val="auto"/>
        </w:rPr>
        <w:tab/>
      </w:r>
      <w:r>
        <w:rPr>
          <w:color w:val="auto"/>
        </w:rPr>
        <w:fldChar w:fldCharType="begin"/>
      </w:r>
      <w:r>
        <w:rPr>
          <w:color w:val="auto"/>
        </w:rPr>
        <w:instrText xml:space="preserve"> PAGEREF _Toc1176 \h </w:instrText>
      </w:r>
      <w:r>
        <w:rPr>
          <w:color w:val="auto"/>
        </w:rPr>
        <w:fldChar w:fldCharType="separate"/>
      </w:r>
      <w:r>
        <w:rPr>
          <w:color w:val="auto"/>
        </w:rPr>
        <w:t>1</w:t>
      </w:r>
      <w:r>
        <w:rPr>
          <w:color w:val="auto"/>
        </w:rPr>
        <w:fldChar w:fldCharType="end"/>
      </w:r>
      <w:r>
        <w:rPr>
          <w:rFonts w:hint="default" w:ascii="Times New Roman" w:hAnsi="Times New Roman" w:cs="Times New Roman"/>
          <w:color w:val="auto"/>
          <w:highlight w:val="none"/>
        </w:rPr>
        <w:fldChar w:fldCharType="end"/>
      </w:r>
    </w:p>
    <w:p w14:paraId="74E366E7">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_Toc29933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二、建设项目工程分析</w:t>
      </w:r>
      <w:r>
        <w:rPr>
          <w:color w:val="auto"/>
        </w:rPr>
        <w:tab/>
      </w:r>
      <w:r>
        <w:rPr>
          <w:color w:val="auto"/>
        </w:rPr>
        <w:fldChar w:fldCharType="begin"/>
      </w:r>
      <w:r>
        <w:rPr>
          <w:color w:val="auto"/>
        </w:rPr>
        <w:instrText xml:space="preserve"> PAGEREF _Toc29933 \h </w:instrText>
      </w:r>
      <w:r>
        <w:rPr>
          <w:color w:val="auto"/>
        </w:rPr>
        <w:fldChar w:fldCharType="separate"/>
      </w:r>
      <w:r>
        <w:rPr>
          <w:color w:val="auto"/>
        </w:rPr>
        <w:t>24</w:t>
      </w:r>
      <w:r>
        <w:rPr>
          <w:color w:val="auto"/>
        </w:rPr>
        <w:fldChar w:fldCharType="end"/>
      </w:r>
      <w:r>
        <w:rPr>
          <w:rFonts w:hint="default" w:ascii="Times New Roman" w:hAnsi="Times New Roman" w:cs="Times New Roman"/>
          <w:color w:val="auto"/>
          <w:highlight w:val="none"/>
        </w:rPr>
        <w:fldChar w:fldCharType="end"/>
      </w:r>
    </w:p>
    <w:p w14:paraId="3E7FE67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_Toc19392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三、区域环境质量现状、环境保护目标及评价标准</w:t>
      </w:r>
      <w:r>
        <w:rPr>
          <w:color w:val="auto"/>
        </w:rPr>
        <w:tab/>
      </w:r>
      <w:r>
        <w:rPr>
          <w:color w:val="auto"/>
        </w:rPr>
        <w:fldChar w:fldCharType="begin"/>
      </w:r>
      <w:r>
        <w:rPr>
          <w:color w:val="auto"/>
        </w:rPr>
        <w:instrText xml:space="preserve"> PAGEREF _Toc19392 \h </w:instrText>
      </w:r>
      <w:r>
        <w:rPr>
          <w:color w:val="auto"/>
        </w:rPr>
        <w:fldChar w:fldCharType="separate"/>
      </w:r>
      <w:r>
        <w:rPr>
          <w:color w:val="auto"/>
        </w:rPr>
        <w:t>45</w:t>
      </w:r>
      <w:r>
        <w:rPr>
          <w:color w:val="auto"/>
        </w:rPr>
        <w:fldChar w:fldCharType="end"/>
      </w:r>
      <w:r>
        <w:rPr>
          <w:rFonts w:hint="default" w:ascii="Times New Roman" w:hAnsi="Times New Roman" w:cs="Times New Roman"/>
          <w:color w:val="auto"/>
          <w:highlight w:val="none"/>
        </w:rPr>
        <w:fldChar w:fldCharType="end"/>
      </w:r>
    </w:p>
    <w:p w14:paraId="2F5FFEDF">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_Toc27519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四、主要环境影响和保护措施</w:t>
      </w:r>
      <w:r>
        <w:rPr>
          <w:color w:val="auto"/>
        </w:rPr>
        <w:tab/>
      </w:r>
      <w:r>
        <w:rPr>
          <w:color w:val="auto"/>
        </w:rPr>
        <w:fldChar w:fldCharType="begin"/>
      </w:r>
      <w:r>
        <w:rPr>
          <w:color w:val="auto"/>
        </w:rPr>
        <w:instrText xml:space="preserve"> PAGEREF _Toc27519 \h </w:instrText>
      </w:r>
      <w:r>
        <w:rPr>
          <w:color w:val="auto"/>
        </w:rPr>
        <w:fldChar w:fldCharType="separate"/>
      </w:r>
      <w:r>
        <w:rPr>
          <w:color w:val="auto"/>
        </w:rPr>
        <w:t>51</w:t>
      </w:r>
      <w:r>
        <w:rPr>
          <w:color w:val="auto"/>
        </w:rPr>
        <w:fldChar w:fldCharType="end"/>
      </w:r>
      <w:r>
        <w:rPr>
          <w:rFonts w:hint="default" w:ascii="Times New Roman" w:hAnsi="Times New Roman" w:cs="Times New Roman"/>
          <w:color w:val="auto"/>
          <w:highlight w:val="none"/>
        </w:rPr>
        <w:fldChar w:fldCharType="end"/>
      </w:r>
    </w:p>
    <w:p w14:paraId="69DE901E">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_Toc3213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五、环境保护措施监督检查清单</w:t>
      </w:r>
      <w:r>
        <w:rPr>
          <w:color w:val="auto"/>
        </w:rPr>
        <w:tab/>
      </w:r>
      <w:r>
        <w:rPr>
          <w:color w:val="auto"/>
        </w:rPr>
        <w:fldChar w:fldCharType="begin"/>
      </w:r>
      <w:r>
        <w:rPr>
          <w:color w:val="auto"/>
        </w:rPr>
        <w:instrText xml:space="preserve"> PAGEREF _Toc3213 \h </w:instrText>
      </w:r>
      <w:r>
        <w:rPr>
          <w:color w:val="auto"/>
        </w:rPr>
        <w:fldChar w:fldCharType="separate"/>
      </w:r>
      <w:r>
        <w:rPr>
          <w:color w:val="auto"/>
        </w:rPr>
        <w:t>76</w:t>
      </w:r>
      <w:r>
        <w:rPr>
          <w:color w:val="auto"/>
        </w:rPr>
        <w:fldChar w:fldCharType="end"/>
      </w:r>
      <w:r>
        <w:rPr>
          <w:rFonts w:hint="default" w:ascii="Times New Roman" w:hAnsi="Times New Roman" w:cs="Times New Roman"/>
          <w:color w:val="auto"/>
          <w:highlight w:val="none"/>
        </w:rPr>
        <w:fldChar w:fldCharType="end"/>
      </w:r>
    </w:p>
    <w:p w14:paraId="54AAACF6">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_Toc8623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六、结论</w:t>
      </w:r>
      <w:r>
        <w:rPr>
          <w:color w:val="auto"/>
        </w:rPr>
        <w:tab/>
      </w:r>
      <w:r>
        <w:rPr>
          <w:color w:val="auto"/>
        </w:rPr>
        <w:fldChar w:fldCharType="begin"/>
      </w:r>
      <w:r>
        <w:rPr>
          <w:color w:val="auto"/>
        </w:rPr>
        <w:instrText xml:space="preserve"> PAGEREF _Toc8623 \h </w:instrText>
      </w:r>
      <w:r>
        <w:rPr>
          <w:color w:val="auto"/>
        </w:rPr>
        <w:fldChar w:fldCharType="separate"/>
      </w:r>
      <w:r>
        <w:rPr>
          <w:color w:val="auto"/>
        </w:rPr>
        <w:t>81</w:t>
      </w:r>
      <w:r>
        <w:rPr>
          <w:color w:val="auto"/>
        </w:rPr>
        <w:fldChar w:fldCharType="end"/>
      </w:r>
      <w:r>
        <w:rPr>
          <w:rFonts w:hint="default" w:ascii="Times New Roman" w:hAnsi="Times New Roman" w:cs="Times New Roman"/>
          <w:color w:val="auto"/>
          <w:highlight w:val="none"/>
        </w:rPr>
        <w:fldChar w:fldCharType="end"/>
      </w:r>
    </w:p>
    <w:p w14:paraId="2C0CBA2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_Toc19930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color w:val="auto"/>
          <w:szCs w:val="28"/>
          <w:highlight w:val="none"/>
          <w:lang w:val="en-US" w:eastAsia="zh-CN"/>
        </w:rPr>
        <w:t>附表</w:t>
      </w:r>
      <w:r>
        <w:rPr>
          <w:color w:val="auto"/>
        </w:rPr>
        <w:tab/>
      </w:r>
      <w:r>
        <w:rPr>
          <w:color w:val="auto"/>
        </w:rPr>
        <w:fldChar w:fldCharType="begin"/>
      </w:r>
      <w:r>
        <w:rPr>
          <w:color w:val="auto"/>
        </w:rPr>
        <w:instrText xml:space="preserve"> PAGEREF _Toc19930 \h </w:instrText>
      </w:r>
      <w:r>
        <w:rPr>
          <w:color w:val="auto"/>
        </w:rPr>
        <w:fldChar w:fldCharType="separate"/>
      </w:r>
      <w:r>
        <w:rPr>
          <w:color w:val="auto"/>
        </w:rPr>
        <w:t>82</w:t>
      </w:r>
      <w:r>
        <w:rPr>
          <w:color w:val="auto"/>
        </w:rPr>
        <w:fldChar w:fldCharType="end"/>
      </w:r>
      <w:r>
        <w:rPr>
          <w:rFonts w:hint="default" w:ascii="Times New Roman" w:hAnsi="Times New Roman" w:cs="Times New Roman"/>
          <w:color w:val="auto"/>
          <w:highlight w:val="none"/>
        </w:rPr>
        <w:fldChar w:fldCharType="end"/>
      </w:r>
    </w:p>
    <w:p w14:paraId="4AC26B1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_Toc18774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 </w:t>
      </w:r>
      <w:r>
        <w:rPr>
          <w:rFonts w:hint="eastAsia" w:cs="Times New Roman"/>
          <w:bCs/>
          <w:color w:val="auto"/>
          <w:kern w:val="0"/>
          <w:szCs w:val="24"/>
          <w:highlight w:val="none"/>
          <w:lang w:val="en-US" w:eastAsia="zh-CN" w:bidi="ar-SA"/>
        </w:rPr>
        <w:t>本</w:t>
      </w:r>
      <w:r>
        <w:rPr>
          <w:rFonts w:hint="default" w:ascii="Times New Roman" w:hAnsi="Times New Roman" w:eastAsia="宋体" w:cs="Times New Roman"/>
          <w:bCs/>
          <w:color w:val="auto"/>
          <w:szCs w:val="24"/>
          <w:highlight w:val="none"/>
        </w:rPr>
        <w:t>项目地理位置图</w:t>
      </w:r>
      <w:r>
        <w:rPr>
          <w:color w:val="auto"/>
        </w:rPr>
        <w:tab/>
      </w:r>
      <w:r>
        <w:rPr>
          <w:color w:val="auto"/>
        </w:rPr>
        <w:fldChar w:fldCharType="begin"/>
      </w:r>
      <w:r>
        <w:rPr>
          <w:color w:val="auto"/>
        </w:rPr>
        <w:instrText xml:space="preserve"> PAGEREF _Toc18774 \h </w:instrText>
      </w:r>
      <w:r>
        <w:rPr>
          <w:color w:val="auto"/>
        </w:rPr>
        <w:fldChar w:fldCharType="separate"/>
      </w:r>
      <w:r>
        <w:rPr>
          <w:color w:val="auto"/>
        </w:rPr>
        <w:t>83</w:t>
      </w:r>
      <w:r>
        <w:rPr>
          <w:color w:val="auto"/>
        </w:rPr>
        <w:fldChar w:fldCharType="end"/>
      </w:r>
      <w:r>
        <w:rPr>
          <w:rFonts w:hint="default" w:ascii="Times New Roman" w:hAnsi="Times New Roman" w:cs="Times New Roman"/>
          <w:color w:val="auto"/>
          <w:highlight w:val="none"/>
        </w:rPr>
        <w:fldChar w:fldCharType="end"/>
      </w:r>
    </w:p>
    <w:p w14:paraId="41043870">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_Toc20186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附图2 </w:t>
      </w:r>
      <w:r>
        <w:rPr>
          <w:rFonts w:hint="default" w:ascii="Times New Roman" w:hAnsi="Times New Roman" w:eastAsia="宋体" w:cs="Times New Roman"/>
          <w:bCs/>
          <w:color w:val="auto"/>
          <w:szCs w:val="24"/>
          <w:highlight w:val="none"/>
        </w:rPr>
        <w:t>项目四至情况</w:t>
      </w:r>
      <w:r>
        <w:rPr>
          <w:rFonts w:hint="default" w:ascii="Times New Roman" w:hAnsi="Times New Roman" w:cs="Times New Roman"/>
          <w:bCs/>
          <w:color w:val="auto"/>
          <w:szCs w:val="24"/>
          <w:highlight w:val="none"/>
          <w:lang w:val="en-US" w:eastAsia="zh-CN"/>
        </w:rPr>
        <w:t>卫星图</w:t>
      </w:r>
      <w:r>
        <w:rPr>
          <w:color w:val="auto"/>
        </w:rPr>
        <w:tab/>
      </w:r>
      <w:r>
        <w:rPr>
          <w:color w:val="auto"/>
        </w:rPr>
        <w:fldChar w:fldCharType="begin"/>
      </w:r>
      <w:r>
        <w:rPr>
          <w:color w:val="auto"/>
        </w:rPr>
        <w:instrText xml:space="preserve"> PAGEREF _Toc20186 \h </w:instrText>
      </w:r>
      <w:r>
        <w:rPr>
          <w:color w:val="auto"/>
        </w:rPr>
        <w:fldChar w:fldCharType="separate"/>
      </w:r>
      <w:r>
        <w:rPr>
          <w:color w:val="auto"/>
        </w:rPr>
        <w:t>84</w:t>
      </w:r>
      <w:r>
        <w:rPr>
          <w:color w:val="auto"/>
        </w:rPr>
        <w:fldChar w:fldCharType="end"/>
      </w:r>
      <w:r>
        <w:rPr>
          <w:rFonts w:hint="default" w:ascii="Times New Roman" w:hAnsi="Times New Roman" w:cs="Times New Roman"/>
          <w:color w:val="auto"/>
          <w:highlight w:val="none"/>
        </w:rPr>
        <w:fldChar w:fldCharType="end"/>
      </w:r>
    </w:p>
    <w:p w14:paraId="07DE0370">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_Toc11926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附图3</w:t>
      </w:r>
      <w:r>
        <w:rPr>
          <w:rFonts w:hint="default" w:ascii="Times New Roman" w:hAnsi="Times New Roman" w:eastAsia="宋体" w:cs="Times New Roman"/>
          <w:bCs/>
          <w:color w:val="auto"/>
          <w:szCs w:val="24"/>
          <w:highlight w:val="none"/>
        </w:rPr>
        <w:t>平面布置图</w:t>
      </w:r>
      <w:r>
        <w:rPr>
          <w:color w:val="auto"/>
        </w:rPr>
        <w:tab/>
      </w:r>
      <w:r>
        <w:rPr>
          <w:color w:val="auto"/>
        </w:rPr>
        <w:fldChar w:fldCharType="begin"/>
      </w:r>
      <w:r>
        <w:rPr>
          <w:color w:val="auto"/>
        </w:rPr>
        <w:instrText xml:space="preserve"> PAGEREF _Toc11926 \h </w:instrText>
      </w:r>
      <w:r>
        <w:rPr>
          <w:color w:val="auto"/>
        </w:rPr>
        <w:fldChar w:fldCharType="separate"/>
      </w:r>
      <w:r>
        <w:rPr>
          <w:color w:val="auto"/>
        </w:rPr>
        <w:t>85</w:t>
      </w:r>
      <w:r>
        <w:rPr>
          <w:color w:val="auto"/>
        </w:rPr>
        <w:fldChar w:fldCharType="end"/>
      </w:r>
      <w:r>
        <w:rPr>
          <w:rFonts w:hint="default" w:ascii="Times New Roman" w:hAnsi="Times New Roman" w:cs="Times New Roman"/>
          <w:color w:val="auto"/>
          <w:highlight w:val="none"/>
        </w:rPr>
        <w:fldChar w:fldCharType="end"/>
      </w:r>
    </w:p>
    <w:p w14:paraId="3C44B4AB">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_Toc30205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附图4 </w:t>
      </w:r>
      <w:r>
        <w:rPr>
          <w:rFonts w:hint="default" w:ascii="Times New Roman" w:hAnsi="Times New Roman" w:eastAsia="宋体" w:cs="Times New Roman"/>
          <w:bCs/>
          <w:color w:val="auto"/>
          <w:szCs w:val="24"/>
          <w:highlight w:val="none"/>
          <w:lang w:eastAsia="zh-CN"/>
        </w:rPr>
        <w:t>环境保护目标分布图</w:t>
      </w:r>
      <w:r>
        <w:rPr>
          <w:color w:val="auto"/>
        </w:rPr>
        <w:tab/>
      </w:r>
      <w:r>
        <w:rPr>
          <w:color w:val="auto"/>
        </w:rPr>
        <w:fldChar w:fldCharType="begin"/>
      </w:r>
      <w:r>
        <w:rPr>
          <w:color w:val="auto"/>
        </w:rPr>
        <w:instrText xml:space="preserve"> PAGEREF _Toc30205 \h </w:instrText>
      </w:r>
      <w:r>
        <w:rPr>
          <w:color w:val="auto"/>
        </w:rPr>
        <w:fldChar w:fldCharType="separate"/>
      </w:r>
      <w:r>
        <w:rPr>
          <w:color w:val="auto"/>
        </w:rPr>
        <w:t>86</w:t>
      </w:r>
      <w:r>
        <w:rPr>
          <w:color w:val="auto"/>
        </w:rPr>
        <w:fldChar w:fldCharType="end"/>
      </w:r>
      <w:r>
        <w:rPr>
          <w:rFonts w:hint="default" w:ascii="Times New Roman" w:hAnsi="Times New Roman" w:cs="Times New Roman"/>
          <w:color w:val="auto"/>
          <w:highlight w:val="none"/>
        </w:rPr>
        <w:fldChar w:fldCharType="end"/>
      </w:r>
    </w:p>
    <w:p w14:paraId="754134E1">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_Toc6139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附图5 </w:t>
      </w:r>
      <w:r>
        <w:rPr>
          <w:rFonts w:hint="default" w:ascii="Times New Roman" w:hAnsi="Times New Roman" w:eastAsia="宋体" w:cs="Times New Roman"/>
          <w:bCs/>
          <w:color w:val="auto"/>
          <w:szCs w:val="24"/>
          <w:highlight w:val="none"/>
          <w:lang w:eastAsia="zh-CN"/>
        </w:rPr>
        <w:t>建设项目土地利用规划图</w:t>
      </w:r>
      <w:r>
        <w:rPr>
          <w:color w:val="auto"/>
        </w:rPr>
        <w:tab/>
      </w:r>
      <w:r>
        <w:rPr>
          <w:color w:val="auto"/>
        </w:rPr>
        <w:fldChar w:fldCharType="begin"/>
      </w:r>
      <w:r>
        <w:rPr>
          <w:color w:val="auto"/>
        </w:rPr>
        <w:instrText xml:space="preserve"> PAGEREF _Toc6139 \h </w:instrText>
      </w:r>
      <w:r>
        <w:rPr>
          <w:color w:val="auto"/>
        </w:rPr>
        <w:fldChar w:fldCharType="separate"/>
      </w:r>
      <w:r>
        <w:rPr>
          <w:color w:val="auto"/>
        </w:rPr>
        <w:t>87</w:t>
      </w:r>
      <w:r>
        <w:rPr>
          <w:color w:val="auto"/>
        </w:rPr>
        <w:fldChar w:fldCharType="end"/>
      </w:r>
      <w:r>
        <w:rPr>
          <w:rFonts w:hint="default" w:ascii="Times New Roman" w:hAnsi="Times New Roman" w:cs="Times New Roman"/>
          <w:color w:val="auto"/>
          <w:highlight w:val="none"/>
        </w:rPr>
        <w:fldChar w:fldCharType="end"/>
      </w:r>
    </w:p>
    <w:p w14:paraId="69B26975">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_Toc1085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附图6 </w:t>
      </w:r>
      <w:r>
        <w:rPr>
          <w:rFonts w:hint="eastAsia" w:cs="Times New Roman"/>
          <w:bCs/>
          <w:color w:val="auto"/>
          <w:szCs w:val="24"/>
          <w:highlight w:val="none"/>
          <w:lang w:val="en-US" w:eastAsia="zh-CN"/>
        </w:rPr>
        <w:t>周边水系</w:t>
      </w:r>
      <w:r>
        <w:rPr>
          <w:rFonts w:hint="default" w:ascii="Times New Roman" w:hAnsi="Times New Roman" w:eastAsia="宋体" w:cs="Times New Roman"/>
          <w:bCs/>
          <w:color w:val="auto"/>
          <w:szCs w:val="24"/>
          <w:highlight w:val="none"/>
          <w:lang w:eastAsia="zh-CN"/>
        </w:rPr>
        <w:t>图</w:t>
      </w:r>
      <w:r>
        <w:rPr>
          <w:color w:val="auto"/>
        </w:rPr>
        <w:tab/>
      </w:r>
      <w:r>
        <w:rPr>
          <w:color w:val="auto"/>
        </w:rPr>
        <w:fldChar w:fldCharType="begin"/>
      </w:r>
      <w:r>
        <w:rPr>
          <w:color w:val="auto"/>
        </w:rPr>
        <w:instrText xml:space="preserve"> PAGEREF _Toc1085 \h </w:instrText>
      </w:r>
      <w:r>
        <w:rPr>
          <w:color w:val="auto"/>
        </w:rPr>
        <w:fldChar w:fldCharType="separate"/>
      </w:r>
      <w:r>
        <w:rPr>
          <w:color w:val="auto"/>
        </w:rPr>
        <w:t>88</w:t>
      </w:r>
      <w:r>
        <w:rPr>
          <w:color w:val="auto"/>
        </w:rPr>
        <w:fldChar w:fldCharType="end"/>
      </w:r>
      <w:r>
        <w:rPr>
          <w:rFonts w:hint="default" w:ascii="Times New Roman" w:hAnsi="Times New Roman" w:cs="Times New Roman"/>
          <w:color w:val="auto"/>
          <w:highlight w:val="none"/>
        </w:rPr>
        <w:fldChar w:fldCharType="end"/>
      </w:r>
    </w:p>
    <w:p w14:paraId="7D48F033">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_Toc24616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 xml:space="preserve">附图7 </w:t>
      </w:r>
      <w:r>
        <w:rPr>
          <w:rFonts w:hint="default" w:ascii="Times New Roman" w:hAnsi="Times New Roman" w:eastAsia="宋体" w:cs="Times New Roman"/>
          <w:bCs/>
          <w:color w:val="auto"/>
          <w:szCs w:val="24"/>
          <w:highlight w:val="none"/>
          <w:lang w:eastAsia="zh-CN"/>
        </w:rPr>
        <w:t>大气环境功能区划图</w:t>
      </w:r>
      <w:r>
        <w:rPr>
          <w:color w:val="auto"/>
        </w:rPr>
        <w:tab/>
      </w:r>
      <w:r>
        <w:rPr>
          <w:color w:val="auto"/>
        </w:rPr>
        <w:fldChar w:fldCharType="begin"/>
      </w:r>
      <w:r>
        <w:rPr>
          <w:color w:val="auto"/>
        </w:rPr>
        <w:instrText xml:space="preserve"> PAGEREF _Toc24616 \h </w:instrText>
      </w:r>
      <w:r>
        <w:rPr>
          <w:color w:val="auto"/>
        </w:rPr>
        <w:fldChar w:fldCharType="separate"/>
      </w:r>
      <w:r>
        <w:rPr>
          <w:color w:val="auto"/>
        </w:rPr>
        <w:t>89</w:t>
      </w:r>
      <w:r>
        <w:rPr>
          <w:color w:val="auto"/>
        </w:rPr>
        <w:fldChar w:fldCharType="end"/>
      </w:r>
      <w:r>
        <w:rPr>
          <w:rFonts w:hint="default" w:ascii="Times New Roman" w:hAnsi="Times New Roman" w:cs="Times New Roman"/>
          <w:color w:val="auto"/>
          <w:highlight w:val="none"/>
        </w:rPr>
        <w:fldChar w:fldCharType="end"/>
      </w:r>
    </w:p>
    <w:p w14:paraId="03C67AA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_Toc2821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 xml:space="preserve">附图8 </w:t>
      </w:r>
      <w:r>
        <w:rPr>
          <w:rFonts w:hint="eastAsia" w:ascii="Times New Roman" w:hAnsi="Times New Roman" w:eastAsia="宋体" w:cs="Times New Roman"/>
          <w:bCs/>
          <w:color w:val="auto"/>
          <w:szCs w:val="24"/>
          <w:highlight w:val="none"/>
          <w:lang w:val="en-US" w:eastAsia="zh-CN"/>
        </w:rPr>
        <w:t>声环境功能区划图</w:t>
      </w:r>
      <w:r>
        <w:rPr>
          <w:color w:val="auto"/>
        </w:rPr>
        <w:tab/>
      </w:r>
      <w:r>
        <w:rPr>
          <w:color w:val="auto"/>
        </w:rPr>
        <w:fldChar w:fldCharType="begin"/>
      </w:r>
      <w:r>
        <w:rPr>
          <w:color w:val="auto"/>
        </w:rPr>
        <w:instrText xml:space="preserve"> PAGEREF _Toc2821 \h </w:instrText>
      </w:r>
      <w:r>
        <w:rPr>
          <w:color w:val="auto"/>
        </w:rPr>
        <w:fldChar w:fldCharType="separate"/>
      </w:r>
      <w:r>
        <w:rPr>
          <w:color w:val="auto"/>
        </w:rPr>
        <w:t>90</w:t>
      </w:r>
      <w:r>
        <w:rPr>
          <w:color w:val="auto"/>
        </w:rPr>
        <w:fldChar w:fldCharType="end"/>
      </w:r>
      <w:r>
        <w:rPr>
          <w:rFonts w:hint="default" w:ascii="Times New Roman" w:hAnsi="Times New Roman" w:cs="Times New Roman"/>
          <w:color w:val="auto"/>
          <w:highlight w:val="none"/>
        </w:rPr>
        <w:fldChar w:fldCharType="end"/>
      </w:r>
    </w:p>
    <w:p w14:paraId="0DC63312">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_Toc11394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w:t>
      </w:r>
      <w:r>
        <w:rPr>
          <w:rFonts w:hint="eastAsia" w:ascii="Times New Roman" w:hAnsi="Times New Roman" w:cs="Times New Roman"/>
          <w:bCs/>
          <w:color w:val="auto"/>
          <w:kern w:val="2"/>
          <w:szCs w:val="24"/>
          <w:highlight w:val="none"/>
          <w:lang w:val="en-US" w:eastAsia="zh-CN" w:bidi="ar-SA"/>
        </w:rPr>
        <w:t>10</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周边主要饮用水源保护区分布图</w:t>
      </w:r>
      <w:r>
        <w:rPr>
          <w:color w:val="auto"/>
        </w:rPr>
        <w:tab/>
      </w:r>
      <w:r>
        <w:rPr>
          <w:color w:val="auto"/>
        </w:rPr>
        <w:fldChar w:fldCharType="begin"/>
      </w:r>
      <w:r>
        <w:rPr>
          <w:color w:val="auto"/>
        </w:rPr>
        <w:instrText xml:space="preserve"> PAGEREF _Toc11394 \h </w:instrText>
      </w:r>
      <w:r>
        <w:rPr>
          <w:color w:val="auto"/>
        </w:rPr>
        <w:fldChar w:fldCharType="separate"/>
      </w:r>
      <w:r>
        <w:rPr>
          <w:color w:val="auto"/>
        </w:rPr>
        <w:t>92</w:t>
      </w:r>
      <w:r>
        <w:rPr>
          <w:color w:val="auto"/>
        </w:rPr>
        <w:fldChar w:fldCharType="end"/>
      </w:r>
      <w:r>
        <w:rPr>
          <w:rFonts w:hint="default" w:ascii="Times New Roman" w:hAnsi="Times New Roman" w:cs="Times New Roman"/>
          <w:color w:val="auto"/>
          <w:highlight w:val="none"/>
        </w:rPr>
        <w:fldChar w:fldCharType="end"/>
      </w:r>
    </w:p>
    <w:p w14:paraId="043282E5">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_Toc2048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附图1</w:t>
      </w:r>
      <w:r>
        <w:rPr>
          <w:rFonts w:hint="eastAsia" w:ascii="Times New Roman" w:hAnsi="Times New Roman" w:cs="Times New Roman"/>
          <w:bCs/>
          <w:color w:val="auto"/>
          <w:kern w:val="2"/>
          <w:szCs w:val="24"/>
          <w:highlight w:val="none"/>
          <w:lang w:val="en-US" w:eastAsia="zh-CN" w:bidi="ar-SA"/>
        </w:rPr>
        <w:t>1</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区域生态功能区划示意</w:t>
      </w:r>
      <w:r>
        <w:rPr>
          <w:rFonts w:hint="default" w:ascii="Times New Roman" w:hAnsi="Times New Roman" w:cs="Times New Roman"/>
          <w:bCs/>
          <w:color w:val="auto"/>
          <w:szCs w:val="24"/>
          <w:highlight w:val="none"/>
          <w:lang w:val="en-US" w:eastAsia="zh-CN"/>
        </w:rPr>
        <w:t>图</w:t>
      </w:r>
      <w:r>
        <w:rPr>
          <w:color w:val="auto"/>
        </w:rPr>
        <w:tab/>
      </w:r>
      <w:r>
        <w:rPr>
          <w:color w:val="auto"/>
        </w:rPr>
        <w:fldChar w:fldCharType="begin"/>
      </w:r>
      <w:r>
        <w:rPr>
          <w:color w:val="auto"/>
        </w:rPr>
        <w:instrText xml:space="preserve"> PAGEREF _Toc2048 \h </w:instrText>
      </w:r>
      <w:r>
        <w:rPr>
          <w:color w:val="auto"/>
        </w:rPr>
        <w:fldChar w:fldCharType="separate"/>
      </w:r>
      <w:r>
        <w:rPr>
          <w:color w:val="auto"/>
        </w:rPr>
        <w:t>93</w:t>
      </w:r>
      <w:r>
        <w:rPr>
          <w:color w:val="auto"/>
        </w:rPr>
        <w:fldChar w:fldCharType="end"/>
      </w:r>
      <w:r>
        <w:rPr>
          <w:rFonts w:hint="default" w:ascii="Times New Roman" w:hAnsi="Times New Roman" w:cs="Times New Roman"/>
          <w:color w:val="auto"/>
          <w:highlight w:val="none"/>
        </w:rPr>
        <w:fldChar w:fldCharType="end"/>
      </w:r>
    </w:p>
    <w:p w14:paraId="044425E6">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_Toc792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2"/>
          <w:szCs w:val="24"/>
          <w:highlight w:val="none"/>
          <w:lang w:val="en-US" w:eastAsia="zh-CN" w:bidi="ar-SA"/>
        </w:rPr>
        <w:t>附图1</w:t>
      </w:r>
      <w:r>
        <w:rPr>
          <w:rFonts w:hint="eastAsia" w:ascii="Times New Roman" w:hAnsi="Times New Roman" w:cs="Times New Roman"/>
          <w:bCs/>
          <w:color w:val="auto"/>
          <w:kern w:val="2"/>
          <w:szCs w:val="24"/>
          <w:highlight w:val="none"/>
          <w:lang w:val="en-US" w:eastAsia="zh-CN" w:bidi="ar-SA"/>
        </w:rPr>
        <w:t>2</w:t>
      </w:r>
      <w:r>
        <w:rPr>
          <w:rFonts w:hint="default" w:ascii="Times New Roman" w:hAnsi="Times New Roman" w:eastAsia="宋体" w:cs="Times New Roman"/>
          <w:bCs/>
          <w:color w:val="auto"/>
          <w:kern w:val="2"/>
          <w:szCs w:val="24"/>
          <w:highlight w:val="none"/>
          <w:lang w:val="en-US" w:eastAsia="zh-CN" w:bidi="ar-SA"/>
        </w:rPr>
        <w:t xml:space="preserve"> </w:t>
      </w:r>
      <w:r>
        <w:rPr>
          <w:rFonts w:hint="default" w:ascii="Times New Roman" w:hAnsi="Times New Roman" w:eastAsia="宋体" w:cs="Times New Roman"/>
          <w:bCs/>
          <w:color w:val="auto"/>
          <w:szCs w:val="24"/>
          <w:highlight w:val="none"/>
          <w:lang w:eastAsia="zh-CN"/>
        </w:rPr>
        <w:t>周边</w:t>
      </w:r>
      <w:r>
        <w:rPr>
          <w:rFonts w:hint="eastAsia" w:cs="Times New Roman"/>
          <w:bCs/>
          <w:color w:val="auto"/>
          <w:szCs w:val="24"/>
          <w:highlight w:val="none"/>
          <w:lang w:eastAsia="zh-CN"/>
        </w:rPr>
        <w:t>永久基本农田</w:t>
      </w:r>
      <w:r>
        <w:rPr>
          <w:rFonts w:hint="default" w:ascii="Times New Roman" w:hAnsi="Times New Roman" w:eastAsia="宋体" w:cs="Times New Roman"/>
          <w:bCs/>
          <w:color w:val="auto"/>
          <w:szCs w:val="24"/>
          <w:highlight w:val="none"/>
          <w:lang w:eastAsia="zh-CN"/>
        </w:rPr>
        <w:t>、耕地、园地分布图</w:t>
      </w:r>
      <w:r>
        <w:rPr>
          <w:color w:val="auto"/>
        </w:rPr>
        <w:tab/>
      </w:r>
      <w:r>
        <w:rPr>
          <w:color w:val="auto"/>
        </w:rPr>
        <w:fldChar w:fldCharType="begin"/>
      </w:r>
      <w:r>
        <w:rPr>
          <w:color w:val="auto"/>
        </w:rPr>
        <w:instrText xml:space="preserve"> PAGEREF _Toc792 \h </w:instrText>
      </w:r>
      <w:r>
        <w:rPr>
          <w:color w:val="auto"/>
        </w:rPr>
        <w:fldChar w:fldCharType="separate"/>
      </w:r>
      <w:r>
        <w:rPr>
          <w:color w:val="auto"/>
        </w:rPr>
        <w:t>94</w:t>
      </w:r>
      <w:r>
        <w:rPr>
          <w:color w:val="auto"/>
        </w:rPr>
        <w:fldChar w:fldCharType="end"/>
      </w:r>
      <w:r>
        <w:rPr>
          <w:rFonts w:hint="default" w:ascii="Times New Roman" w:hAnsi="Times New Roman" w:cs="Times New Roman"/>
          <w:color w:val="auto"/>
          <w:highlight w:val="none"/>
        </w:rPr>
        <w:fldChar w:fldCharType="end"/>
      </w:r>
    </w:p>
    <w:p w14:paraId="5ADD8757">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_Toc16585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附图13 </w:t>
      </w:r>
      <w:r>
        <w:rPr>
          <w:rFonts w:hint="default" w:ascii="Times New Roman" w:hAnsi="Times New Roman" w:eastAsia="宋体" w:cs="Times New Roman"/>
          <w:bCs/>
          <w:color w:val="auto"/>
          <w:szCs w:val="24"/>
          <w:highlight w:val="none"/>
          <w:lang w:eastAsia="zh-CN"/>
        </w:rPr>
        <w:t>项目周边现状图</w:t>
      </w:r>
      <w:r>
        <w:rPr>
          <w:color w:val="auto"/>
        </w:rPr>
        <w:tab/>
      </w:r>
      <w:r>
        <w:rPr>
          <w:color w:val="auto"/>
        </w:rPr>
        <w:fldChar w:fldCharType="begin"/>
      </w:r>
      <w:r>
        <w:rPr>
          <w:color w:val="auto"/>
        </w:rPr>
        <w:instrText xml:space="preserve"> PAGEREF _Toc16585 \h </w:instrText>
      </w:r>
      <w:r>
        <w:rPr>
          <w:color w:val="auto"/>
        </w:rPr>
        <w:fldChar w:fldCharType="separate"/>
      </w:r>
      <w:r>
        <w:rPr>
          <w:color w:val="auto"/>
        </w:rPr>
        <w:t>95</w:t>
      </w:r>
      <w:r>
        <w:rPr>
          <w:color w:val="auto"/>
        </w:rPr>
        <w:fldChar w:fldCharType="end"/>
      </w:r>
      <w:r>
        <w:rPr>
          <w:rFonts w:hint="default" w:ascii="Times New Roman" w:hAnsi="Times New Roman" w:cs="Times New Roman"/>
          <w:color w:val="auto"/>
          <w:highlight w:val="none"/>
        </w:rPr>
        <w:fldChar w:fldCharType="end"/>
      </w:r>
    </w:p>
    <w:p w14:paraId="73BD5CA8">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_Toc13241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附图14 </w:t>
      </w:r>
      <w:r>
        <w:rPr>
          <w:rFonts w:hint="default" w:ascii="Times New Roman" w:hAnsi="Times New Roman" w:eastAsia="宋体" w:cs="Times New Roman"/>
          <w:bCs/>
          <w:color w:val="auto"/>
          <w:szCs w:val="24"/>
          <w:highlight w:val="none"/>
          <w:lang w:val="en-US" w:eastAsia="zh-CN"/>
        </w:rPr>
        <w:t>广东省“三线一单”截图</w:t>
      </w:r>
      <w:r>
        <w:rPr>
          <w:color w:val="auto"/>
        </w:rPr>
        <w:tab/>
      </w:r>
      <w:r>
        <w:rPr>
          <w:color w:val="auto"/>
        </w:rPr>
        <w:fldChar w:fldCharType="begin"/>
      </w:r>
      <w:r>
        <w:rPr>
          <w:color w:val="auto"/>
        </w:rPr>
        <w:instrText xml:space="preserve"> PAGEREF _Toc13241 \h </w:instrText>
      </w:r>
      <w:r>
        <w:rPr>
          <w:color w:val="auto"/>
        </w:rPr>
        <w:fldChar w:fldCharType="separate"/>
      </w:r>
      <w:r>
        <w:rPr>
          <w:color w:val="auto"/>
        </w:rPr>
        <w:t>96</w:t>
      </w:r>
      <w:r>
        <w:rPr>
          <w:color w:val="auto"/>
        </w:rPr>
        <w:fldChar w:fldCharType="end"/>
      </w:r>
      <w:r>
        <w:rPr>
          <w:rFonts w:hint="default" w:ascii="Times New Roman" w:hAnsi="Times New Roman" w:cs="Times New Roman"/>
          <w:color w:val="auto"/>
          <w:highlight w:val="none"/>
        </w:rPr>
        <w:fldChar w:fldCharType="end"/>
      </w:r>
    </w:p>
    <w:p w14:paraId="2686B162">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_Toc27663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附图15 </w:t>
      </w:r>
      <w:r>
        <w:rPr>
          <w:rFonts w:hint="eastAsia" w:cs="Times New Roman"/>
          <w:bCs/>
          <w:color w:val="auto"/>
          <w:kern w:val="0"/>
          <w:szCs w:val="24"/>
          <w:highlight w:val="none"/>
          <w:lang w:val="en-US" w:eastAsia="zh-CN" w:bidi="ar-SA"/>
        </w:rPr>
        <w:t>本</w:t>
      </w:r>
      <w:r>
        <w:rPr>
          <w:rFonts w:hint="default" w:ascii="Times New Roman" w:hAnsi="Times New Roman" w:eastAsia="宋体" w:cs="Times New Roman"/>
          <w:bCs/>
          <w:color w:val="auto"/>
          <w:szCs w:val="24"/>
          <w:highlight w:val="none"/>
          <w:lang w:val="en-US" w:eastAsia="zh-CN"/>
        </w:rPr>
        <w:t>项目与大气</w:t>
      </w:r>
      <w:r>
        <w:rPr>
          <w:rFonts w:hint="default" w:ascii="Times New Roman" w:hAnsi="Times New Roman" w:cs="Times New Roman"/>
          <w:bCs/>
          <w:color w:val="auto"/>
          <w:szCs w:val="24"/>
          <w:highlight w:val="none"/>
          <w:lang w:val="en-US" w:eastAsia="zh-CN"/>
        </w:rPr>
        <w:t>引用</w:t>
      </w:r>
      <w:r>
        <w:rPr>
          <w:rFonts w:hint="default" w:ascii="Times New Roman" w:hAnsi="Times New Roman" w:eastAsia="宋体" w:cs="Times New Roman"/>
          <w:bCs/>
          <w:color w:val="auto"/>
          <w:szCs w:val="24"/>
          <w:highlight w:val="none"/>
          <w:lang w:val="en-US" w:eastAsia="zh-CN"/>
        </w:rPr>
        <w:t>监测点位置图</w:t>
      </w:r>
      <w:r>
        <w:rPr>
          <w:color w:val="auto"/>
        </w:rPr>
        <w:tab/>
      </w:r>
      <w:r>
        <w:rPr>
          <w:color w:val="auto"/>
        </w:rPr>
        <w:fldChar w:fldCharType="begin"/>
      </w:r>
      <w:r>
        <w:rPr>
          <w:color w:val="auto"/>
        </w:rPr>
        <w:instrText xml:space="preserve"> PAGEREF _Toc27663 \h </w:instrText>
      </w:r>
      <w:r>
        <w:rPr>
          <w:color w:val="auto"/>
        </w:rPr>
        <w:fldChar w:fldCharType="separate"/>
      </w:r>
      <w:r>
        <w:rPr>
          <w:color w:val="auto"/>
        </w:rPr>
        <w:t>98</w:t>
      </w:r>
      <w:r>
        <w:rPr>
          <w:color w:val="auto"/>
        </w:rPr>
        <w:fldChar w:fldCharType="end"/>
      </w:r>
      <w:r>
        <w:rPr>
          <w:rFonts w:hint="default" w:ascii="Times New Roman" w:hAnsi="Times New Roman" w:cs="Times New Roman"/>
          <w:color w:val="auto"/>
          <w:highlight w:val="none"/>
        </w:rPr>
        <w:fldChar w:fldCharType="end"/>
      </w:r>
    </w:p>
    <w:p w14:paraId="6CB29AAB">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_Toc4110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附图16 </w:t>
      </w:r>
      <w:r>
        <w:rPr>
          <w:rFonts w:hint="default" w:ascii="Times New Roman" w:hAnsi="Times New Roman" w:eastAsia="宋体" w:cs="Times New Roman"/>
          <w:bCs/>
          <w:color w:val="auto"/>
          <w:szCs w:val="24"/>
          <w:highlight w:val="none"/>
          <w:lang w:val="en-US" w:eastAsia="zh-CN"/>
        </w:rPr>
        <w:t>乐昌产业转移工业园管网分布图</w:t>
      </w:r>
      <w:r>
        <w:rPr>
          <w:color w:val="auto"/>
        </w:rPr>
        <w:tab/>
      </w:r>
      <w:r>
        <w:rPr>
          <w:color w:val="auto"/>
        </w:rPr>
        <w:fldChar w:fldCharType="begin"/>
      </w:r>
      <w:r>
        <w:rPr>
          <w:color w:val="auto"/>
        </w:rPr>
        <w:instrText xml:space="preserve"> PAGEREF _Toc4110 \h </w:instrText>
      </w:r>
      <w:r>
        <w:rPr>
          <w:color w:val="auto"/>
        </w:rPr>
        <w:fldChar w:fldCharType="separate"/>
      </w:r>
      <w:r>
        <w:rPr>
          <w:color w:val="auto"/>
        </w:rPr>
        <w:t>99</w:t>
      </w:r>
      <w:r>
        <w:rPr>
          <w:color w:val="auto"/>
        </w:rPr>
        <w:fldChar w:fldCharType="end"/>
      </w:r>
      <w:r>
        <w:rPr>
          <w:rFonts w:hint="default" w:ascii="Times New Roman" w:hAnsi="Times New Roman" w:cs="Times New Roman"/>
          <w:color w:val="auto"/>
          <w:highlight w:val="none"/>
        </w:rPr>
        <w:fldChar w:fldCharType="end"/>
      </w:r>
    </w:p>
    <w:p w14:paraId="28C509F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_Toc31680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 xml:space="preserve">附图17 </w:t>
      </w:r>
      <w:r>
        <w:rPr>
          <w:rFonts w:hint="eastAsia" w:cs="Times New Roman"/>
          <w:bCs/>
          <w:color w:val="auto"/>
          <w:szCs w:val="24"/>
          <w:highlight w:val="none"/>
          <w:lang w:val="en-US" w:eastAsia="zh-CN"/>
        </w:rPr>
        <w:t>本</w:t>
      </w:r>
      <w:r>
        <w:rPr>
          <w:rFonts w:hint="default" w:ascii="Times New Roman" w:hAnsi="Times New Roman" w:eastAsia="宋体" w:cs="Times New Roman"/>
          <w:bCs/>
          <w:color w:val="auto"/>
          <w:szCs w:val="24"/>
          <w:highlight w:val="none"/>
          <w:lang w:val="en-US" w:eastAsia="zh-CN"/>
        </w:rPr>
        <w:t>项目与韶关市区武江饮用水水源保护区关系示意图</w:t>
      </w:r>
      <w:r>
        <w:rPr>
          <w:color w:val="auto"/>
        </w:rPr>
        <w:tab/>
      </w:r>
      <w:r>
        <w:rPr>
          <w:color w:val="auto"/>
        </w:rPr>
        <w:fldChar w:fldCharType="begin"/>
      </w:r>
      <w:r>
        <w:rPr>
          <w:color w:val="auto"/>
        </w:rPr>
        <w:instrText xml:space="preserve"> PAGEREF _Toc31680 \h </w:instrText>
      </w:r>
      <w:r>
        <w:rPr>
          <w:color w:val="auto"/>
        </w:rPr>
        <w:fldChar w:fldCharType="separate"/>
      </w:r>
      <w:r>
        <w:rPr>
          <w:color w:val="auto"/>
        </w:rPr>
        <w:t>100</w:t>
      </w:r>
      <w:r>
        <w:rPr>
          <w:color w:val="auto"/>
        </w:rPr>
        <w:fldChar w:fldCharType="end"/>
      </w:r>
      <w:r>
        <w:rPr>
          <w:rFonts w:hint="default" w:ascii="Times New Roman" w:hAnsi="Times New Roman" w:cs="Times New Roman"/>
          <w:color w:val="auto"/>
          <w:highlight w:val="none"/>
        </w:rPr>
        <w:fldChar w:fldCharType="end"/>
      </w:r>
    </w:p>
    <w:p w14:paraId="4DDD561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_Toc13705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附件1</w:t>
      </w:r>
      <w:r>
        <w:rPr>
          <w:rFonts w:hint="default" w:ascii="Times New Roman" w:hAnsi="Times New Roman" w:cs="Times New Roman"/>
          <w:bCs/>
          <w:color w:val="auto"/>
          <w:szCs w:val="24"/>
          <w:highlight w:val="none"/>
          <w:lang w:val="en-US" w:eastAsia="zh-CN"/>
        </w:rPr>
        <w:t>营业执照</w:t>
      </w:r>
      <w:r>
        <w:rPr>
          <w:color w:val="auto"/>
        </w:rPr>
        <w:tab/>
      </w:r>
      <w:r>
        <w:rPr>
          <w:color w:val="auto"/>
        </w:rPr>
        <w:fldChar w:fldCharType="begin"/>
      </w:r>
      <w:r>
        <w:rPr>
          <w:color w:val="auto"/>
        </w:rPr>
        <w:instrText xml:space="preserve"> PAGEREF _Toc13705 \h </w:instrText>
      </w:r>
      <w:r>
        <w:rPr>
          <w:color w:val="auto"/>
        </w:rPr>
        <w:fldChar w:fldCharType="separate"/>
      </w:r>
      <w:r>
        <w:rPr>
          <w:color w:val="auto"/>
        </w:rPr>
        <w:t>101</w:t>
      </w:r>
      <w:r>
        <w:rPr>
          <w:color w:val="auto"/>
        </w:rPr>
        <w:fldChar w:fldCharType="end"/>
      </w:r>
      <w:r>
        <w:rPr>
          <w:rFonts w:hint="default" w:ascii="Times New Roman" w:hAnsi="Times New Roman" w:cs="Times New Roman"/>
          <w:color w:val="auto"/>
          <w:highlight w:val="none"/>
        </w:rPr>
        <w:fldChar w:fldCharType="end"/>
      </w:r>
    </w:p>
    <w:p w14:paraId="520BAB1A">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_Toc17857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附件2</w:t>
      </w:r>
      <w:r>
        <w:rPr>
          <w:rFonts w:hint="default" w:ascii="Times New Roman" w:hAnsi="Times New Roman" w:cs="Times New Roman"/>
          <w:bCs/>
          <w:color w:val="auto"/>
          <w:szCs w:val="24"/>
          <w:highlight w:val="none"/>
          <w:lang w:val="en-US" w:eastAsia="zh-CN"/>
        </w:rPr>
        <w:t>法人身份证复印件</w:t>
      </w:r>
      <w:r>
        <w:rPr>
          <w:color w:val="auto"/>
        </w:rPr>
        <w:tab/>
      </w:r>
      <w:r>
        <w:rPr>
          <w:color w:val="auto"/>
        </w:rPr>
        <w:fldChar w:fldCharType="begin"/>
      </w:r>
      <w:r>
        <w:rPr>
          <w:color w:val="auto"/>
        </w:rPr>
        <w:instrText xml:space="preserve"> PAGEREF _Toc17857 \h </w:instrText>
      </w:r>
      <w:r>
        <w:rPr>
          <w:color w:val="auto"/>
        </w:rPr>
        <w:fldChar w:fldCharType="separate"/>
      </w:r>
      <w:r>
        <w:rPr>
          <w:color w:val="auto"/>
        </w:rPr>
        <w:t>102</w:t>
      </w:r>
      <w:r>
        <w:rPr>
          <w:color w:val="auto"/>
        </w:rPr>
        <w:fldChar w:fldCharType="end"/>
      </w:r>
      <w:r>
        <w:rPr>
          <w:rFonts w:hint="default" w:ascii="Times New Roman" w:hAnsi="Times New Roman" w:cs="Times New Roman"/>
          <w:color w:val="auto"/>
          <w:highlight w:val="none"/>
        </w:rPr>
        <w:fldChar w:fldCharType="end"/>
      </w:r>
    </w:p>
    <w:p w14:paraId="7B13DC8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_Toc32722 </w:instrText>
      </w:r>
      <w:r>
        <w:rPr>
          <w:rFonts w:hint="default" w:ascii="Times New Roman" w:hAnsi="Times New Roman" w:cs="Times New Roman"/>
          <w:color w:val="auto"/>
          <w:highlight w:val="none"/>
        </w:rPr>
        <w:fldChar w:fldCharType="separate"/>
      </w:r>
      <w:r>
        <w:rPr>
          <w:rFonts w:hint="default" w:ascii="Times New Roman" w:hAnsi="Times New Roman" w:cs="Times New Roman"/>
          <w:bCs/>
          <w:color w:val="auto"/>
          <w:kern w:val="0"/>
          <w:szCs w:val="24"/>
          <w:highlight w:val="none"/>
          <w:lang w:val="en-US" w:eastAsia="zh-CN" w:bidi="ar-SA"/>
        </w:rPr>
        <w:t>附件3</w:t>
      </w:r>
      <w:r>
        <w:rPr>
          <w:rFonts w:hint="eastAsia" w:cs="Times New Roman"/>
          <w:bCs/>
          <w:color w:val="auto"/>
          <w:szCs w:val="24"/>
          <w:highlight w:val="none"/>
          <w:lang w:val="en-US" w:eastAsia="zh-CN"/>
        </w:rPr>
        <w:t>房屋租赁合同</w:t>
      </w:r>
      <w:r>
        <w:rPr>
          <w:color w:val="auto"/>
        </w:rPr>
        <w:tab/>
      </w:r>
      <w:r>
        <w:rPr>
          <w:color w:val="auto"/>
        </w:rPr>
        <w:fldChar w:fldCharType="begin"/>
      </w:r>
      <w:r>
        <w:rPr>
          <w:color w:val="auto"/>
        </w:rPr>
        <w:instrText xml:space="preserve"> PAGEREF _Toc32722 \h </w:instrText>
      </w:r>
      <w:r>
        <w:rPr>
          <w:color w:val="auto"/>
        </w:rPr>
        <w:fldChar w:fldCharType="separate"/>
      </w:r>
      <w:r>
        <w:rPr>
          <w:color w:val="auto"/>
        </w:rPr>
        <w:t>103</w:t>
      </w:r>
      <w:r>
        <w:rPr>
          <w:color w:val="auto"/>
        </w:rPr>
        <w:fldChar w:fldCharType="end"/>
      </w:r>
      <w:r>
        <w:rPr>
          <w:rFonts w:hint="default" w:ascii="Times New Roman" w:hAnsi="Times New Roman" w:cs="Times New Roman"/>
          <w:color w:val="auto"/>
          <w:highlight w:val="none"/>
        </w:rPr>
        <w:fldChar w:fldCharType="end"/>
      </w:r>
    </w:p>
    <w:p w14:paraId="12F18B34">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_Toc26402 </w:instrText>
      </w:r>
      <w:r>
        <w:rPr>
          <w:rFonts w:hint="default" w:ascii="Times New Roman" w:hAnsi="Times New Roman" w:cs="Times New Roman"/>
          <w:color w:val="auto"/>
          <w:highlight w:val="none"/>
        </w:rPr>
        <w:fldChar w:fldCharType="separate"/>
      </w:r>
      <w:r>
        <w:rPr>
          <w:rFonts w:hint="eastAsia" w:ascii="Times New Roman" w:hAnsi="Times New Roman" w:eastAsia="宋体" w:cs="Times New Roman"/>
          <w:bCs/>
          <w:color w:val="auto"/>
          <w:kern w:val="0"/>
          <w:szCs w:val="24"/>
          <w:highlight w:val="none"/>
          <w:lang w:val="en-US" w:eastAsia="zh-CN" w:bidi="ar-SA"/>
        </w:rPr>
        <w:t>附件</w:t>
      </w:r>
      <w:r>
        <w:rPr>
          <w:rFonts w:hint="eastAsia" w:ascii="Times New Roman" w:cs="Times New Roman"/>
          <w:bCs/>
          <w:color w:val="auto"/>
          <w:kern w:val="0"/>
          <w:szCs w:val="24"/>
          <w:highlight w:val="none"/>
          <w:lang w:val="en-US" w:eastAsia="zh-CN" w:bidi="ar-SA"/>
        </w:rPr>
        <w:t>4</w:t>
      </w:r>
      <w:r>
        <w:rPr>
          <w:rFonts w:hint="eastAsia" w:ascii="Times New Roman" w:hAnsi="Times New Roman" w:eastAsia="宋体" w:cs="Times New Roman"/>
          <w:bCs/>
          <w:color w:val="auto"/>
          <w:kern w:val="0"/>
          <w:szCs w:val="24"/>
          <w:highlight w:val="none"/>
          <w:lang w:val="en-US" w:eastAsia="zh-CN" w:bidi="ar-SA"/>
        </w:rPr>
        <w:t xml:space="preserve"> </w:t>
      </w:r>
      <w:r>
        <w:rPr>
          <w:rFonts w:hint="default" w:ascii="Times New Roman" w:hAnsi="Times New Roman" w:eastAsia="宋体" w:cs="Times New Roman"/>
          <w:bCs/>
          <w:color w:val="auto"/>
          <w:kern w:val="0"/>
          <w:szCs w:val="24"/>
          <w:highlight w:val="none"/>
          <w:lang w:val="en-US" w:eastAsia="zh-CN" w:bidi="ar-SA"/>
        </w:rPr>
        <w:t>再生资源回收经营备案登记证明</w:t>
      </w:r>
      <w:r>
        <w:rPr>
          <w:color w:val="auto"/>
        </w:rPr>
        <w:tab/>
      </w:r>
      <w:r>
        <w:rPr>
          <w:color w:val="auto"/>
        </w:rPr>
        <w:fldChar w:fldCharType="begin"/>
      </w:r>
      <w:r>
        <w:rPr>
          <w:color w:val="auto"/>
        </w:rPr>
        <w:instrText xml:space="preserve"> PAGEREF _Toc26402 \h </w:instrText>
      </w:r>
      <w:r>
        <w:rPr>
          <w:color w:val="auto"/>
        </w:rPr>
        <w:fldChar w:fldCharType="separate"/>
      </w:r>
      <w:r>
        <w:rPr>
          <w:color w:val="auto"/>
        </w:rPr>
        <w:t>107</w:t>
      </w:r>
      <w:r>
        <w:rPr>
          <w:color w:val="auto"/>
        </w:rPr>
        <w:fldChar w:fldCharType="end"/>
      </w:r>
      <w:r>
        <w:rPr>
          <w:rFonts w:hint="default" w:ascii="Times New Roman" w:hAnsi="Times New Roman" w:cs="Times New Roman"/>
          <w:color w:val="auto"/>
          <w:highlight w:val="none"/>
        </w:rPr>
        <w:fldChar w:fldCharType="end"/>
      </w:r>
    </w:p>
    <w:p w14:paraId="01E6861A">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_Toc12186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w:t>
      </w:r>
      <w:r>
        <w:rPr>
          <w:rFonts w:hint="eastAsia" w:cs="Times New Roman"/>
          <w:bCs/>
          <w:color w:val="auto"/>
          <w:kern w:val="0"/>
          <w:szCs w:val="24"/>
          <w:highlight w:val="none"/>
          <w:lang w:val="en-US" w:eastAsia="zh-CN" w:bidi="ar-SA"/>
        </w:rPr>
        <w:t>5</w:t>
      </w:r>
      <w:r>
        <w:rPr>
          <w:rFonts w:hint="eastAsia" w:cs="Times New Roman"/>
          <w:bCs/>
          <w:color w:val="auto"/>
          <w:szCs w:val="24"/>
          <w:highlight w:val="none"/>
          <w:lang w:val="en-US" w:eastAsia="zh-CN"/>
        </w:rPr>
        <w:t>备案证</w:t>
      </w:r>
      <w:r>
        <w:rPr>
          <w:color w:val="auto"/>
        </w:rPr>
        <w:tab/>
      </w:r>
      <w:r>
        <w:rPr>
          <w:color w:val="auto"/>
        </w:rPr>
        <w:fldChar w:fldCharType="begin"/>
      </w:r>
      <w:r>
        <w:rPr>
          <w:color w:val="auto"/>
        </w:rPr>
        <w:instrText xml:space="preserve"> PAGEREF _Toc12186 \h </w:instrText>
      </w:r>
      <w:r>
        <w:rPr>
          <w:color w:val="auto"/>
        </w:rPr>
        <w:fldChar w:fldCharType="separate"/>
      </w:r>
      <w:r>
        <w:rPr>
          <w:color w:val="auto"/>
        </w:rPr>
        <w:t>109</w:t>
      </w:r>
      <w:r>
        <w:rPr>
          <w:color w:val="auto"/>
        </w:rPr>
        <w:fldChar w:fldCharType="end"/>
      </w:r>
      <w:r>
        <w:rPr>
          <w:rFonts w:hint="default" w:ascii="Times New Roman" w:hAnsi="Times New Roman" w:cs="Times New Roman"/>
          <w:color w:val="auto"/>
          <w:highlight w:val="none"/>
        </w:rPr>
        <w:fldChar w:fldCharType="end"/>
      </w:r>
    </w:p>
    <w:p w14:paraId="36EF7EF9">
      <w:pPr>
        <w:pStyle w:val="34"/>
        <w:tabs>
          <w:tab w:val="right" w:leader="dot" w:pos="8312"/>
        </w:tabs>
        <w:rPr>
          <w:color w:val="auto"/>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\l _Toc24107 </w:instrText>
      </w:r>
      <w:r>
        <w:rPr>
          <w:rFonts w:hint="default" w:ascii="Times New Roman" w:hAnsi="Times New Roman" w:cs="Times New Roman"/>
          <w:color w:val="auto"/>
          <w:highlight w:val="none"/>
        </w:rPr>
        <w:fldChar w:fldCharType="separate"/>
      </w:r>
      <w:r>
        <w:rPr>
          <w:rFonts w:hint="default" w:ascii="Times New Roman" w:hAnsi="Times New Roman" w:eastAsia="宋体" w:cs="Times New Roman"/>
          <w:bCs/>
          <w:color w:val="auto"/>
          <w:kern w:val="0"/>
          <w:szCs w:val="24"/>
          <w:highlight w:val="none"/>
          <w:lang w:val="en-US" w:eastAsia="zh-CN" w:bidi="ar-SA"/>
        </w:rPr>
        <w:t>附件</w:t>
      </w:r>
      <w:r>
        <w:rPr>
          <w:rFonts w:hint="eastAsia" w:cs="Times New Roman"/>
          <w:bCs/>
          <w:color w:val="auto"/>
          <w:kern w:val="0"/>
          <w:szCs w:val="24"/>
          <w:highlight w:val="none"/>
          <w:lang w:val="en-US" w:eastAsia="zh-CN" w:bidi="ar-SA"/>
        </w:rPr>
        <w:t>6</w:t>
      </w:r>
      <w:r>
        <w:rPr>
          <w:rFonts w:hint="default" w:ascii="Times New Roman" w:hAnsi="Times New Roman" w:cs="Times New Roman"/>
          <w:bCs/>
          <w:color w:val="auto"/>
          <w:szCs w:val="24"/>
          <w:highlight w:val="none"/>
          <w:lang w:val="en-US" w:eastAsia="zh-CN"/>
        </w:rPr>
        <w:t>环境质量现状监测报告（摘录部分）</w:t>
      </w:r>
      <w:r>
        <w:rPr>
          <w:color w:val="auto"/>
        </w:rPr>
        <w:tab/>
      </w:r>
      <w:r>
        <w:rPr>
          <w:color w:val="auto"/>
        </w:rPr>
        <w:fldChar w:fldCharType="begin"/>
      </w:r>
      <w:r>
        <w:rPr>
          <w:color w:val="auto"/>
        </w:rPr>
        <w:instrText xml:space="preserve"> PAGEREF _Toc24107 \h </w:instrText>
      </w:r>
      <w:r>
        <w:rPr>
          <w:color w:val="auto"/>
        </w:rPr>
        <w:fldChar w:fldCharType="separate"/>
      </w:r>
      <w:r>
        <w:rPr>
          <w:color w:val="auto"/>
        </w:rPr>
        <w:t>110</w:t>
      </w:r>
      <w:r>
        <w:rPr>
          <w:color w:val="auto"/>
        </w:rPr>
        <w:fldChar w:fldCharType="end"/>
      </w:r>
      <w:r>
        <w:rPr>
          <w:rFonts w:hint="default" w:ascii="Times New Roman" w:hAnsi="Times New Roman" w:cs="Times New Roman"/>
          <w:color w:val="auto"/>
          <w:highlight w:val="none"/>
        </w:rPr>
        <w:fldChar w:fldCharType="end"/>
      </w:r>
    </w:p>
    <w:p w14:paraId="46B8DE3F">
      <w:pPr>
        <w:pStyle w:val="2"/>
        <w:keepNext w:val="0"/>
        <w:keepLines w:val="0"/>
        <w:pageBreakBefore w:val="0"/>
        <w:widowControl w:val="0"/>
        <w:kinsoku/>
        <w:wordWrap/>
        <w:overflowPunct/>
        <w:topLinePunct w:val="0"/>
        <w:bidi w:val="0"/>
        <w:snapToGrid/>
        <w:spacing w:line="400" w:lineRule="exact"/>
        <w:textAlignment w:val="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end"/>
      </w:r>
      <w:bookmarkStart w:id="0" w:name="_Toc18226"/>
      <w:bookmarkStart w:id="1" w:name="_Toc2620"/>
    </w:p>
    <w:p w14:paraId="218A84A2">
      <w:pPr>
        <w:tabs>
          <w:tab w:val="left" w:pos="1341"/>
        </w:tabs>
        <w:bidi w:val="0"/>
        <w:spacing w:line="240" w:lineRule="auto"/>
        <w:jc w:val="both"/>
        <w:outlineLvl w:val="9"/>
        <w:rPr>
          <w:rFonts w:hint="default" w:ascii="Times New Roman" w:hAnsi="Times New Roman" w:cs="Times New Roman"/>
          <w:b/>
          <w:bCs/>
          <w:color w:val="auto"/>
          <w:sz w:val="30"/>
          <w:szCs w:val="30"/>
          <w:highlight w:val="none"/>
        </w:rPr>
        <w:sectPr>
          <w:footerReference r:id="rId5"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3FDBDAF1">
      <w:pPr>
        <w:tabs>
          <w:tab w:val="left" w:pos="1341"/>
        </w:tabs>
        <w:bidi w:val="0"/>
        <w:spacing w:line="240" w:lineRule="auto"/>
        <w:jc w:val="center"/>
        <w:outlineLvl w:val="0"/>
        <w:rPr>
          <w:rFonts w:hint="default" w:ascii="Times New Roman" w:hAnsi="Times New Roman" w:cs="Times New Roman"/>
          <w:b/>
          <w:bCs/>
          <w:color w:val="auto"/>
          <w:sz w:val="30"/>
          <w:szCs w:val="30"/>
          <w:highlight w:val="none"/>
        </w:rPr>
      </w:pPr>
      <w:bookmarkStart w:id="2" w:name="_Toc1176"/>
      <w:r>
        <w:rPr>
          <w:rFonts w:hint="default" w:ascii="Times New Roman" w:hAnsi="Times New Roman" w:cs="Times New Roman"/>
          <w:b/>
          <w:bCs/>
          <w:color w:val="auto"/>
          <w:sz w:val="30"/>
          <w:szCs w:val="30"/>
          <w:highlight w:val="none"/>
        </w:rPr>
        <w:t>一、建设项目基本情况</w:t>
      </w:r>
      <w:bookmarkEnd w:id="2"/>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1486"/>
        <w:gridCol w:w="1808"/>
        <w:gridCol w:w="502"/>
        <w:gridCol w:w="1146"/>
        <w:gridCol w:w="966"/>
        <w:gridCol w:w="2165"/>
      </w:tblGrid>
      <w:tr w14:paraId="7C83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758FC5CC">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建设项目名称</w:t>
            </w:r>
          </w:p>
        </w:tc>
        <w:tc>
          <w:tcPr>
            <w:tcW w:w="3861" w:type="pct"/>
            <w:gridSpan w:val="5"/>
            <w:vAlign w:val="center"/>
          </w:tcPr>
          <w:p w14:paraId="3FCAE42C">
            <w:pPr>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highlight w:val="none"/>
              </w:rPr>
            </w:pPr>
            <w:r>
              <w:rPr>
                <w:rFonts w:hint="eastAsia" w:cs="Times New Roman"/>
                <w:color w:val="auto"/>
                <w:highlight w:val="none"/>
                <w:u w:val="none"/>
              </w:rPr>
              <w:t>一般固废贮存收集分拣项目</w:t>
            </w:r>
          </w:p>
        </w:tc>
      </w:tr>
      <w:tr w14:paraId="1FC8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8" w:type="pct"/>
            <w:gridSpan w:val="2"/>
            <w:vAlign w:val="center"/>
          </w:tcPr>
          <w:p w14:paraId="4AC86A75">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项目代码</w:t>
            </w:r>
          </w:p>
        </w:tc>
        <w:tc>
          <w:tcPr>
            <w:tcW w:w="3861" w:type="pct"/>
            <w:gridSpan w:val="5"/>
            <w:vAlign w:val="center"/>
          </w:tcPr>
          <w:p w14:paraId="2F5077DE">
            <w:pPr>
              <w:pStyle w:val="61"/>
              <w:keepNext w:val="0"/>
              <w:keepLines w:val="0"/>
              <w:pageBreakBefore w:val="0"/>
              <w:kinsoku/>
              <w:overflowPunct/>
              <w:topLinePunct w:val="0"/>
              <w:bidi w:val="0"/>
              <w:adjustRightInd/>
              <w:snapToGrid/>
              <w:jc w:val="center"/>
              <w:outlineLvl w:val="9"/>
              <w:rPr>
                <w:rFonts w:hint="eastAsia" w:ascii="Times New Roman" w:hAnsi="Times New Roman" w:eastAsia="宋体" w:cs="Times New Roman"/>
                <w:color w:val="auto"/>
                <w:sz w:val="24"/>
                <w:szCs w:val="24"/>
                <w:highlight w:val="none"/>
                <w:lang w:val="en-US" w:eastAsia="zh-CN"/>
              </w:rPr>
            </w:pPr>
            <w:r>
              <w:rPr>
                <w:rFonts w:hint="eastAsia"/>
                <w:color w:val="auto"/>
              </w:rPr>
              <w:t>2607-440281-04-01-587657</w:t>
            </w:r>
          </w:p>
        </w:tc>
      </w:tr>
      <w:tr w14:paraId="5743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38" w:type="pct"/>
            <w:gridSpan w:val="2"/>
            <w:vAlign w:val="center"/>
          </w:tcPr>
          <w:p w14:paraId="10423D29">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建设单位联系人</w:t>
            </w:r>
          </w:p>
        </w:tc>
        <w:tc>
          <w:tcPr>
            <w:tcW w:w="1354" w:type="pct"/>
            <w:gridSpan w:val="2"/>
            <w:vAlign w:val="center"/>
          </w:tcPr>
          <w:p w14:paraId="6A2CA95A">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rPr>
            </w:pPr>
          </w:p>
        </w:tc>
        <w:tc>
          <w:tcPr>
            <w:tcW w:w="1238" w:type="pct"/>
            <w:gridSpan w:val="2"/>
            <w:vAlign w:val="center"/>
          </w:tcPr>
          <w:p w14:paraId="4728FE83">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联系方式</w:t>
            </w:r>
          </w:p>
        </w:tc>
        <w:tc>
          <w:tcPr>
            <w:tcW w:w="1269" w:type="pct"/>
            <w:vAlign w:val="center"/>
          </w:tcPr>
          <w:p w14:paraId="0EF111D4">
            <w:pPr>
              <w:pStyle w:val="61"/>
              <w:keepNext w:val="0"/>
              <w:keepLines w:val="0"/>
              <w:pageBreakBefore w:val="0"/>
              <w:kinsoku/>
              <w:overflowPunct/>
              <w:topLinePunct w:val="0"/>
              <w:bidi w:val="0"/>
              <w:adjustRightInd/>
              <w:snapToGrid/>
              <w:jc w:val="center"/>
              <w:outlineLvl w:val="9"/>
              <w:rPr>
                <w:rFonts w:hint="default" w:ascii="Times New Roman" w:hAnsi="Times New Roman" w:eastAsia="宋体" w:cs="Times New Roman"/>
                <w:color w:val="auto"/>
                <w:sz w:val="24"/>
                <w:szCs w:val="24"/>
                <w:highlight w:val="none"/>
                <w:lang w:eastAsia="zh-CN"/>
              </w:rPr>
            </w:pPr>
          </w:p>
        </w:tc>
      </w:tr>
      <w:tr w14:paraId="61E0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38" w:type="pct"/>
            <w:gridSpan w:val="2"/>
            <w:vAlign w:val="center"/>
          </w:tcPr>
          <w:p w14:paraId="08B47D97">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建设地点</w:t>
            </w:r>
          </w:p>
        </w:tc>
        <w:tc>
          <w:tcPr>
            <w:tcW w:w="3861" w:type="pct"/>
            <w:gridSpan w:val="5"/>
            <w:vAlign w:val="center"/>
          </w:tcPr>
          <w:p w14:paraId="4B8E98E6">
            <w:pPr>
              <w:keepNext w:val="0"/>
              <w:keepLines w:val="0"/>
              <w:pageBreakBefore w:val="0"/>
              <w:widowControl/>
              <w:kinsoku/>
              <w:overflowPunct/>
              <w:topLinePunct w:val="0"/>
              <w:bidi w:val="0"/>
              <w:adjustRightInd/>
              <w:snapToGrid/>
              <w:jc w:val="center"/>
              <w:outlineLvl w:val="9"/>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rPr>
              <w:t>广东省乐昌市乐廊路六公里乐昌市产业转移园鸿图工艺厂房A2</w:t>
            </w:r>
          </w:p>
        </w:tc>
      </w:tr>
      <w:tr w14:paraId="5DF3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138" w:type="pct"/>
            <w:gridSpan w:val="2"/>
            <w:vAlign w:val="center"/>
          </w:tcPr>
          <w:p w14:paraId="550A53DF">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地理坐标</w:t>
            </w:r>
          </w:p>
        </w:tc>
        <w:tc>
          <w:tcPr>
            <w:tcW w:w="3861" w:type="pct"/>
            <w:gridSpan w:val="5"/>
            <w:vAlign w:val="center"/>
          </w:tcPr>
          <w:p w14:paraId="0A87063E">
            <w:pPr>
              <w:pStyle w:val="61"/>
              <w:keepNext w:val="0"/>
              <w:keepLines w:val="0"/>
              <w:pageBreakBefore w:val="0"/>
              <w:kinsoku/>
              <w:overflowPunct/>
              <w:topLinePunct w:val="0"/>
              <w:bidi w:val="0"/>
              <w:adjustRightInd/>
              <w:snapToGrid/>
              <w:jc w:val="center"/>
              <w:outlineLvl w:val="9"/>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E11</w:t>
            </w: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1.8972</w:t>
            </w:r>
            <w:r>
              <w:rPr>
                <w:rFonts w:hint="default" w:ascii="Times New Roman" w:hAnsi="Times New Roman" w:cs="Times New Roman"/>
                <w:color w:val="auto"/>
                <w:sz w:val="24"/>
                <w:szCs w:val="24"/>
                <w:highlight w:val="none"/>
                <w:lang w:val="en-US" w:eastAsia="zh-CN"/>
              </w:rPr>
              <w:t>″，N25°8′</w:t>
            </w:r>
            <w:r>
              <w:rPr>
                <w:rFonts w:hint="eastAsia" w:cs="Times New Roman"/>
                <w:color w:val="auto"/>
                <w:sz w:val="24"/>
                <w:szCs w:val="24"/>
                <w:highlight w:val="none"/>
                <w:lang w:val="en-US" w:eastAsia="zh-CN"/>
              </w:rPr>
              <w:t>13.3656</w:t>
            </w:r>
            <w:r>
              <w:rPr>
                <w:rFonts w:hint="default" w:ascii="Times New Roman" w:hAnsi="Times New Roman" w:cs="Times New Roman"/>
                <w:color w:val="auto"/>
                <w:sz w:val="24"/>
                <w:szCs w:val="24"/>
                <w:highlight w:val="none"/>
                <w:lang w:val="en-US" w:eastAsia="zh-CN"/>
              </w:rPr>
              <w:t>″</w:t>
            </w:r>
          </w:p>
        </w:tc>
      </w:tr>
      <w:tr w14:paraId="3765B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1138" w:type="pct"/>
            <w:gridSpan w:val="2"/>
            <w:vAlign w:val="center"/>
          </w:tcPr>
          <w:p w14:paraId="20CF9A68">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国民经济</w:t>
            </w:r>
          </w:p>
          <w:p w14:paraId="77CF8D83">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060" w:type="pct"/>
            <w:vAlign w:val="center"/>
          </w:tcPr>
          <w:p w14:paraId="67FDB98C">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lang w:val="en-US"/>
              </w:rPr>
            </w:pPr>
            <w:r>
              <w:rPr>
                <w:rFonts w:hint="eastAsia" w:cs="Times New Roman"/>
                <w:color w:val="auto"/>
                <w:sz w:val="24"/>
                <w:szCs w:val="24"/>
                <w:highlight w:val="none"/>
                <w:lang w:val="en-US" w:eastAsia="zh-CN"/>
              </w:rPr>
              <w:t>N7723 固体废物治理</w:t>
            </w:r>
          </w:p>
        </w:tc>
        <w:tc>
          <w:tcPr>
            <w:tcW w:w="966" w:type="pct"/>
            <w:gridSpan w:val="2"/>
            <w:vAlign w:val="center"/>
          </w:tcPr>
          <w:p w14:paraId="49A0A603">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6C0FDC7D">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行业类别</w:t>
            </w:r>
          </w:p>
        </w:tc>
        <w:tc>
          <w:tcPr>
            <w:tcW w:w="1835" w:type="pct"/>
            <w:gridSpan w:val="2"/>
            <w:vAlign w:val="center"/>
          </w:tcPr>
          <w:p w14:paraId="61979E73">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lang w:val="en-US" w:eastAsia="zh-CN"/>
              </w:rPr>
            </w:pPr>
            <w:r>
              <w:rPr>
                <w:rFonts w:hint="eastAsia" w:cs="Times New Roman"/>
                <w:color w:val="auto"/>
                <w:sz w:val="24"/>
                <w:szCs w:val="24"/>
                <w:highlight w:val="none"/>
                <w:lang w:val="en-US" w:eastAsia="zh-CN"/>
              </w:rPr>
              <w:t>四十七、生态保护和环境治理业-103一般工业固体废物（含污水处理污泥）、建筑施工废弃物处置及综合利用-其他</w:t>
            </w:r>
          </w:p>
        </w:tc>
      </w:tr>
      <w:tr w14:paraId="4FA5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138" w:type="pct"/>
            <w:gridSpan w:val="2"/>
            <w:vAlign w:val="center"/>
          </w:tcPr>
          <w:p w14:paraId="73C458E0">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建设性质</w:t>
            </w:r>
          </w:p>
        </w:tc>
        <w:tc>
          <w:tcPr>
            <w:tcW w:w="1060" w:type="pct"/>
            <w:vAlign w:val="center"/>
          </w:tcPr>
          <w:p w14:paraId="67B176E9">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新建（迁建）</w:t>
            </w:r>
          </w:p>
          <w:p w14:paraId="2F52201F">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改建</w:t>
            </w:r>
          </w:p>
          <w:p w14:paraId="39ECA47D">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扩建</w:t>
            </w:r>
          </w:p>
          <w:p w14:paraId="613443EA">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技术改造</w:t>
            </w:r>
          </w:p>
        </w:tc>
        <w:tc>
          <w:tcPr>
            <w:tcW w:w="966" w:type="pct"/>
            <w:gridSpan w:val="2"/>
            <w:vAlign w:val="center"/>
          </w:tcPr>
          <w:p w14:paraId="761C70D2">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建设项目</w:t>
            </w:r>
          </w:p>
          <w:p w14:paraId="368E87B0">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申报情形</w:t>
            </w:r>
          </w:p>
        </w:tc>
        <w:tc>
          <w:tcPr>
            <w:tcW w:w="1835" w:type="pct"/>
            <w:gridSpan w:val="2"/>
            <w:vAlign w:val="center"/>
          </w:tcPr>
          <w:p w14:paraId="48663949">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首次申报项目</w:t>
            </w:r>
          </w:p>
          <w:p w14:paraId="15F18BE2">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不予批准后再次申报项目</w:t>
            </w:r>
          </w:p>
          <w:p w14:paraId="1A531938">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超五年重新审核项目</w:t>
            </w:r>
          </w:p>
          <w:p w14:paraId="02E60134">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重大变动重新报批项目</w:t>
            </w:r>
          </w:p>
        </w:tc>
      </w:tr>
      <w:tr w14:paraId="3383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138" w:type="pct"/>
            <w:gridSpan w:val="2"/>
            <w:vAlign w:val="center"/>
          </w:tcPr>
          <w:p w14:paraId="14C18C72">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项目审批（核准/备案）部门（选填）</w:t>
            </w:r>
          </w:p>
        </w:tc>
        <w:tc>
          <w:tcPr>
            <w:tcW w:w="1060" w:type="pct"/>
            <w:vAlign w:val="center"/>
          </w:tcPr>
          <w:p w14:paraId="411E35B7">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c>
          <w:tcPr>
            <w:tcW w:w="966" w:type="pct"/>
            <w:gridSpan w:val="2"/>
            <w:vAlign w:val="center"/>
          </w:tcPr>
          <w:p w14:paraId="05952695">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项目审批（核准/备案）文号（选填）</w:t>
            </w:r>
          </w:p>
        </w:tc>
        <w:tc>
          <w:tcPr>
            <w:tcW w:w="1835" w:type="pct"/>
            <w:gridSpan w:val="2"/>
            <w:vAlign w:val="center"/>
          </w:tcPr>
          <w:p w14:paraId="5CA33AF6">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p>
        </w:tc>
      </w:tr>
      <w:tr w14:paraId="7962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138" w:type="pct"/>
            <w:gridSpan w:val="2"/>
            <w:vAlign w:val="center"/>
          </w:tcPr>
          <w:p w14:paraId="55295D96">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1060" w:type="pct"/>
            <w:shd w:val="clear" w:color="auto" w:fill="auto"/>
            <w:vAlign w:val="center"/>
          </w:tcPr>
          <w:p w14:paraId="798B3F4C">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position w:val="-10"/>
                <w:sz w:val="24"/>
                <w:szCs w:val="24"/>
                <w:highlight w:val="none"/>
                <w:lang w:val="en-US" w:eastAsia="zh-CN" w:bidi="ar-SA"/>
              </w:rPr>
            </w:pPr>
            <w:r>
              <w:rPr>
                <w:rFonts w:hint="eastAsia" w:cs="Times New Roman"/>
                <w:color w:val="auto"/>
                <w:sz w:val="24"/>
                <w:szCs w:val="24"/>
                <w:highlight w:val="none"/>
                <w:lang w:val="en-US" w:eastAsia="zh-CN"/>
              </w:rPr>
              <w:t>100</w:t>
            </w:r>
          </w:p>
        </w:tc>
        <w:tc>
          <w:tcPr>
            <w:tcW w:w="966" w:type="pct"/>
            <w:gridSpan w:val="2"/>
            <w:vAlign w:val="center"/>
          </w:tcPr>
          <w:p w14:paraId="51C05153">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w:t>
            </w:r>
          </w:p>
          <w:p w14:paraId="12336A61">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（万元）</w:t>
            </w:r>
          </w:p>
        </w:tc>
        <w:tc>
          <w:tcPr>
            <w:tcW w:w="1835" w:type="pct"/>
            <w:gridSpan w:val="2"/>
            <w:vAlign w:val="center"/>
          </w:tcPr>
          <w:p w14:paraId="7642A9E0">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p>
        </w:tc>
      </w:tr>
      <w:tr w14:paraId="395C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138" w:type="pct"/>
            <w:gridSpan w:val="2"/>
            <w:vAlign w:val="center"/>
          </w:tcPr>
          <w:p w14:paraId="1C4C89ED">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1060" w:type="pct"/>
            <w:shd w:val="clear" w:color="auto" w:fill="auto"/>
            <w:vAlign w:val="center"/>
          </w:tcPr>
          <w:p w14:paraId="692ADBAE">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position w:val="-10"/>
                <w:sz w:val="24"/>
                <w:szCs w:val="24"/>
                <w:highlight w:val="none"/>
                <w:lang w:val="en-US" w:eastAsia="zh-CN" w:bidi="ar-SA"/>
              </w:rPr>
            </w:pPr>
            <w:r>
              <w:rPr>
                <w:rFonts w:hint="eastAsia" w:cs="Times New Roman"/>
                <w:color w:val="auto"/>
                <w:sz w:val="24"/>
                <w:szCs w:val="24"/>
                <w:highlight w:val="none"/>
                <w:lang w:val="en-US" w:eastAsia="zh-CN"/>
              </w:rPr>
              <w:t>5</w:t>
            </w:r>
          </w:p>
        </w:tc>
        <w:tc>
          <w:tcPr>
            <w:tcW w:w="966" w:type="pct"/>
            <w:gridSpan w:val="2"/>
            <w:vAlign w:val="center"/>
          </w:tcPr>
          <w:p w14:paraId="1258962C">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施工工期</w:t>
            </w:r>
          </w:p>
        </w:tc>
        <w:tc>
          <w:tcPr>
            <w:tcW w:w="1835" w:type="pct"/>
            <w:gridSpan w:val="2"/>
            <w:vAlign w:val="center"/>
          </w:tcPr>
          <w:p w14:paraId="1D4392BC">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328C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8" w:type="pct"/>
            <w:gridSpan w:val="2"/>
            <w:vAlign w:val="center"/>
          </w:tcPr>
          <w:p w14:paraId="03FD45D0">
            <w:pPr>
              <w:pStyle w:val="61"/>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是否开工建设</w:t>
            </w:r>
          </w:p>
        </w:tc>
        <w:tc>
          <w:tcPr>
            <w:tcW w:w="1060" w:type="pct"/>
            <w:vAlign w:val="center"/>
          </w:tcPr>
          <w:p w14:paraId="1F724CB8">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w:char="00FE"/>
            </w:r>
            <w:r>
              <w:rPr>
                <w:rFonts w:hint="default" w:ascii="Times New Roman" w:hAnsi="Times New Roman" w:cs="Times New Roman"/>
                <w:color w:val="auto"/>
                <w:highlight w:val="none"/>
              </w:rPr>
              <w:t>否</w:t>
            </w:r>
          </w:p>
          <w:p w14:paraId="0816CBD6">
            <w:pPr>
              <w:keepNext w:val="0"/>
              <w:keepLines w:val="0"/>
              <w:pageBreakBefore w:val="0"/>
              <w:kinsoku/>
              <w:overflowPunct/>
              <w:topLinePunct w:val="0"/>
              <w:bidi w:val="0"/>
              <w:adjustRightInd/>
              <w:snapToGrid/>
              <w:spacing w:line="240" w:lineRule="auto"/>
              <w:jc w:val="left"/>
              <w:outlineLvl w:val="9"/>
              <w:rPr>
                <w:rFonts w:hint="default" w:ascii="Times New Roman" w:hAnsi="Times New Roman" w:cs="Times New Roman"/>
                <w:color w:val="auto"/>
                <w:highlight w:val="none"/>
                <w:u w:val="single"/>
              </w:rPr>
            </w:pPr>
            <w:r>
              <w:rPr>
                <w:rFonts w:hint="default" w:ascii="Times New Roman" w:hAnsi="Times New Roman" w:cs="Times New Roman"/>
                <w:color w:val="auto"/>
                <w:highlight w:val="none"/>
              </w:rPr>
              <w:sym w:font="Wingdings" w:char="00A8"/>
            </w:r>
            <w:r>
              <w:rPr>
                <w:rFonts w:hint="default" w:ascii="Times New Roman" w:hAnsi="Times New Roman" w:cs="Times New Roman"/>
                <w:color w:val="auto"/>
                <w:highlight w:val="none"/>
              </w:rPr>
              <w:t>是：</w:t>
            </w:r>
          </w:p>
        </w:tc>
        <w:tc>
          <w:tcPr>
            <w:tcW w:w="966" w:type="pct"/>
            <w:gridSpan w:val="2"/>
            <w:vAlign w:val="center"/>
          </w:tcPr>
          <w:p w14:paraId="45764465">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用地（用海）面积（m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w:t>
            </w:r>
          </w:p>
        </w:tc>
        <w:tc>
          <w:tcPr>
            <w:tcW w:w="1835" w:type="pct"/>
            <w:gridSpan w:val="2"/>
            <w:vAlign w:val="center"/>
          </w:tcPr>
          <w:p w14:paraId="6FC1BEC8">
            <w:pPr>
              <w:pStyle w:val="61"/>
              <w:keepNext w:val="0"/>
              <w:keepLines w:val="0"/>
              <w:pageBreakBefore w:val="0"/>
              <w:kinsoku/>
              <w:overflowPunct/>
              <w:topLinePunct w:val="0"/>
              <w:bidi w:val="0"/>
              <w:adjustRightInd/>
              <w:snapToGrid/>
              <w:outlineLvl w:val="9"/>
              <w:rPr>
                <w:rFonts w:hint="default" w:ascii="Times New Roman" w:hAnsi="Times New Roman" w:eastAsia="宋体" w:cs="Times New Roman"/>
                <w:color w:val="auto"/>
                <w:sz w:val="24"/>
                <w:szCs w:val="24"/>
                <w:highlight w:val="none"/>
                <w:lang w:val="en-US" w:eastAsia="zh-CN"/>
              </w:rPr>
            </w:pPr>
            <w:r>
              <w:rPr>
                <w:rFonts w:hint="eastAsia" w:cs="Times New Roman"/>
                <w:color w:val="auto"/>
                <w:highlight w:val="none"/>
                <w:lang w:val="en-US" w:eastAsia="zh-CN"/>
              </w:rPr>
              <w:t>3420</w:t>
            </w:r>
          </w:p>
        </w:tc>
      </w:tr>
      <w:tr w14:paraId="5C7C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138" w:type="pct"/>
            <w:gridSpan w:val="2"/>
            <w:vAlign w:val="center"/>
          </w:tcPr>
          <w:p w14:paraId="2452A3DE">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专项评价设置情况</w:t>
            </w:r>
          </w:p>
        </w:tc>
        <w:tc>
          <w:tcPr>
            <w:tcW w:w="3861" w:type="pct"/>
            <w:gridSpan w:val="5"/>
            <w:vAlign w:val="center"/>
          </w:tcPr>
          <w:p w14:paraId="0E4CA0BA">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2"/>
                <w:highlight w:val="none"/>
                <w:lang w:val="en-US"/>
              </w:rPr>
            </w:pPr>
            <w:r>
              <w:rPr>
                <w:rFonts w:hint="default" w:ascii="Times New Roman" w:hAnsi="Times New Roman" w:cs="Times New Roman"/>
                <w:color w:val="auto"/>
                <w:sz w:val="24"/>
                <w:szCs w:val="24"/>
                <w:highlight w:val="none"/>
                <w:lang w:val="en-US" w:eastAsia="zh-CN"/>
              </w:rPr>
              <w:t>无</w:t>
            </w:r>
          </w:p>
        </w:tc>
      </w:tr>
      <w:tr w14:paraId="1B22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8" w:type="pct"/>
            <w:gridSpan w:val="2"/>
            <w:vAlign w:val="center"/>
          </w:tcPr>
          <w:p w14:paraId="4A5F6B5E">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规划情况</w:t>
            </w:r>
          </w:p>
        </w:tc>
        <w:tc>
          <w:tcPr>
            <w:tcW w:w="3861" w:type="pct"/>
            <w:gridSpan w:val="5"/>
            <w:vAlign w:val="center"/>
          </w:tcPr>
          <w:p w14:paraId="606F737D">
            <w:pPr>
              <w:pStyle w:val="61"/>
              <w:keepNext w:val="0"/>
              <w:keepLines w:val="0"/>
              <w:pageBreakBefore w:val="0"/>
              <w:kinsoku/>
              <w:overflowPunct/>
              <w:topLinePunct w:val="0"/>
              <w:bidi w:val="0"/>
              <w:adjustRightInd/>
              <w:snapToGrid/>
              <w:outlineLvl w:val="9"/>
              <w:rPr>
                <w:rFonts w:hint="default" w:ascii="Times New Roman" w:hAnsi="Times New Roman" w:cs="Times New Roman"/>
                <w:color w:val="auto"/>
                <w:sz w:val="24"/>
                <w:szCs w:val="22"/>
                <w:highlight w:val="none"/>
              </w:rPr>
            </w:pPr>
            <w:r>
              <w:rPr>
                <w:rFonts w:hint="default" w:ascii="Times New Roman" w:hAnsi="Times New Roman" w:cs="Times New Roman"/>
                <w:color w:val="auto"/>
                <w:spacing w:val="-1"/>
                <w:sz w:val="24"/>
                <w:szCs w:val="24"/>
                <w:highlight w:val="none"/>
              </w:rPr>
              <w:t>《乐昌产业转移工业园</w:t>
            </w:r>
            <w:r>
              <w:rPr>
                <w:rFonts w:hint="default" w:ascii="Times New Roman" w:hAnsi="Times New Roman" w:cs="Times New Roman"/>
                <w:color w:val="auto"/>
                <w:spacing w:val="-1"/>
                <w:sz w:val="24"/>
                <w:szCs w:val="24"/>
                <w:highlight w:val="none"/>
                <w:lang w:val="en-US" w:eastAsia="zh-CN"/>
              </w:rPr>
              <w:t>城东片区控制性详细规划修编</w:t>
            </w:r>
            <w:r>
              <w:rPr>
                <w:rFonts w:hint="default" w:ascii="Times New Roman" w:hAnsi="Times New Roman" w:cs="Times New Roman"/>
                <w:color w:val="auto"/>
                <w:spacing w:val="-1"/>
                <w:sz w:val="24"/>
                <w:szCs w:val="24"/>
                <w:highlight w:val="none"/>
              </w:rPr>
              <w:t>》</w:t>
            </w:r>
          </w:p>
        </w:tc>
      </w:tr>
      <w:tr w14:paraId="2893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38" w:type="pct"/>
            <w:gridSpan w:val="2"/>
            <w:vAlign w:val="center"/>
          </w:tcPr>
          <w:p w14:paraId="5E38C527">
            <w:pPr>
              <w:pStyle w:val="61"/>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规划环境影响评价情况</w:t>
            </w:r>
          </w:p>
        </w:tc>
        <w:tc>
          <w:tcPr>
            <w:tcW w:w="3861" w:type="pct"/>
            <w:gridSpan w:val="5"/>
            <w:vAlign w:val="center"/>
          </w:tcPr>
          <w:p w14:paraId="4E1E2DD1">
            <w:pPr>
              <w:pStyle w:val="61"/>
              <w:keepNext w:val="0"/>
              <w:keepLines w:val="0"/>
              <w:pageBreakBefore w:val="0"/>
              <w:kinsoku/>
              <w:overflowPunct/>
              <w:topLinePunct w:val="0"/>
              <w:bidi w:val="0"/>
              <w:adjustRightInd/>
              <w:snapToGrid/>
              <w:spacing w:line="360" w:lineRule="auto"/>
              <w:outlineLvl w:val="9"/>
              <w:rPr>
                <w:rFonts w:hint="eastAsia" w:ascii="Times New Roman" w:hAnsi="Times New Roman" w:eastAsia="宋体"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rPr>
              <w:t>《韶关乐昌经济开发区规划环境影响报告书》，</w:t>
            </w:r>
            <w:r>
              <w:rPr>
                <w:rFonts w:hint="default" w:ascii="Times New Roman" w:hAnsi="Times New Roman" w:cs="Times New Roman"/>
                <w:color w:val="auto"/>
                <w:spacing w:val="-1"/>
                <w:sz w:val="24"/>
                <w:szCs w:val="24"/>
                <w:highlight w:val="none"/>
                <w:lang w:eastAsia="zh-CN"/>
              </w:rPr>
              <w:t>审查单位：</w:t>
            </w:r>
            <w:r>
              <w:rPr>
                <w:rFonts w:hint="default" w:ascii="Times New Roman" w:hAnsi="Times New Roman" w:cs="Times New Roman"/>
                <w:color w:val="auto"/>
                <w:spacing w:val="-1"/>
                <w:sz w:val="24"/>
                <w:szCs w:val="24"/>
                <w:highlight w:val="none"/>
              </w:rPr>
              <w:t>广东省</w:t>
            </w:r>
            <w:r>
              <w:rPr>
                <w:rFonts w:hint="eastAsia" w:cs="Times New Roman"/>
                <w:color w:val="auto"/>
                <w:spacing w:val="-1"/>
                <w:sz w:val="24"/>
                <w:szCs w:val="24"/>
                <w:highlight w:val="none"/>
                <w:lang w:val="en-US" w:eastAsia="zh-CN"/>
              </w:rPr>
              <w:t>生态环境</w:t>
            </w:r>
            <w:r>
              <w:rPr>
                <w:rFonts w:hint="default" w:ascii="Times New Roman" w:hAnsi="Times New Roman" w:cs="Times New Roman"/>
                <w:color w:val="auto"/>
                <w:spacing w:val="-1"/>
                <w:sz w:val="24"/>
                <w:szCs w:val="24"/>
                <w:highlight w:val="none"/>
              </w:rPr>
              <w:t>厅，广东省生态环境厅关于印发《韶关乐昌经济开发区规划环境影响报告书审查意见》的函</w:t>
            </w:r>
            <w:r>
              <w:rPr>
                <w:rFonts w:hint="eastAsia"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rPr>
              <w:t>粤环</w:t>
            </w:r>
            <w:r>
              <w:rPr>
                <w:rFonts w:hint="eastAsia" w:cs="Times New Roman"/>
                <w:color w:val="auto"/>
                <w:spacing w:val="-1"/>
                <w:sz w:val="24"/>
                <w:szCs w:val="24"/>
                <w:highlight w:val="none"/>
                <w:lang w:val="en-US" w:eastAsia="zh-CN"/>
              </w:rPr>
              <w:t>审</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rPr>
              <w:t>20</w:t>
            </w:r>
            <w:r>
              <w:rPr>
                <w:rFonts w:hint="eastAsia" w:cs="Times New Roman"/>
                <w:color w:val="auto"/>
                <w:spacing w:val="-1"/>
                <w:sz w:val="24"/>
                <w:szCs w:val="24"/>
                <w:highlight w:val="none"/>
                <w:lang w:val="en-US" w:eastAsia="zh-CN"/>
              </w:rPr>
              <w:t>2</w:t>
            </w:r>
            <w:r>
              <w:rPr>
                <w:rFonts w:hint="default" w:ascii="Times New Roman" w:hAnsi="Times New Roman" w:cs="Times New Roman"/>
                <w:color w:val="auto"/>
                <w:spacing w:val="-1"/>
                <w:sz w:val="24"/>
                <w:szCs w:val="24"/>
                <w:highlight w:val="none"/>
              </w:rPr>
              <w:t>6</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80</w:t>
            </w:r>
            <w:r>
              <w:rPr>
                <w:rFonts w:hint="default" w:ascii="Times New Roman" w:hAnsi="Times New Roman" w:cs="Times New Roman"/>
                <w:color w:val="auto"/>
                <w:spacing w:val="-1"/>
                <w:sz w:val="24"/>
                <w:szCs w:val="24"/>
                <w:highlight w:val="none"/>
              </w:rPr>
              <w:t>号</w:t>
            </w:r>
            <w:r>
              <w:rPr>
                <w:rFonts w:hint="eastAsia" w:cs="Times New Roman"/>
                <w:color w:val="auto"/>
                <w:spacing w:val="-1"/>
                <w:sz w:val="24"/>
                <w:szCs w:val="24"/>
                <w:highlight w:val="none"/>
                <w:lang w:eastAsia="zh-CN"/>
              </w:rPr>
              <w:t>）</w:t>
            </w:r>
          </w:p>
        </w:tc>
      </w:tr>
      <w:tr w14:paraId="3E4F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266" w:type="pct"/>
            <w:vAlign w:val="center"/>
          </w:tcPr>
          <w:p w14:paraId="1C81C4D8">
            <w:pPr>
              <w:pStyle w:val="61"/>
              <w:keepNext/>
              <w:pageBreakBefore w:val="0"/>
              <w:autoSpaceDE/>
              <w:autoSpaceDN/>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规划及规划环境影响评价符合性分析</w:t>
            </w:r>
          </w:p>
        </w:tc>
        <w:tc>
          <w:tcPr>
            <w:tcW w:w="4733" w:type="pct"/>
            <w:gridSpan w:val="6"/>
            <w:vAlign w:val="center"/>
          </w:tcPr>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
              <w:gridCol w:w="699"/>
              <w:gridCol w:w="3895"/>
              <w:gridCol w:w="2388"/>
              <w:gridCol w:w="403"/>
            </w:tblGrid>
            <w:tr w14:paraId="26B7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00" w:type="pct"/>
                  <w:gridSpan w:val="5"/>
                </w:tcPr>
                <w:p w14:paraId="1A7DA722">
                  <w:pPr>
                    <w:pStyle w:val="19"/>
                    <w:keepNext/>
                    <w:pageBreakBefore w:val="0"/>
                    <w:ind w:firstLine="480"/>
                    <w:jc w:val="center"/>
                    <w:rPr>
                      <w:rFonts w:hint="eastAsia"/>
                      <w:color w:val="auto"/>
                      <w:sz w:val="21"/>
                      <w:szCs w:val="21"/>
                      <w:vertAlign w:val="baseline"/>
                      <w:lang w:val="en-US" w:eastAsia="zh-CN"/>
                    </w:rPr>
                  </w:pPr>
                  <w:r>
                    <w:rPr>
                      <w:rFonts w:hint="default" w:ascii="Times New Roman" w:hAnsi="Times New Roman" w:cs="Times New Roman"/>
                      <w:b w:val="0"/>
                      <w:bCs w:val="0"/>
                      <w:color w:val="auto"/>
                      <w:highlight w:val="none"/>
                    </w:rPr>
                    <w:t>表1-</w:t>
                  </w:r>
                  <w:r>
                    <w:rPr>
                      <w:rFonts w:hint="default" w:ascii="Times New Roman" w:hAnsi="Times New Roman" w:cs="Times New Roman"/>
                      <w:b w:val="0"/>
                      <w:bCs w:val="0"/>
                      <w:color w:val="auto"/>
                      <w:highlight w:val="none"/>
                      <w:lang w:val="en-US" w:eastAsia="zh-CN"/>
                    </w:rPr>
                    <w:t>1</w:t>
                  </w:r>
                  <w:r>
                    <w:rPr>
                      <w:rFonts w:hint="eastAsia"/>
                      <w:b w:val="0"/>
                      <w:bCs w:val="0"/>
                      <w:color w:val="auto"/>
                    </w:rPr>
                    <w:t>规划及规划环境影响评价符合性分</w:t>
                  </w:r>
                  <w:r>
                    <w:rPr>
                      <w:rFonts w:hint="default" w:ascii="Times New Roman" w:hAnsi="Times New Roman" w:cs="Times New Roman"/>
                      <w:b w:val="0"/>
                      <w:bCs w:val="0"/>
                      <w:color w:val="auto"/>
                      <w:highlight w:val="none"/>
                    </w:rPr>
                    <w:t>析一览表</w:t>
                  </w:r>
                </w:p>
              </w:tc>
            </w:tr>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51D79BC1">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序号</w:t>
                  </w:r>
                </w:p>
              </w:tc>
              <w:tc>
                <w:tcPr>
                  <w:tcW w:w="445" w:type="pct"/>
                </w:tcPr>
                <w:p w14:paraId="02265759">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管控要求</w:t>
                  </w:r>
                </w:p>
              </w:tc>
              <w:tc>
                <w:tcPr>
                  <w:tcW w:w="2481" w:type="pct"/>
                </w:tcPr>
                <w:p w14:paraId="0B9C5F9B">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vertAlign w:val="baseline"/>
                      <w:lang w:val="en-US" w:eastAsia="zh-CN"/>
                    </w:rPr>
                  </w:pPr>
                </w:p>
                <w:p w14:paraId="034E8FDF">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总体准入要求</w:t>
                  </w:r>
                </w:p>
              </w:tc>
              <w:tc>
                <w:tcPr>
                  <w:tcW w:w="1521" w:type="pct"/>
                </w:tcPr>
                <w:p w14:paraId="4E99915E">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vertAlign w:val="baseline"/>
                      <w:lang w:val="en-US" w:eastAsia="zh-CN"/>
                    </w:rPr>
                  </w:pPr>
                </w:p>
                <w:p w14:paraId="55B94685">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项目情况</w:t>
                  </w:r>
                </w:p>
              </w:tc>
              <w:tc>
                <w:tcPr>
                  <w:tcW w:w="256" w:type="pct"/>
                </w:tcPr>
                <w:p w14:paraId="7CA629BE">
                  <w:pPr>
                    <w:keepNext/>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74FCB74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445" w:type="pct"/>
                  <w:vMerge w:val="restart"/>
                </w:tcPr>
                <w:p w14:paraId="1099942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空间布局约束</w:t>
                  </w:r>
                </w:p>
              </w:tc>
              <w:tc>
                <w:tcPr>
                  <w:tcW w:w="2481" w:type="pct"/>
                </w:tcPr>
                <w:p w14:paraId="256B593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引入产业应符合现行有效的《产业结构调整指导目录》、《市场准入负面清单》、《广东省国家重点生态功能区产业准入负面清单(试行</w:t>
                  </w:r>
                  <w:r>
                    <w:rPr>
                      <w:rFonts w:hint="eastAsia"/>
                      <w:color w:val="auto"/>
                      <w:sz w:val="21"/>
                      <w:szCs w:val="21"/>
                      <w:vertAlign w:val="baseline"/>
                      <w:lang w:eastAsia="zh-CN"/>
                    </w:rPr>
                    <w:t>）</w:t>
                  </w:r>
                  <w:r>
                    <w:rPr>
                      <w:rFonts w:hint="eastAsia"/>
                      <w:color w:val="auto"/>
                      <w:sz w:val="21"/>
                      <w:szCs w:val="21"/>
                      <w:vertAlign w:val="baseline"/>
                    </w:rPr>
                    <w:t>》等相关产业政策要求。</w:t>
                  </w:r>
                </w:p>
              </w:tc>
              <w:tc>
                <w:tcPr>
                  <w:tcW w:w="1521" w:type="pct"/>
                </w:tcPr>
                <w:p w14:paraId="7214816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项目属于一般工业固体废物分拣、压实，符合</w:t>
                  </w:r>
                  <w:r>
                    <w:rPr>
                      <w:rFonts w:hint="eastAsia"/>
                      <w:color w:val="auto"/>
                      <w:sz w:val="21"/>
                      <w:szCs w:val="21"/>
                      <w:vertAlign w:val="baseline"/>
                    </w:rPr>
                    <w:t>相关产业政策要求</w:t>
                  </w:r>
                  <w:r>
                    <w:rPr>
                      <w:rFonts w:hint="eastAsia"/>
                      <w:color w:val="auto"/>
                      <w:sz w:val="21"/>
                      <w:szCs w:val="21"/>
                      <w:vertAlign w:val="baseline"/>
                      <w:lang w:eastAsia="zh-CN"/>
                    </w:rPr>
                    <w:t>。</w:t>
                  </w:r>
                </w:p>
              </w:tc>
              <w:tc>
                <w:tcPr>
                  <w:tcW w:w="256" w:type="pct"/>
                </w:tcPr>
                <w:p w14:paraId="0999741C">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r>
            <w:tr w14:paraId="189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7976FB53">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445" w:type="pct"/>
                  <w:vMerge w:val="continue"/>
                </w:tcPr>
                <w:p w14:paraId="4362313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662B1BD">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rPr>
                    <w:t>严格控制高污染高能耗项目建设。</w:t>
                  </w:r>
                  <w:r>
                    <w:rPr>
                      <w:rFonts w:hint="eastAsia"/>
                      <w:color w:val="auto"/>
                      <w:sz w:val="21"/>
                      <w:szCs w:val="21"/>
                      <w:vertAlign w:val="baseline"/>
                    </w:rPr>
                    <w:t>新、改、扩建项目要达到国内清洁生产先进水平。</w:t>
                  </w:r>
                </w:p>
              </w:tc>
              <w:tc>
                <w:tcPr>
                  <w:tcW w:w="1521" w:type="pct"/>
                </w:tcPr>
                <w:p w14:paraId="7230CFD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项目不属于</w:t>
                  </w:r>
                  <w:r>
                    <w:rPr>
                      <w:rFonts w:hint="eastAsia"/>
                      <w:color w:val="auto"/>
                      <w:sz w:val="21"/>
                      <w:szCs w:val="21"/>
                    </w:rPr>
                    <w:t>高污染高能耗项目</w:t>
                  </w:r>
                  <w:r>
                    <w:rPr>
                      <w:rFonts w:hint="eastAsia"/>
                      <w:color w:val="auto"/>
                      <w:sz w:val="21"/>
                      <w:szCs w:val="21"/>
                      <w:lang w:eastAsia="zh-CN"/>
                    </w:rPr>
                    <w:t>。</w:t>
                  </w:r>
                </w:p>
              </w:tc>
              <w:tc>
                <w:tcPr>
                  <w:tcW w:w="256" w:type="pct"/>
                </w:tcPr>
                <w:p w14:paraId="7E129DE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E86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1CB5C851">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445" w:type="pct"/>
                  <w:vMerge w:val="continue"/>
                </w:tcPr>
                <w:p w14:paraId="260BE0C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E7E505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禁止销售、燃用高污染燃料</w:t>
                  </w:r>
                  <w:r>
                    <w:rPr>
                      <w:rFonts w:hint="eastAsia"/>
                      <w:color w:val="auto"/>
                      <w:sz w:val="21"/>
                      <w:szCs w:val="21"/>
                      <w:vertAlign w:val="baseline"/>
                      <w:lang w:eastAsia="zh-CN"/>
                    </w:rPr>
                    <w:t>；</w:t>
                  </w:r>
                  <w:r>
                    <w:rPr>
                      <w:rFonts w:hint="eastAsia"/>
                      <w:color w:val="auto"/>
                      <w:sz w:val="21"/>
                      <w:szCs w:val="21"/>
                      <w:vertAlign w:val="baseline"/>
                    </w:rPr>
                    <w:t>禁止新建、扩建燃用高污染燃料的设施</w:t>
                  </w:r>
                  <w:r>
                    <w:rPr>
                      <w:rFonts w:hint="eastAsia"/>
                      <w:color w:val="auto"/>
                      <w:sz w:val="21"/>
                      <w:szCs w:val="21"/>
                      <w:vertAlign w:val="baseline"/>
                      <w:lang w:eastAsia="zh-CN"/>
                    </w:rPr>
                    <w:t>；</w:t>
                  </w:r>
                  <w:r>
                    <w:rPr>
                      <w:rFonts w:hint="eastAsia"/>
                      <w:color w:val="auto"/>
                      <w:sz w:val="21"/>
                      <w:szCs w:val="21"/>
                    </w:rPr>
                    <w:t>禁止建设生产和使用高VOCs含量的溶剂型涂料、油墨、胶粘剂等项目。</w:t>
                  </w:r>
                </w:p>
              </w:tc>
              <w:tc>
                <w:tcPr>
                  <w:tcW w:w="1521" w:type="pct"/>
                </w:tcPr>
                <w:p w14:paraId="7F58D47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w:t>
                  </w:r>
                  <w:r>
                    <w:rPr>
                      <w:rFonts w:hint="eastAsia"/>
                      <w:color w:val="auto"/>
                      <w:sz w:val="21"/>
                      <w:szCs w:val="21"/>
                      <w:vertAlign w:val="baseline"/>
                    </w:rPr>
                    <w:t>销售、燃用高污染燃料</w:t>
                  </w:r>
                  <w:r>
                    <w:rPr>
                      <w:rFonts w:hint="eastAsia"/>
                      <w:color w:val="auto"/>
                      <w:sz w:val="21"/>
                      <w:szCs w:val="21"/>
                      <w:vertAlign w:val="baseline"/>
                      <w:lang w:eastAsia="zh-CN"/>
                    </w:rPr>
                    <w:t>。</w:t>
                  </w:r>
                  <w:r>
                    <w:rPr>
                      <w:rFonts w:hint="eastAsia"/>
                      <w:color w:val="auto"/>
                      <w:sz w:val="21"/>
                      <w:szCs w:val="21"/>
                      <w:vertAlign w:val="baseline"/>
                      <w:lang w:val="en-US" w:eastAsia="zh-CN"/>
                    </w:rPr>
                    <w:t>不</w:t>
                  </w:r>
                  <w:r>
                    <w:rPr>
                      <w:rFonts w:hint="eastAsia"/>
                      <w:color w:val="auto"/>
                      <w:sz w:val="21"/>
                      <w:szCs w:val="21"/>
                    </w:rPr>
                    <w:t>生产和使用高VOCs含量的溶剂型涂料、油墨、胶粘剂</w:t>
                  </w:r>
                  <w:r>
                    <w:rPr>
                      <w:rFonts w:hint="eastAsia"/>
                      <w:color w:val="auto"/>
                      <w:sz w:val="21"/>
                      <w:szCs w:val="21"/>
                      <w:lang w:eastAsia="zh-CN"/>
                    </w:rPr>
                    <w:t>。</w:t>
                  </w:r>
                </w:p>
              </w:tc>
              <w:tc>
                <w:tcPr>
                  <w:tcW w:w="256" w:type="pct"/>
                </w:tcPr>
                <w:p w14:paraId="46733AE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A27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1A340CD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445" w:type="pct"/>
                  <w:vMerge w:val="continue"/>
                </w:tcPr>
                <w:p w14:paraId="088AC24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255B2F3A">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禁止新建、扩建专业电镀、鞣革、印染、化学制浆等水污染物排放量大或排放一类污染物、持久性有机污染物的项目。</w:t>
                  </w:r>
                </w:p>
              </w:tc>
              <w:tc>
                <w:tcPr>
                  <w:tcW w:w="1521" w:type="pct"/>
                </w:tcPr>
                <w:p w14:paraId="1908D8C8">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项目不属于</w:t>
                  </w:r>
                  <w:r>
                    <w:rPr>
                      <w:rFonts w:hint="eastAsia"/>
                      <w:color w:val="auto"/>
                      <w:sz w:val="21"/>
                      <w:szCs w:val="21"/>
                      <w:vertAlign w:val="baseline"/>
                    </w:rPr>
                    <w:t>专业电镀、鞣革、印染、化学制浆等水污染物排放量大或排放一类污染物、持久性有机污染物的项目</w:t>
                  </w:r>
                </w:p>
              </w:tc>
              <w:tc>
                <w:tcPr>
                  <w:tcW w:w="256" w:type="pct"/>
                </w:tcPr>
                <w:p w14:paraId="3209B8AD">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F0B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083EB109">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445" w:type="pct"/>
                  <w:vMerge w:val="continue"/>
                </w:tcPr>
                <w:p w14:paraId="11DB6BB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7093527E">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tc>
              <w:tc>
                <w:tcPr>
                  <w:tcW w:w="1521" w:type="pct"/>
                </w:tcPr>
                <w:p w14:paraId="59D52C99">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项目区域不属于</w:t>
                  </w:r>
                  <w:r>
                    <w:rPr>
                      <w:rFonts w:hint="eastAsia"/>
                      <w:color w:val="auto"/>
                      <w:sz w:val="21"/>
                      <w:szCs w:val="21"/>
                      <w:vertAlign w:val="baseline"/>
                    </w:rPr>
                    <w:t>部规划居住用地、行政办公用地、教育用地等敏感区域临近的区域</w:t>
                  </w:r>
                  <w:r>
                    <w:rPr>
                      <w:rFonts w:hint="eastAsia"/>
                      <w:color w:val="auto"/>
                      <w:sz w:val="21"/>
                      <w:szCs w:val="21"/>
                      <w:vertAlign w:val="baseline"/>
                      <w:lang w:eastAsia="zh-CN"/>
                    </w:rPr>
                    <w:t>，</w:t>
                  </w:r>
                  <w:r>
                    <w:rPr>
                      <w:rFonts w:hint="eastAsia"/>
                      <w:color w:val="auto"/>
                      <w:sz w:val="21"/>
                      <w:szCs w:val="21"/>
                      <w:vertAlign w:val="baseline"/>
                      <w:lang w:val="en-US" w:eastAsia="zh-CN"/>
                    </w:rPr>
                    <w:t>不在</w:t>
                  </w:r>
                  <w:r>
                    <w:rPr>
                      <w:rFonts w:hint="eastAsia"/>
                      <w:color w:val="auto"/>
                      <w:sz w:val="21"/>
                      <w:szCs w:val="21"/>
                      <w:vertAlign w:val="baseline"/>
                    </w:rPr>
                    <w:t>学校周围直线延伸二百米范围内</w:t>
                  </w:r>
                  <w:r>
                    <w:rPr>
                      <w:rFonts w:hint="eastAsia"/>
                      <w:color w:val="auto"/>
                      <w:sz w:val="21"/>
                      <w:szCs w:val="21"/>
                      <w:vertAlign w:val="baseline"/>
                      <w:lang w:eastAsia="zh-CN"/>
                    </w:rPr>
                    <w:t>，</w:t>
                  </w:r>
                  <w:r>
                    <w:rPr>
                      <w:rFonts w:hint="eastAsia"/>
                      <w:color w:val="auto"/>
                      <w:sz w:val="21"/>
                      <w:szCs w:val="21"/>
                      <w:vertAlign w:val="baseline"/>
                      <w:lang w:val="en-US" w:eastAsia="zh-CN"/>
                    </w:rPr>
                    <w:t>不</w:t>
                  </w:r>
                  <w:r>
                    <w:rPr>
                      <w:rFonts w:hint="eastAsia"/>
                      <w:color w:val="auto"/>
                      <w:sz w:val="21"/>
                      <w:szCs w:val="21"/>
                      <w:vertAlign w:val="baseline"/>
                    </w:rPr>
                    <w:t>临近南岸村、饮用水源准保护区等敏感用地</w:t>
                  </w:r>
                  <w:r>
                    <w:rPr>
                      <w:rFonts w:hint="eastAsia"/>
                      <w:color w:val="auto"/>
                      <w:sz w:val="21"/>
                      <w:szCs w:val="21"/>
                      <w:vertAlign w:val="baseline"/>
                      <w:lang w:eastAsia="zh-CN"/>
                    </w:rPr>
                    <w:t>。</w:t>
                  </w:r>
                  <w:r>
                    <w:rPr>
                      <w:rFonts w:hint="eastAsia"/>
                      <w:color w:val="auto"/>
                      <w:sz w:val="21"/>
                      <w:szCs w:val="21"/>
                      <w:lang w:val="en-US" w:eastAsia="zh-CN"/>
                    </w:rPr>
                    <w:t>项目距离最近敏感点尚都新城（含乐昌湘华医院）253m。</w:t>
                  </w:r>
                </w:p>
              </w:tc>
              <w:tc>
                <w:tcPr>
                  <w:tcW w:w="256" w:type="pct"/>
                </w:tcPr>
                <w:p w14:paraId="7EEF02B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822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6E4B2C72">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445" w:type="pct"/>
                  <w:vMerge w:val="continue"/>
                </w:tcPr>
                <w:p w14:paraId="69FEE31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2DD0648">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rPr>
                    <w:t>与饮用水源准保护区重叠区域划定为优先保护单元，不进行工业开发利用，禁止新建、扩建对水体污染严重的建设项目，改建项目不得增加排污量。</w:t>
                  </w:r>
                </w:p>
              </w:tc>
              <w:tc>
                <w:tcPr>
                  <w:tcW w:w="1521" w:type="pct"/>
                </w:tcPr>
                <w:p w14:paraId="1E4091BE">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项目不在</w:t>
                  </w:r>
                  <w:r>
                    <w:rPr>
                      <w:rFonts w:hint="eastAsia"/>
                      <w:color w:val="auto"/>
                      <w:sz w:val="21"/>
                      <w:szCs w:val="21"/>
                      <w:vertAlign w:val="baseline"/>
                    </w:rPr>
                    <w:t>与饮用水源准保护区重叠区域</w:t>
                  </w:r>
                  <w:r>
                    <w:rPr>
                      <w:rFonts w:hint="eastAsia"/>
                      <w:color w:val="auto"/>
                      <w:sz w:val="21"/>
                      <w:szCs w:val="21"/>
                      <w:vertAlign w:val="baseline"/>
                      <w:lang w:eastAsia="zh-CN"/>
                    </w:rPr>
                    <w:t>。</w:t>
                  </w:r>
                </w:p>
              </w:tc>
              <w:tc>
                <w:tcPr>
                  <w:tcW w:w="256" w:type="pct"/>
                </w:tcPr>
                <w:p w14:paraId="7FA7B2E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BCA8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39F1DA7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w:t>
                  </w:r>
                </w:p>
              </w:tc>
              <w:tc>
                <w:tcPr>
                  <w:tcW w:w="445" w:type="pct"/>
                  <w:vMerge w:val="continue"/>
                  <w:shd w:val="clear" w:color="auto" w:fill="auto"/>
                </w:tcPr>
                <w:p w14:paraId="64280DB2">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2481" w:type="pct"/>
                </w:tcPr>
                <w:p w14:paraId="0EBF178B">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1521" w:type="pct"/>
                </w:tcPr>
                <w:p w14:paraId="5C27128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项目为一般工业固体废物分拣、压实，不属于</w:t>
                  </w:r>
                  <w:r>
                    <w:rPr>
                      <w:rFonts w:hint="eastAsia"/>
                      <w:color w:val="auto"/>
                      <w:sz w:val="21"/>
                      <w:szCs w:val="21"/>
                      <w:vertAlign w:val="baseline"/>
                    </w:rPr>
                    <w:t>涉重金属、多环芳烃类等持久性有机污染物企业</w:t>
                  </w:r>
                  <w:r>
                    <w:rPr>
                      <w:rFonts w:hint="eastAsia"/>
                      <w:color w:val="auto"/>
                      <w:sz w:val="21"/>
                      <w:szCs w:val="21"/>
                      <w:vertAlign w:val="baseline"/>
                      <w:lang w:eastAsia="zh-CN"/>
                    </w:rPr>
                    <w:t>。</w:t>
                  </w:r>
                  <w:r>
                    <w:rPr>
                      <w:rFonts w:hint="eastAsia"/>
                      <w:color w:val="auto"/>
                      <w:sz w:val="21"/>
                      <w:szCs w:val="21"/>
                      <w:vertAlign w:val="baseline"/>
                      <w:lang w:val="en-US" w:eastAsia="zh-CN"/>
                    </w:rPr>
                    <w:t>项目不</w:t>
                  </w:r>
                  <w:r>
                    <w:rPr>
                      <w:rFonts w:hint="eastAsia"/>
                      <w:color w:val="auto"/>
                      <w:sz w:val="21"/>
                      <w:szCs w:val="21"/>
                      <w:vertAlign w:val="baseline"/>
                    </w:rPr>
                    <w:t>在永久基本农田</w:t>
                  </w:r>
                  <w:r>
                    <w:rPr>
                      <w:rFonts w:hint="eastAsia"/>
                      <w:color w:val="auto"/>
                      <w:sz w:val="21"/>
                      <w:szCs w:val="21"/>
                      <w:vertAlign w:val="baseline"/>
                      <w:lang w:val="en-US" w:eastAsia="zh-CN"/>
                    </w:rPr>
                    <w:t>集中区域内</w:t>
                  </w:r>
                  <w:r>
                    <w:rPr>
                      <w:rFonts w:hint="eastAsia"/>
                      <w:color w:val="auto"/>
                      <w:sz w:val="21"/>
                      <w:szCs w:val="21"/>
                      <w:vertAlign w:val="baseline"/>
                      <w:lang w:eastAsia="zh-CN"/>
                    </w:rPr>
                    <w:t>。</w:t>
                  </w:r>
                </w:p>
              </w:tc>
              <w:tc>
                <w:tcPr>
                  <w:tcW w:w="256" w:type="pct"/>
                </w:tcPr>
                <w:p w14:paraId="243BB1A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554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8012D6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c>
                <w:tcPr>
                  <w:tcW w:w="445" w:type="pct"/>
                  <w:vMerge w:val="restart"/>
                </w:tcPr>
                <w:p w14:paraId="39E2C3EC">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vertAlign w:val="baseline"/>
                      <w:lang w:val="en-US" w:eastAsia="zh-CN"/>
                    </w:rPr>
                    <w:t>污染物排放管控</w:t>
                  </w:r>
                </w:p>
              </w:tc>
              <w:tc>
                <w:tcPr>
                  <w:tcW w:w="2481" w:type="pct"/>
                </w:tcPr>
                <w:p w14:paraId="5F890EA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根据《广东省生态环境厅关于在重点区域执行污染物特别排放限值的公告》(粤环发(2023)1号)要求，执行相应特别排放限值要求。</w:t>
                  </w:r>
                </w:p>
              </w:tc>
              <w:tc>
                <w:tcPr>
                  <w:tcW w:w="1521" w:type="pct"/>
                </w:tcPr>
                <w:p w14:paraId="381F003A">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sz w:val="21"/>
                      <w:szCs w:val="21"/>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不涉及该公告中的“执行行业及内容”。</w:t>
                  </w:r>
                </w:p>
              </w:tc>
              <w:tc>
                <w:tcPr>
                  <w:tcW w:w="256" w:type="pct"/>
                </w:tcPr>
                <w:p w14:paraId="51F9248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6093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07C5C18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9</w:t>
                  </w:r>
                </w:p>
              </w:tc>
              <w:tc>
                <w:tcPr>
                  <w:tcW w:w="445" w:type="pct"/>
                  <w:vMerge w:val="continue"/>
                </w:tcPr>
                <w:p w14:paraId="5D56E894">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7DF0E8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开发区内各企业污废水原则上应接入园区污水处理厂进行集中处理、达标排放。各企业生产废水需经预处理达到广东省《水污染物排放限值》(DB44</w:t>
                  </w:r>
                  <w:r>
                    <w:rPr>
                      <w:rFonts w:hint="eastAsia"/>
                      <w:color w:val="auto"/>
                      <w:sz w:val="21"/>
                      <w:szCs w:val="21"/>
                      <w:vertAlign w:val="baseline"/>
                      <w:lang w:val="en-US" w:eastAsia="zh-CN"/>
                    </w:rPr>
                    <w:t>/</w:t>
                  </w:r>
                  <w:r>
                    <w:rPr>
                      <w:rFonts w:hint="eastAsia"/>
                      <w:color w:val="auto"/>
                      <w:sz w:val="21"/>
                      <w:szCs w:val="21"/>
                      <w:vertAlign w:val="baseline"/>
                    </w:rPr>
                    <w:t>26-2001)第二时段三级标准、所属行业排放标准(间接排放)，以及污水处理厂接管标准后，方可与规划区生活污水通过污水管线一并进入园区污水处理厂处理。</w:t>
                  </w:r>
                </w:p>
              </w:tc>
              <w:tc>
                <w:tcPr>
                  <w:tcW w:w="1521" w:type="pct"/>
                </w:tcPr>
                <w:p w14:paraId="39AEE605">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本项目无生产废水和生活废水产生。</w:t>
                  </w:r>
                </w:p>
              </w:tc>
              <w:tc>
                <w:tcPr>
                  <w:tcW w:w="256" w:type="pct"/>
                </w:tcPr>
                <w:p w14:paraId="5DCA16D6">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5F53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211D013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c>
                <w:tcPr>
                  <w:tcW w:w="445" w:type="pct"/>
                  <w:vMerge w:val="continue"/>
                </w:tcPr>
                <w:p w14:paraId="5F300B41">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86E513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tc>
              <w:tc>
                <w:tcPr>
                  <w:tcW w:w="1521" w:type="pct"/>
                </w:tcPr>
                <w:p w14:paraId="0B3CAAD7">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本项目不涉及燃气锅炉。</w:t>
                  </w:r>
                </w:p>
              </w:tc>
              <w:tc>
                <w:tcPr>
                  <w:tcW w:w="256" w:type="pct"/>
                </w:tcPr>
                <w:p w14:paraId="354D9D2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9C8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7CDC6F7">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11</w:t>
                  </w:r>
                </w:p>
              </w:tc>
              <w:tc>
                <w:tcPr>
                  <w:tcW w:w="445" w:type="pct"/>
                  <w:vMerge w:val="continue"/>
                </w:tcPr>
                <w:p w14:paraId="58A230D0">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B0DF396">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产生固体废物(含危险废物)的企业须配套建设符合规范且满足需求的贮存场所，固体废物(含危险废物)贮存、转移过程中应配套防扬散、防流失、防渗漏及其它防止污染环境的措施。</w:t>
                  </w:r>
                </w:p>
              </w:tc>
              <w:tc>
                <w:tcPr>
                  <w:tcW w:w="1521" w:type="pct"/>
                </w:tcPr>
                <w:p w14:paraId="6330E55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本项目要求建设危废暂存间。</w:t>
                  </w:r>
                </w:p>
              </w:tc>
              <w:tc>
                <w:tcPr>
                  <w:tcW w:w="256" w:type="pct"/>
                </w:tcPr>
                <w:p w14:paraId="4050652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2E3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544937F4">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12</w:t>
                  </w:r>
                </w:p>
              </w:tc>
              <w:tc>
                <w:tcPr>
                  <w:tcW w:w="445" w:type="pct"/>
                  <w:vMerge w:val="continue"/>
                </w:tcPr>
                <w:p w14:paraId="6D3C144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6B4D1775">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rPr>
                    <w:t>重点重金属按照韶关市生态环境分区管控要求执行。</w:t>
                  </w:r>
                </w:p>
              </w:tc>
              <w:tc>
                <w:tcPr>
                  <w:tcW w:w="1521" w:type="pct"/>
                </w:tcPr>
                <w:p w14:paraId="2139DCF3">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sz w:val="21"/>
                      <w:szCs w:val="21"/>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不涉及重点重金属。</w:t>
                  </w:r>
                </w:p>
              </w:tc>
              <w:tc>
                <w:tcPr>
                  <w:tcW w:w="256" w:type="pct"/>
                </w:tcPr>
                <w:p w14:paraId="67E720BF">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636BA1AB">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13</w:t>
                  </w:r>
                </w:p>
              </w:tc>
              <w:tc>
                <w:tcPr>
                  <w:tcW w:w="445" w:type="pct"/>
                  <w:vMerge w:val="restart"/>
                </w:tcPr>
                <w:p w14:paraId="455C11EF">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环境风险管控</w:t>
                  </w:r>
                </w:p>
              </w:tc>
              <w:tc>
                <w:tcPr>
                  <w:tcW w:w="2481" w:type="pct"/>
                </w:tcPr>
                <w:p w14:paraId="25F061C1">
                  <w:pPr>
                    <w:keepNext/>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color w:val="auto"/>
                      <w:sz w:val="21"/>
                      <w:szCs w:val="21"/>
                      <w:vertAlign w:val="baseline"/>
                      <w:lang w:val="en-US" w:eastAsia="zh-CN"/>
                    </w:rPr>
                  </w:pPr>
                  <w:r>
                    <w:rPr>
                      <w:rFonts w:hint="eastAsia"/>
                      <w:color w:val="auto"/>
                      <w:sz w:val="21"/>
                      <w:szCs w:val="21"/>
                      <w:vertAlign w:val="baseline"/>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tc>
              <w:tc>
                <w:tcPr>
                  <w:tcW w:w="1521" w:type="pct"/>
                </w:tcPr>
                <w:p w14:paraId="43DB271E">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本项目要求</w:t>
                  </w:r>
                  <w:r>
                    <w:rPr>
                      <w:rFonts w:hint="eastAsia"/>
                      <w:color w:val="auto"/>
                      <w:sz w:val="21"/>
                      <w:szCs w:val="21"/>
                      <w:vertAlign w:val="baseline"/>
                    </w:rPr>
                    <w:t>根据国家及广东省环境应急预案管理的要求编制环境风险应急预案</w:t>
                  </w:r>
                  <w:r>
                    <w:rPr>
                      <w:rFonts w:hint="eastAsia"/>
                      <w:color w:val="auto"/>
                      <w:sz w:val="21"/>
                      <w:szCs w:val="21"/>
                      <w:vertAlign w:val="baseline"/>
                      <w:lang w:eastAsia="zh-CN"/>
                    </w:rPr>
                    <w:t>。</w:t>
                  </w:r>
                </w:p>
              </w:tc>
              <w:tc>
                <w:tcPr>
                  <w:tcW w:w="256" w:type="pct"/>
                </w:tcPr>
                <w:p w14:paraId="270D4C84">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3262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369880C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14</w:t>
                  </w:r>
                </w:p>
              </w:tc>
              <w:tc>
                <w:tcPr>
                  <w:tcW w:w="445" w:type="pct"/>
                  <w:vMerge w:val="continue"/>
                </w:tcPr>
                <w:p w14:paraId="5749EC69">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lang w:val="en-US" w:eastAsia="zh-CN"/>
                    </w:rPr>
                  </w:pPr>
                </w:p>
              </w:tc>
              <w:tc>
                <w:tcPr>
                  <w:tcW w:w="2481" w:type="pct"/>
                </w:tcPr>
                <w:p w14:paraId="56C3A927">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rPr>
                    <w:t>涉及生产废水排放企业需配套有效措施，防止事故废水直排污染地表水体，防止因渗漏污染地下水。</w:t>
                  </w:r>
                </w:p>
              </w:tc>
              <w:tc>
                <w:tcPr>
                  <w:tcW w:w="1521" w:type="pct"/>
                </w:tcPr>
                <w:p w14:paraId="6B433BBF">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本项目废水主要为生活污水，不会污染地下水。</w:t>
                  </w:r>
                </w:p>
              </w:tc>
              <w:tc>
                <w:tcPr>
                  <w:tcW w:w="256" w:type="pct"/>
                </w:tcPr>
                <w:p w14:paraId="1C6A05E3">
                  <w:pPr>
                    <w:keepNext/>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4" w:type="pct"/>
                </w:tcPr>
                <w:p w14:paraId="43A8A282">
                  <w:pPr>
                    <w:keepNext/>
                    <w:keepLines w:val="0"/>
                    <w:pageBreakBefore w:val="0"/>
                    <w:widowControl w:val="0"/>
                    <w:kinsoku/>
                    <w:wordWrap/>
                    <w:overflowPunct/>
                    <w:topLinePunct w:val="0"/>
                    <w:autoSpaceDE/>
                    <w:autoSpaceDN/>
                    <w:bidi w:val="0"/>
                    <w:adjustRightInd/>
                    <w:snapToGrid/>
                    <w:spacing w:line="240" w:lineRule="auto"/>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15</w:t>
                  </w:r>
                </w:p>
              </w:tc>
              <w:tc>
                <w:tcPr>
                  <w:tcW w:w="445" w:type="pct"/>
                </w:tcPr>
                <w:p w14:paraId="03DC78EE">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资源开发利用管理</w:t>
                  </w:r>
                </w:p>
              </w:tc>
              <w:tc>
                <w:tcPr>
                  <w:tcW w:w="2481" w:type="pct"/>
                </w:tcPr>
                <w:p w14:paraId="621A37A3">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rPr>
                    <w:t>禁止使用高污染燃料，建议使用电能、天然气等清洁能源。</w:t>
                  </w:r>
                </w:p>
              </w:tc>
              <w:tc>
                <w:tcPr>
                  <w:tcW w:w="1521" w:type="pct"/>
                </w:tcPr>
                <w:p w14:paraId="7765BF25">
                  <w:pPr>
                    <w:keepNext/>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本项目使用电能作为主要能源，不使用高污染燃料。</w:t>
                  </w:r>
                </w:p>
              </w:tc>
              <w:tc>
                <w:tcPr>
                  <w:tcW w:w="256" w:type="pct"/>
                </w:tcPr>
                <w:p w14:paraId="74C71E57">
                  <w:pPr>
                    <w:keepNext/>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sz w:val="21"/>
                      <w:szCs w:val="21"/>
                      <w:vertAlign w:val="baseline"/>
                    </w:rPr>
                  </w:pPr>
                  <w:r>
                    <w:rPr>
                      <w:rFonts w:hint="eastAsia"/>
                      <w:color w:val="auto"/>
                      <w:sz w:val="21"/>
                      <w:szCs w:val="21"/>
                      <w:vertAlign w:val="baseline"/>
                      <w:lang w:val="en-US" w:eastAsia="zh-CN"/>
                    </w:rPr>
                    <w:t>符合</w:t>
                  </w:r>
                </w:p>
              </w:tc>
            </w:tr>
          </w:tbl>
          <w:p w14:paraId="4A9FFEAB">
            <w:pPr>
              <w:pStyle w:val="61"/>
              <w:keepNext/>
              <w:keepLines w:val="0"/>
              <w:pageBreakBefore w:val="0"/>
              <w:kinsoku/>
              <w:overflowPunct/>
              <w:topLinePunct w:val="0"/>
              <w:autoSpaceDE/>
              <w:autoSpaceDN/>
              <w:bidi w:val="0"/>
              <w:adjustRightInd/>
              <w:snapToGrid/>
              <w:spacing w:line="360" w:lineRule="auto"/>
              <w:ind w:firstLine="476" w:firstLineChars="200"/>
              <w:jc w:val="left"/>
              <w:outlineLvl w:val="9"/>
              <w:rPr>
                <w:rFonts w:hint="default" w:ascii="Times New Roman" w:hAnsi="Times New Roman" w:cs="Times New Roman"/>
                <w:color w:val="auto"/>
                <w:spacing w:val="-1"/>
                <w:sz w:val="24"/>
                <w:szCs w:val="24"/>
                <w:highlight w:val="none"/>
              </w:rPr>
            </w:pPr>
          </w:p>
        </w:tc>
      </w:tr>
      <w:tr w14:paraId="1549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3" w:hRule="atLeast"/>
          <w:jc w:val="center"/>
        </w:trPr>
        <w:tc>
          <w:tcPr>
            <w:tcW w:w="266" w:type="pct"/>
            <w:vAlign w:val="center"/>
          </w:tcPr>
          <w:p w14:paraId="745F5759">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3" w:name="_Toc27052"/>
            <w:bookmarkStart w:id="4" w:name="_Toc22642"/>
            <w:bookmarkStart w:id="5" w:name="_Toc11884"/>
            <w:bookmarkStart w:id="6" w:name="_Toc28749"/>
            <w:bookmarkStart w:id="7" w:name="_Toc2999"/>
            <w:r>
              <w:rPr>
                <w:rFonts w:hint="default" w:ascii="Times New Roman" w:hAnsi="Times New Roman" w:cs="Times New Roman"/>
                <w:color w:val="auto"/>
                <w:highlight w:val="none"/>
              </w:rPr>
              <w:t>其他符合性分析</w:t>
            </w:r>
            <w:bookmarkEnd w:id="3"/>
            <w:bookmarkEnd w:id="4"/>
            <w:bookmarkEnd w:id="5"/>
            <w:bookmarkEnd w:id="6"/>
            <w:bookmarkEnd w:id="7"/>
          </w:p>
        </w:tc>
        <w:tc>
          <w:tcPr>
            <w:tcW w:w="4733" w:type="pct"/>
            <w:gridSpan w:val="6"/>
            <w:vAlign w:val="center"/>
          </w:tcPr>
          <w:p w14:paraId="51BC1430">
            <w:pPr>
              <w:pStyle w:val="19"/>
              <w:keepNext/>
              <w:keepLines w:val="0"/>
              <w:pageBreakBefore w:val="0"/>
              <w:ind w:left="-2" w:firstLineChars="200"/>
              <w:outlineLvl w:val="2"/>
              <w:rPr>
                <w:rFonts w:hint="default" w:ascii="Times New Roman" w:hAnsi="Times New Roman" w:eastAsia="宋体" w:cs="Times New Roman"/>
                <w:b/>
                <w:bCs/>
                <w:color w:val="auto"/>
                <w:sz w:val="24"/>
                <w:highlight w:val="none"/>
                <w:lang w:eastAsia="zh-CN"/>
              </w:rPr>
            </w:pPr>
            <w:r>
              <w:rPr>
                <w:rFonts w:hint="default" w:ascii="Times New Roman" w:hAnsi="Times New Roman" w:cs="Times New Roman"/>
                <w:b/>
                <w:bCs/>
                <w:color w:val="auto"/>
                <w:sz w:val="24"/>
                <w:highlight w:val="none"/>
              </w:rPr>
              <w:t>一、产业政策相符性分析</w:t>
            </w:r>
          </w:p>
          <w:p w14:paraId="4D398552">
            <w:pPr>
              <w:pStyle w:val="19"/>
              <w:keepNext/>
              <w:keepLines w:val="0"/>
              <w:pageBreakBefore w:val="0"/>
              <w:ind w:firstLineChars="200"/>
              <w:outlineLvl w:val="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本项目所属行业类别为</w:t>
            </w:r>
            <w:r>
              <w:rPr>
                <w:rFonts w:hint="eastAsia" w:cs="Times New Roman"/>
                <w:color w:val="auto"/>
                <w:sz w:val="24"/>
                <w:szCs w:val="24"/>
                <w:highlight w:val="none"/>
                <w:lang w:val="en-US" w:eastAsia="zh-CN"/>
              </w:rPr>
              <w:t>N7723 固体废物治理</w:t>
            </w:r>
            <w:r>
              <w:rPr>
                <w:rFonts w:hint="default" w:ascii="Times New Roman" w:hAnsi="Times New Roman" w:cs="Times New Roman"/>
                <w:color w:val="auto"/>
                <w:sz w:val="24"/>
                <w:highlight w:val="none"/>
              </w:rPr>
              <w:t>，根据《产业结构调整指导目录（2024年本）》（国家发展和改革委员会令第7号），本项目不属于指导目录中的鼓励类、限制类和淘汰类产业，符合国家有关法律、法规和政策规定，属于允许类。</w:t>
            </w:r>
          </w:p>
          <w:p w14:paraId="55B81990">
            <w:pPr>
              <w:pStyle w:val="19"/>
              <w:keepNext/>
              <w:pageBreakBefore w:val="0"/>
              <w:ind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根据《市场准入负面清单（202</w:t>
            </w:r>
            <w:r>
              <w:rPr>
                <w:rFonts w:hint="default"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年版）》（发改体改规〔202</w:t>
            </w:r>
            <w:r>
              <w:rPr>
                <w:rFonts w:hint="default"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466</w:t>
            </w:r>
            <w:r>
              <w:rPr>
                <w:rFonts w:hint="default" w:ascii="Times New Roman" w:hAnsi="Times New Roman" w:cs="Times New Roman"/>
                <w:color w:val="auto"/>
                <w:kern w:val="0"/>
                <w:sz w:val="24"/>
                <w:highlight w:val="none"/>
              </w:rPr>
              <w:t>号）</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《广东省国家重点生态功能区产业准入负面清单</w:t>
            </w:r>
            <w:r>
              <w:rPr>
                <w:rFonts w:hint="eastAsia" w:cs="Times New Roman"/>
                <w:color w:val="auto"/>
                <w:kern w:val="0"/>
                <w:sz w:val="24"/>
                <w:highlight w:val="none"/>
                <w:lang w:eastAsia="zh-CN"/>
              </w:rPr>
              <w:t>（</w:t>
            </w:r>
            <w:r>
              <w:rPr>
                <w:rFonts w:hint="default" w:ascii="Times New Roman" w:hAnsi="Times New Roman" w:cs="Times New Roman"/>
                <w:color w:val="auto"/>
                <w:kern w:val="0"/>
                <w:sz w:val="24"/>
                <w:highlight w:val="none"/>
              </w:rPr>
              <w:t>试行</w:t>
            </w:r>
            <w:r>
              <w:rPr>
                <w:rFonts w:hint="eastAsia" w:cs="Times New Roman"/>
                <w:color w:val="auto"/>
                <w:kern w:val="0"/>
                <w:sz w:val="24"/>
                <w:highlight w:val="none"/>
                <w:lang w:eastAsia="zh-CN"/>
              </w:rPr>
              <w:t>）</w:t>
            </w:r>
            <w:r>
              <w:rPr>
                <w:rFonts w:hint="default" w:ascii="Times New Roman" w:hAnsi="Times New Roman" w:cs="Times New Roman"/>
                <w:color w:val="auto"/>
                <w:kern w:val="0"/>
                <w:sz w:val="24"/>
                <w:highlight w:val="none"/>
              </w:rPr>
              <w:t>》（粤发改规划</w:t>
            </w:r>
            <w:r>
              <w:rPr>
                <w:rFonts w:hint="default" w:ascii="Times New Roman" w:hAnsi="Times New Roman" w:cs="Times New Roman"/>
                <w:color w:val="auto"/>
                <w:kern w:val="0"/>
                <w:sz w:val="24"/>
                <w:highlight w:val="none"/>
                <w:lang w:eastAsia="zh-CN"/>
              </w:rPr>
              <w:t>〔2017〕331号</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eastAsia="zh-CN"/>
              </w:rPr>
              <w:t>项目</w:t>
            </w:r>
            <w:r>
              <w:rPr>
                <w:rFonts w:hint="default" w:ascii="Times New Roman" w:hAnsi="Times New Roman" w:cs="Times New Roman"/>
                <w:color w:val="auto"/>
                <w:kern w:val="0"/>
                <w:sz w:val="24"/>
                <w:highlight w:val="none"/>
              </w:rPr>
              <w:t>不属于</w:t>
            </w:r>
            <w:r>
              <w:rPr>
                <w:rFonts w:hint="default" w:ascii="Times New Roman" w:hAnsi="Times New Roman" w:cs="Times New Roman"/>
                <w:color w:val="auto"/>
                <w:sz w:val="24"/>
                <w:highlight w:val="none"/>
                <w:lang w:val="en-US" w:eastAsia="zh-CN"/>
              </w:rPr>
              <w:t>负面清单所列行业，也不属于许可准入事项</w:t>
            </w:r>
            <w:r>
              <w:rPr>
                <w:rFonts w:hint="default" w:ascii="Times New Roman" w:hAnsi="Times New Roman" w:cs="Times New Roman"/>
                <w:color w:val="auto"/>
                <w:kern w:val="0"/>
                <w:sz w:val="24"/>
                <w:highlight w:val="none"/>
              </w:rPr>
              <w:t>。因此，本项目可依法进行建设和投产。</w:t>
            </w:r>
          </w:p>
          <w:p w14:paraId="0B7BC188">
            <w:pPr>
              <w:pStyle w:val="19"/>
              <w:keepNext/>
              <w:pageBreakBefore w:val="0"/>
              <w:adjustRightInd/>
              <w:snapToGrid/>
              <w:ind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二、与环境功能区划相符性分析</w:t>
            </w:r>
          </w:p>
          <w:p w14:paraId="38DC85CD">
            <w:pPr>
              <w:pStyle w:val="19"/>
              <w:keepNext/>
              <w:keepLines w:val="0"/>
              <w:pageBreakBefore w:val="0"/>
              <w:widowControl w:val="0"/>
              <w:kinsoku/>
              <w:wordWrap/>
              <w:overflowPunct/>
              <w:topLinePunct w:val="0"/>
              <w:autoSpaceDE/>
              <w:autoSpaceDN/>
              <w:bidi w:val="0"/>
              <w:adjustRightInd/>
              <w:snapToGrid/>
              <w:ind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（1）根据《广东省人民政府关于印发</w:t>
            </w:r>
            <w:r>
              <w:rPr>
                <w:rFonts w:hint="default" w:ascii="Times New Roman" w:hAnsi="Times New Roman" w:cs="Times New Roman"/>
                <w:color w:val="auto"/>
                <w:kern w:val="0"/>
                <w:sz w:val="24"/>
                <w:highlight w:val="none"/>
                <w:lang w:val="en-US" w:eastAsia="zh-CN"/>
              </w:rPr>
              <w:t>&lt;</w:t>
            </w:r>
            <w:r>
              <w:rPr>
                <w:rFonts w:hint="default" w:ascii="Times New Roman" w:hAnsi="Times New Roman" w:cs="Times New Roman"/>
                <w:color w:val="auto"/>
                <w:kern w:val="0"/>
                <w:sz w:val="24"/>
                <w:highlight w:val="none"/>
              </w:rPr>
              <w:t>部分市乡镇集中式饮用水源保护区划分方案</w:t>
            </w:r>
            <w:r>
              <w:rPr>
                <w:rFonts w:hint="default" w:ascii="Times New Roman" w:hAnsi="Times New Roman" w:cs="Times New Roman"/>
                <w:color w:val="auto"/>
                <w:kern w:val="0"/>
                <w:sz w:val="24"/>
                <w:highlight w:val="none"/>
                <w:lang w:val="en-US" w:eastAsia="zh-CN"/>
              </w:rPr>
              <w:t>&gt;</w:t>
            </w:r>
            <w:r>
              <w:rPr>
                <w:rFonts w:hint="default" w:ascii="Times New Roman" w:hAnsi="Times New Roman" w:cs="Times New Roman"/>
                <w:color w:val="auto"/>
                <w:kern w:val="0"/>
                <w:sz w:val="24"/>
                <w:highlight w:val="none"/>
              </w:rPr>
              <w:t>的通知》（粤府函〔2015〕17号）及《广东省人民政府关于调整韶关市部分饮用水水源保护区的批复》（粤府函〔2018〕427号），项目所在地不属于韶关市一、二级水源保护区，符合</w:t>
            </w:r>
            <w:r>
              <w:rPr>
                <w:rFonts w:hint="default" w:ascii="Times New Roman" w:hAnsi="Times New Roman" w:cs="Times New Roman"/>
                <w:color w:val="auto"/>
                <w:sz w:val="24"/>
                <w:highlight w:val="none"/>
              </w:rPr>
              <w:t>水污染防治条例</w:t>
            </w:r>
            <w:r>
              <w:rPr>
                <w:rFonts w:hint="default" w:ascii="Times New Roman" w:hAnsi="Times New Roman" w:cs="Times New Roman"/>
                <w:color w:val="auto"/>
                <w:kern w:val="0"/>
                <w:sz w:val="24"/>
                <w:highlight w:val="none"/>
              </w:rPr>
              <w:t>的有关要求。</w:t>
            </w:r>
          </w:p>
          <w:p w14:paraId="3F1438F3">
            <w:pPr>
              <w:pStyle w:val="19"/>
              <w:keepNext/>
              <w:keepLines w:val="0"/>
              <w:pageBreakBefore w:val="0"/>
              <w:widowControl w:val="0"/>
              <w:kinsoku/>
              <w:wordWrap/>
              <w:overflowPunct/>
              <w:topLinePunct w:val="0"/>
              <w:autoSpaceDE/>
              <w:autoSpaceDN/>
              <w:bidi w:val="0"/>
              <w:adjustRightInd/>
              <w:snapToGrid/>
              <w:ind w:firstLineChars="200"/>
              <w:textAlignment w:val="auto"/>
              <w:rPr>
                <w:rFonts w:hint="default" w:ascii="Times New Roman" w:hAnsi="Times New Roman" w:eastAsia="宋体" w:cs="Times New Roman"/>
                <w:color w:val="auto"/>
                <w:kern w:val="0"/>
                <w:sz w:val="24"/>
                <w:highlight w:val="none"/>
                <w:lang w:val="en-US" w:eastAsia="zh-CN"/>
              </w:rPr>
            </w:pPr>
            <w:r>
              <w:rPr>
                <w:rFonts w:hint="default" w:ascii="Times New Roman" w:hAnsi="Times New Roman" w:cs="Times New Roman"/>
                <w:color w:val="auto"/>
                <w:kern w:val="0"/>
                <w:sz w:val="24"/>
                <w:highlight w:val="none"/>
                <w:lang w:val="en-US" w:eastAsia="zh-CN"/>
              </w:rPr>
              <w:t>同时根据《广东省水利厅关于印发&lt;韶关市部分饮用水水源保护区调整方案&gt;的通知》（粤环函〔2024〕146号）可知，本项目选址未处于各级饮用水水源保护区范围内，本项目与最近饮用水水源保护区：韶关市区武江饮用水水源地准保护区距离约为</w:t>
            </w:r>
            <w:r>
              <w:rPr>
                <w:rFonts w:hint="eastAsia" w:cs="Times New Roman"/>
                <w:color w:val="auto"/>
                <w:kern w:val="0"/>
                <w:sz w:val="24"/>
                <w:highlight w:val="none"/>
                <w:lang w:val="en-US" w:eastAsia="zh-CN"/>
              </w:rPr>
              <w:t>4409</w:t>
            </w:r>
            <w:r>
              <w:rPr>
                <w:rFonts w:hint="default" w:ascii="Times New Roman" w:hAnsi="Times New Roman" w:cs="Times New Roman"/>
                <w:color w:val="auto"/>
                <w:kern w:val="0"/>
                <w:sz w:val="24"/>
                <w:highlight w:val="none"/>
                <w:lang w:val="en-US" w:eastAsia="zh-CN"/>
              </w:rPr>
              <w:t>m，项目与韶关市区武江饮用水水源地准保护区位置关系图详见附图17。</w:t>
            </w:r>
          </w:p>
          <w:p w14:paraId="53BDA6BC">
            <w:pPr>
              <w:pStyle w:val="19"/>
              <w:keepNext/>
              <w:pageBreakBefore w:val="0"/>
              <w:widowControl/>
              <w:ind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（2）根据《乐昌市人民政府办公室关于印发</w:t>
            </w:r>
            <w:r>
              <w:rPr>
                <w:rFonts w:hint="default" w:ascii="Times New Roman" w:hAnsi="Times New Roman" w:cs="Times New Roman"/>
                <w:color w:val="auto"/>
                <w:kern w:val="0"/>
                <w:sz w:val="24"/>
                <w:highlight w:val="none"/>
                <w:lang w:val="en-US" w:eastAsia="zh-CN"/>
              </w:rPr>
              <w:t>&lt;</w:t>
            </w:r>
            <w:r>
              <w:rPr>
                <w:rFonts w:hint="default" w:ascii="Times New Roman" w:hAnsi="Times New Roman" w:cs="Times New Roman"/>
                <w:color w:val="auto"/>
                <w:kern w:val="0"/>
                <w:sz w:val="24"/>
                <w:highlight w:val="none"/>
              </w:rPr>
              <w:t>乐昌市生态环境保护“十四五”规划</w:t>
            </w:r>
            <w:r>
              <w:rPr>
                <w:rFonts w:hint="default" w:ascii="Times New Roman" w:hAnsi="Times New Roman" w:cs="Times New Roman"/>
                <w:color w:val="auto"/>
                <w:kern w:val="0"/>
                <w:sz w:val="24"/>
                <w:highlight w:val="none"/>
                <w:lang w:val="en-US" w:eastAsia="zh-CN"/>
              </w:rPr>
              <w:t>&gt;</w:t>
            </w:r>
            <w:r>
              <w:rPr>
                <w:rFonts w:hint="default" w:ascii="Times New Roman" w:hAnsi="Times New Roman" w:cs="Times New Roman"/>
                <w:color w:val="auto"/>
                <w:kern w:val="0"/>
                <w:sz w:val="24"/>
                <w:highlight w:val="none"/>
              </w:rPr>
              <w:t>的通知》（乐府办〔2022〕16号）中《乐昌市“十四五”生态环境保护规划大气环境功能区划图》，项目所在区域为环境空气质量二类功能区（详见附图</w:t>
            </w:r>
            <w:r>
              <w:rPr>
                <w:rFonts w:hint="default" w:ascii="Times New Roman" w:hAnsi="Times New Roman"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），不属于环境空气质量一类功能区中的自然保护区风景名胜区和</w:t>
            </w:r>
            <w:r>
              <w:rPr>
                <w:rFonts w:hint="default" w:ascii="Times New Roman" w:hAnsi="Times New Roman" w:cs="Times New Roman"/>
                <w:color w:val="auto"/>
                <w:kern w:val="0"/>
                <w:sz w:val="24"/>
                <w:highlight w:val="none"/>
                <w:lang w:eastAsia="zh-CN"/>
              </w:rPr>
              <w:t>其他需要</w:t>
            </w:r>
            <w:r>
              <w:rPr>
                <w:rFonts w:hint="default" w:ascii="Times New Roman" w:hAnsi="Times New Roman" w:cs="Times New Roman"/>
                <w:color w:val="auto"/>
                <w:kern w:val="0"/>
                <w:sz w:val="24"/>
                <w:highlight w:val="none"/>
              </w:rPr>
              <w:t>特殊保护的区域。</w:t>
            </w:r>
          </w:p>
          <w:p w14:paraId="3828DB99">
            <w:pPr>
              <w:pStyle w:val="19"/>
              <w:keepNext/>
              <w:pageBreakBefore w:val="0"/>
              <w:adjustRightInd/>
              <w:snapToGrid/>
              <w:ind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（3）根据《乐昌产业转移工业园控制性详细规划-城东地块论证报告调整后》及不动产权证</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详见</w:t>
            </w:r>
            <w:r>
              <w:rPr>
                <w:rFonts w:hint="default" w:ascii="Times New Roman" w:hAnsi="Times New Roman" w:cs="Times New Roman"/>
                <w:color w:val="auto"/>
                <w:kern w:val="0"/>
                <w:sz w:val="24"/>
                <w:highlight w:val="none"/>
                <w:lang w:eastAsia="zh-CN"/>
              </w:rPr>
              <w:t>附图</w:t>
            </w:r>
            <w:r>
              <w:rPr>
                <w:rFonts w:hint="default" w:ascii="Times New Roman" w:hAnsi="Times New Roman" w:cs="Times New Roman"/>
                <w:color w:val="auto"/>
                <w:kern w:val="0"/>
                <w:sz w:val="24"/>
                <w:highlight w:val="none"/>
                <w:lang w:val="en-US" w:eastAsia="zh-CN"/>
              </w:rPr>
              <w:t>5及附件3</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，项目所在地位为工业用地</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项目所在区域为声环境3类区</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详见</w:t>
            </w:r>
            <w:r>
              <w:rPr>
                <w:rFonts w:hint="eastAsia" w:cs="Times New Roman"/>
                <w:color w:val="auto"/>
                <w:kern w:val="0"/>
                <w:sz w:val="24"/>
                <w:highlight w:val="none"/>
                <w:lang w:val="en-US" w:eastAsia="zh-CN"/>
              </w:rPr>
              <w:t>附图8</w:t>
            </w:r>
            <w:r>
              <w:rPr>
                <w:rFonts w:hint="default" w:ascii="Times New Roman" w:hAnsi="Times New Roman" w:cs="Times New Roman"/>
                <w:color w:val="auto"/>
                <w:kern w:val="0"/>
                <w:sz w:val="24"/>
                <w:highlight w:val="none"/>
                <w:lang w:eastAsia="zh-CN"/>
              </w:rPr>
              <w:t>）</w:t>
            </w:r>
            <w:r>
              <w:rPr>
                <w:rFonts w:hint="eastAsia" w:cs="Times New Roman"/>
                <w:color w:val="auto"/>
                <w:kern w:val="0"/>
                <w:sz w:val="24"/>
                <w:highlight w:val="none"/>
                <w:lang w:val="en-US" w:eastAsia="zh-CN"/>
              </w:rPr>
              <w:t>。</w:t>
            </w:r>
          </w:p>
          <w:p w14:paraId="6E80E2C3">
            <w:pPr>
              <w:pStyle w:val="19"/>
              <w:keepNext/>
              <w:pageBreakBefore w:val="0"/>
              <w:adjustRightInd/>
              <w:snapToGrid/>
              <w:ind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三、与城市规划相符性分析</w:t>
            </w:r>
          </w:p>
          <w:p w14:paraId="6CF2C25B">
            <w:pPr>
              <w:pStyle w:val="19"/>
              <w:keepNext/>
              <w:pageBreakBefore w:val="0"/>
              <w:adjustRightInd/>
              <w:snapToGrid/>
              <w:ind w:firstLineChars="200"/>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项目位于</w:t>
            </w:r>
            <w:r>
              <w:rPr>
                <w:rFonts w:hint="default" w:ascii="Times New Roman" w:hAnsi="Times New Roman" w:cs="Times New Roman"/>
                <w:color w:val="auto"/>
                <w:kern w:val="0"/>
                <w:sz w:val="24"/>
                <w:highlight w:val="none"/>
                <w:lang w:val="en-US" w:eastAsia="zh-CN"/>
              </w:rPr>
              <w:t>广东省乐昌市乐廊路六公里乐昌市产业转移园鸿图工艺厂房A2</w:t>
            </w:r>
            <w:r>
              <w:rPr>
                <w:rFonts w:hint="default" w:ascii="Times New Roman" w:hAnsi="Times New Roman" w:cs="Times New Roman"/>
                <w:color w:val="auto"/>
                <w:kern w:val="0"/>
                <w:sz w:val="24"/>
                <w:highlight w:val="none"/>
              </w:rPr>
              <w:t>，根据《乐昌产业转移工业园控制性详细规划-城东地块论证报告调整后》，项目所在地为工业用地，项目所在地没有占用基本农业用地和林地，符合韶关市城市建设和环境功能区规划的要求，且具有水、电等供应保障，交通便利等条件。项目周围没有风景名胜区、生态脆弱带等。故项目选址是合理的。</w:t>
            </w:r>
            <w:bookmarkStart w:id="8" w:name="_Toc459880767"/>
          </w:p>
          <w:bookmarkEnd w:id="8"/>
          <w:p w14:paraId="7CBA2829">
            <w:pPr>
              <w:pStyle w:val="19"/>
              <w:keepNext/>
              <w:keepLines w:val="0"/>
              <w:pageBreakBefore w:val="0"/>
              <w:ind w:left="-2" w:firstLineChars="200"/>
              <w:outlineLvl w:val="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四、与《</w:t>
            </w:r>
            <w:r>
              <w:rPr>
                <w:rFonts w:hint="default" w:ascii="Times New Roman" w:hAnsi="Times New Roman" w:cs="Times New Roman"/>
                <w:b/>
                <w:bCs/>
                <w:color w:val="auto"/>
                <w:sz w:val="24"/>
                <w:szCs w:val="24"/>
                <w:highlight w:val="none"/>
              </w:rPr>
              <w:t>工业和信息化部发布&lt;限期淘汰产生严重污染环境的工业固体废物的落后生产工艺设备名录&gt;公告》（中华人民共和国工业和信息化部公告2021年第25号）相符性分析</w:t>
            </w:r>
          </w:p>
          <w:p w14:paraId="4629AB08">
            <w:pPr>
              <w:pStyle w:val="19"/>
              <w:keepNext/>
              <w:pageBreakBefore w:val="0"/>
              <w:ind w:firstLineChars="20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本项目所用生产工艺及设备不属于《限期淘汰产生严重污染环境的工业固体废物的落后生产工艺设备名录》中限期淘汰的落后生产工艺设备，故与《工业和信息化部发布&lt;限期淘汰产生严重污染环境的工业固体废物的落后生产工艺设备名录&gt;公告》（中华人民共和国工业和信息化部公告2021年第25号）相符。</w:t>
            </w:r>
          </w:p>
          <w:p w14:paraId="2C9E5906">
            <w:pPr>
              <w:pStyle w:val="19"/>
              <w:keepNext/>
              <w:keepLines w:val="0"/>
              <w:pageBreakBefore w:val="0"/>
              <w:ind w:left="-2" w:firstLineChars="200"/>
              <w:outlineLvl w:val="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五、生态环境分区管控相符性分析</w:t>
            </w:r>
          </w:p>
          <w:p w14:paraId="4B22E679">
            <w:pPr>
              <w:pStyle w:val="19"/>
              <w:keepNext/>
              <w:pageBreakBefore w:val="0"/>
              <w:ind w:firstLineChars="200"/>
              <w:rPr>
                <w:rFonts w:hint="default" w:ascii="Times New Roman" w:hAnsi="Times New Roman" w:cs="Times New Roman"/>
                <w:color w:val="auto"/>
                <w:sz w:val="24"/>
                <w:highlight w:val="none"/>
                <w:lang w:val="en-US"/>
              </w:rPr>
            </w:pPr>
            <w:r>
              <w:rPr>
                <w:rFonts w:hint="default" w:ascii="Times New Roman" w:hAnsi="Times New Roman" w:cs="Times New Roman"/>
                <w:color w:val="auto"/>
                <w:sz w:val="24"/>
                <w:highlight w:val="none"/>
              </w:rPr>
              <w:t>1、</w:t>
            </w:r>
            <w:r>
              <w:rPr>
                <w:rFonts w:hint="default" w:ascii="Times New Roman" w:hAnsi="Times New Roman" w:cs="Times New Roman"/>
                <w:b/>
                <w:bCs/>
                <w:color w:val="auto"/>
                <w:sz w:val="24"/>
                <w:highlight w:val="none"/>
              </w:rPr>
              <w:t>《关于印发广东省“三线一单”生态环境分区管控方案的通知》（粤府〔2020〕71号）</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eastAsia" w:cs="Times New Roman"/>
                <w:b/>
                <w:bCs/>
                <w:color w:val="auto"/>
                <w:sz w:val="24"/>
                <w:highlight w:val="none"/>
                <w:lang w:val="en-US" w:eastAsia="zh-CN"/>
              </w:rPr>
              <w:t>相符性分析</w:t>
            </w:r>
          </w:p>
          <w:p w14:paraId="673EC289">
            <w:pPr>
              <w:pStyle w:val="19"/>
              <w:keepNext/>
              <w:keepLines w:val="0"/>
              <w:pageBreakBefore w:val="0"/>
              <w:widowControl w:val="0"/>
              <w:kinsoku/>
              <w:wordWrap/>
              <w:overflowPunct/>
              <w:topLinePunct w:val="0"/>
              <w:autoSpaceDE/>
              <w:autoSpaceDN/>
              <w:bidi w:val="0"/>
              <w:adjustRightInd/>
              <w:snapToGrid/>
              <w:spacing w:line="240" w:lineRule="auto"/>
              <w:ind w:firstLine="480"/>
              <w:jc w:val="center"/>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表1-</w:t>
            </w:r>
            <w:r>
              <w:rPr>
                <w:rFonts w:hint="eastAsia" w:cs="Times New Roman"/>
                <w:b/>
                <w:bCs/>
                <w:color w:val="auto"/>
                <w:highlight w:val="none"/>
                <w:lang w:val="en-US" w:eastAsia="zh-CN"/>
              </w:rPr>
              <w:t>2</w:t>
            </w:r>
            <w:r>
              <w:rPr>
                <w:rFonts w:hint="eastAsia"/>
                <w:color w:val="auto"/>
                <w:sz w:val="21"/>
                <w:szCs w:val="21"/>
                <w:highlight w:val="none"/>
                <w:lang w:val="en-US" w:eastAsia="zh-CN"/>
              </w:rPr>
              <w:t>与《广东省“三线一单”生态环境分区管控方案》《广东省</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2023年度生态环境分区管控动态更新成果公告》</w:t>
            </w:r>
            <w:r>
              <w:rPr>
                <w:rFonts w:hint="eastAsia"/>
                <w:color w:val="auto"/>
                <w:sz w:val="21"/>
                <w:szCs w:val="21"/>
                <w:highlight w:val="none"/>
              </w:rPr>
              <w:t>相符性分析一览表</w:t>
            </w:r>
          </w:p>
          <w:tbl>
            <w:tblPr>
              <w:tblStyle w:val="4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832"/>
              <w:gridCol w:w="3364"/>
              <w:gridCol w:w="2592"/>
              <w:gridCol w:w="551"/>
            </w:tblGrid>
            <w:tr w14:paraId="456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74E3C6D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序号</w:t>
                  </w:r>
                </w:p>
              </w:tc>
              <w:tc>
                <w:tcPr>
                  <w:tcW w:w="530" w:type="pct"/>
                  <w:tcBorders>
                    <w:top w:val="single" w:color="auto" w:sz="4" w:space="0"/>
                    <w:left w:val="single" w:color="auto" w:sz="4" w:space="0"/>
                    <w:bottom w:val="single" w:color="auto" w:sz="4" w:space="0"/>
                    <w:right w:val="single" w:color="auto" w:sz="4" w:space="0"/>
                  </w:tcBorders>
                  <w:vAlign w:val="center"/>
                </w:tcPr>
                <w:p w14:paraId="47390F8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管控要求</w:t>
                  </w:r>
                </w:p>
              </w:tc>
              <w:tc>
                <w:tcPr>
                  <w:tcW w:w="2144" w:type="pct"/>
                  <w:tcBorders>
                    <w:top w:val="single" w:color="auto" w:sz="4" w:space="0"/>
                    <w:left w:val="single" w:color="auto" w:sz="4" w:space="0"/>
                    <w:bottom w:val="single" w:color="auto" w:sz="4" w:space="0"/>
                    <w:right w:val="single" w:color="auto" w:sz="4" w:space="0"/>
                  </w:tcBorders>
                  <w:vAlign w:val="center"/>
                </w:tcPr>
                <w:p w14:paraId="2B1E65E1">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具体内容</w:t>
                  </w:r>
                </w:p>
              </w:tc>
              <w:tc>
                <w:tcPr>
                  <w:tcW w:w="1652" w:type="pct"/>
                  <w:tcBorders>
                    <w:top w:val="single" w:color="auto" w:sz="4" w:space="0"/>
                    <w:left w:val="single" w:color="auto" w:sz="4" w:space="0"/>
                    <w:bottom w:val="single" w:color="auto" w:sz="4" w:space="0"/>
                    <w:right w:val="single" w:color="auto" w:sz="4" w:space="0"/>
                  </w:tcBorders>
                  <w:vAlign w:val="center"/>
                </w:tcPr>
                <w:p w14:paraId="00B7927D">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本项目情况</w:t>
                  </w:r>
                </w:p>
              </w:tc>
              <w:tc>
                <w:tcPr>
                  <w:tcW w:w="351" w:type="pct"/>
                  <w:tcBorders>
                    <w:top w:val="single" w:color="auto" w:sz="4" w:space="0"/>
                    <w:left w:val="single" w:color="auto" w:sz="4" w:space="0"/>
                    <w:bottom w:val="single" w:color="auto" w:sz="4" w:space="0"/>
                    <w:right w:val="single" w:color="auto" w:sz="4" w:space="0"/>
                  </w:tcBorders>
                  <w:vAlign w:val="center"/>
                </w:tcPr>
                <w:p w14:paraId="2056B75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符合性</w:t>
                  </w:r>
                </w:p>
              </w:tc>
            </w:tr>
            <w:tr w14:paraId="0BE1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4834B7A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1</w:t>
                  </w:r>
                </w:p>
              </w:tc>
              <w:tc>
                <w:tcPr>
                  <w:tcW w:w="530" w:type="pct"/>
                  <w:tcBorders>
                    <w:top w:val="single" w:color="auto" w:sz="4" w:space="0"/>
                    <w:left w:val="single" w:color="auto" w:sz="4" w:space="0"/>
                    <w:bottom w:val="single" w:color="auto" w:sz="4" w:space="0"/>
                    <w:right w:val="single" w:color="auto" w:sz="4" w:space="0"/>
                  </w:tcBorders>
                  <w:vAlign w:val="center"/>
                </w:tcPr>
                <w:p w14:paraId="6CA529E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生态保护红线</w:t>
                  </w:r>
                  <w:r>
                    <w:rPr>
                      <w:rFonts w:hint="eastAsia" w:ascii="Times New Roman" w:hAnsi="Times New Roman" w:cs="Times New Roman"/>
                      <w:color w:val="auto"/>
                      <w:sz w:val="21"/>
                      <w:szCs w:val="21"/>
                      <w:highlight w:val="none"/>
                      <w:lang w:val="en-US" w:eastAsia="zh-CN"/>
                    </w:rPr>
                    <w:t>及一般生态空间</w:t>
                  </w:r>
                </w:p>
              </w:tc>
              <w:tc>
                <w:tcPr>
                  <w:tcW w:w="2144" w:type="pct"/>
                  <w:tcBorders>
                    <w:top w:val="single" w:color="auto" w:sz="4" w:space="0"/>
                    <w:left w:val="single" w:color="auto" w:sz="4" w:space="0"/>
                    <w:bottom w:val="single" w:color="auto" w:sz="4" w:space="0"/>
                    <w:right w:val="single" w:color="auto" w:sz="4" w:space="0"/>
                  </w:tcBorders>
                  <w:vAlign w:val="center"/>
                </w:tcPr>
                <w:p w14:paraId="7E255E2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态更新后，全省陆域生态保护红线面积34202.57平方公里，占陆域国土面积19.03%；一般生态空间面积29200.30平方公里，占陆域国土面积16.25%。全省海洋生态保护红线面积1.66万平方公里，占全省管辖海域面积的25.66%。</w:t>
                  </w:r>
                </w:p>
              </w:tc>
              <w:tc>
                <w:tcPr>
                  <w:tcW w:w="1652" w:type="pct"/>
                  <w:tcBorders>
                    <w:top w:val="single" w:color="auto" w:sz="4" w:space="0"/>
                    <w:left w:val="single" w:color="auto" w:sz="4" w:space="0"/>
                    <w:bottom w:val="single" w:color="auto" w:sz="4" w:space="0"/>
                    <w:right w:val="single" w:color="auto" w:sz="4" w:space="0"/>
                  </w:tcBorders>
                  <w:vAlign w:val="center"/>
                </w:tcPr>
                <w:p w14:paraId="72DADB1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项目位于</w:t>
                  </w:r>
                  <w:r>
                    <w:rPr>
                      <w:rFonts w:hint="eastAsia" w:ascii="Times New Roman" w:hAnsi="Times New Roman" w:cs="Times New Roman"/>
                      <w:color w:val="auto"/>
                      <w:sz w:val="21"/>
                      <w:szCs w:val="21"/>
                      <w:highlight w:val="none"/>
                      <w:lang w:val="en-US" w:eastAsia="zh-CN"/>
                    </w:rPr>
                    <w:t>广东省乐昌市乐廊路六公里乐昌市产业转移园鸿图工艺厂房A2</w:t>
                  </w:r>
                  <w:r>
                    <w:rPr>
                      <w:rFonts w:hint="default" w:ascii="Times New Roman" w:hAnsi="Times New Roman" w:cs="Times New Roman"/>
                      <w:color w:val="auto"/>
                      <w:sz w:val="21"/>
                      <w:szCs w:val="21"/>
                      <w:highlight w:val="none"/>
                      <w:lang w:val="en-US"/>
                    </w:rPr>
                    <w:t>，根据广东省生态环境分区管控信息平台（见附图1</w:t>
                  </w:r>
                  <w:r>
                    <w:rPr>
                      <w:rFonts w:hint="eastAsia" w:asci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），项目不在生态红线和一般生态空间范围内，符合生态红线及一般生态空间要求。</w:t>
                  </w:r>
                </w:p>
              </w:tc>
              <w:tc>
                <w:tcPr>
                  <w:tcW w:w="351" w:type="pct"/>
                  <w:tcBorders>
                    <w:top w:val="single" w:color="auto" w:sz="4" w:space="0"/>
                    <w:left w:val="single" w:color="auto" w:sz="4" w:space="0"/>
                    <w:bottom w:val="single" w:color="auto" w:sz="4" w:space="0"/>
                    <w:right w:val="single" w:color="auto" w:sz="4" w:space="0"/>
                  </w:tcBorders>
                  <w:vAlign w:val="center"/>
                </w:tcPr>
                <w:p w14:paraId="050ECA1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3C49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6D3AD612">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2</w:t>
                  </w:r>
                </w:p>
              </w:tc>
              <w:tc>
                <w:tcPr>
                  <w:tcW w:w="530" w:type="pct"/>
                  <w:tcBorders>
                    <w:top w:val="single" w:color="auto" w:sz="4" w:space="0"/>
                    <w:left w:val="single" w:color="auto" w:sz="4" w:space="0"/>
                    <w:bottom w:val="single" w:color="auto" w:sz="4" w:space="0"/>
                    <w:right w:val="single" w:color="auto" w:sz="4" w:space="0"/>
                  </w:tcBorders>
                  <w:vAlign w:val="center"/>
                </w:tcPr>
                <w:p w14:paraId="2201397C">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环境质量底线</w:t>
                  </w:r>
                </w:p>
              </w:tc>
              <w:tc>
                <w:tcPr>
                  <w:tcW w:w="2144" w:type="pct"/>
                  <w:tcBorders>
                    <w:top w:val="single" w:color="auto" w:sz="4" w:space="0"/>
                    <w:left w:val="single" w:color="auto" w:sz="4" w:space="0"/>
                    <w:bottom w:val="single" w:color="auto" w:sz="4" w:space="0"/>
                    <w:right w:val="single" w:color="auto" w:sz="4" w:space="0"/>
                  </w:tcBorders>
                  <w:vAlign w:val="center"/>
                </w:tcPr>
                <w:p w14:paraId="2CB8E8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b w:val="0"/>
                      <w:bCs w:val="0"/>
                      <w:snapToGrid/>
                      <w:color w:val="auto"/>
                      <w:kern w:val="2"/>
                      <w:szCs w:val="21"/>
                      <w:highlight w:val="none"/>
                      <w:lang w:val="en-US" w:eastAsia="zh-CN"/>
                    </w:rPr>
                    <w:t>全省</w:t>
                  </w:r>
                  <w:r>
                    <w:rPr>
                      <w:rFonts w:hint="default" w:ascii="Times New Roman" w:hAnsi="Times New Roman" w:cs="Times New Roman"/>
                      <w:color w:val="auto"/>
                      <w:sz w:val="21"/>
                      <w:szCs w:val="21"/>
                      <w:highlight w:val="none"/>
                      <w:lang w:val="en-US" w:eastAsia="zh-CN"/>
                    </w:rPr>
                    <w:t>水环境质量持续改善，国考、省考断面优良水质比例稳步提升，全面消除劣Ⅳ类水体。大气环境质量继续领跑先行，PM</w:t>
                  </w:r>
                  <w:r>
                    <w:rPr>
                      <w:rFonts w:hint="default" w:ascii="Times New Roman" w:hAnsi="Times New Roman" w:cs="Times New Roman"/>
                      <w:color w:val="auto"/>
                      <w:sz w:val="21"/>
                      <w:szCs w:val="21"/>
                      <w:highlight w:val="none"/>
                      <w:vertAlign w:val="subscript"/>
                      <w:lang w:val="en-US" w:eastAsia="zh-CN"/>
                    </w:rPr>
                    <w:t>2.5</w:t>
                  </w:r>
                  <w:r>
                    <w:rPr>
                      <w:rFonts w:hint="default" w:ascii="Times New Roman" w:hAnsi="Times New Roman" w:cs="Times New Roman"/>
                      <w:color w:val="auto"/>
                      <w:sz w:val="21"/>
                      <w:szCs w:val="21"/>
                      <w:highlight w:val="none"/>
                      <w:lang w:val="en-US" w:eastAsia="zh-CN"/>
                    </w:rPr>
                    <w:t>年均浓度率先达到世界卫生组织过渡期二阶段目标值（25微克/立方米），臭氧污染得到有效遏制。土壤环境质量稳中向好，土壤环境风险得到管控。近岸海域水体质量稳步提升。</w:t>
                  </w:r>
                </w:p>
              </w:tc>
              <w:tc>
                <w:tcPr>
                  <w:tcW w:w="1652" w:type="pct"/>
                  <w:tcBorders>
                    <w:top w:val="single" w:color="auto" w:sz="4" w:space="0"/>
                    <w:left w:val="single" w:color="auto" w:sz="4" w:space="0"/>
                    <w:bottom w:val="single" w:color="auto" w:sz="4" w:space="0"/>
                    <w:right w:val="single" w:color="auto" w:sz="4" w:space="0"/>
                  </w:tcBorders>
                  <w:vAlign w:val="center"/>
                </w:tcPr>
                <w:p w14:paraId="4FA8C56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根据《202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年韶关市生态环境状况公报》，可知项目所在地大气环境质量属于达标区，地表水环境质量现状良好。</w:t>
                  </w: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不产生生产废水，员工如厕依托</w:t>
                  </w:r>
                  <w:r>
                    <w:rPr>
                      <w:rFonts w:hint="default" w:ascii="Times New Roman" w:hAnsi="Times New Roman" w:cs="Times New Roman"/>
                      <w:color w:val="auto"/>
                      <w:sz w:val="21"/>
                      <w:szCs w:val="21"/>
                      <w:highlight w:val="none"/>
                      <w:lang w:val="en-US"/>
                    </w:rPr>
                    <w:t>生活污水乐昌市华轩针织制衣有限公司</w:t>
                  </w:r>
                  <w:r>
                    <w:rPr>
                      <w:rFonts w:hint="eastAsia" w:cs="Times New Roman"/>
                      <w:color w:val="auto"/>
                      <w:sz w:val="21"/>
                      <w:szCs w:val="21"/>
                      <w:highlight w:val="none"/>
                      <w:lang w:val="en-US" w:eastAsia="zh-CN"/>
                    </w:rPr>
                    <w:t>，依托乐昌市华轩针织制衣有限公司化粪池进行</w:t>
                  </w:r>
                  <w:r>
                    <w:rPr>
                      <w:rFonts w:hint="default" w:ascii="Times New Roman" w:hAnsi="Times New Roman" w:cs="Times New Roman"/>
                      <w:color w:val="auto"/>
                      <w:sz w:val="21"/>
                      <w:szCs w:val="21"/>
                      <w:highlight w:val="none"/>
                      <w:lang w:val="en-US"/>
                    </w:rPr>
                    <w:t>预处理后引入园区污水处理厂处理，不直接排入水体</w:t>
                  </w: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无组织</w:t>
                  </w:r>
                  <w:r>
                    <w:rPr>
                      <w:rFonts w:hint="eastAsia" w:ascii="Times New Roman" w:cs="Times New Roman"/>
                      <w:color w:val="auto"/>
                      <w:sz w:val="21"/>
                      <w:szCs w:val="21"/>
                      <w:highlight w:val="none"/>
                      <w:lang w:val="en-US" w:eastAsia="zh-CN"/>
                    </w:rPr>
                    <w:t>废气均达标排放，排放量较小，</w:t>
                  </w:r>
                  <w:r>
                    <w:rPr>
                      <w:rFonts w:hint="default" w:ascii="Times New Roman" w:hAnsi="Times New Roman" w:cs="Times New Roman"/>
                      <w:color w:val="auto"/>
                      <w:sz w:val="21"/>
                      <w:szCs w:val="21"/>
                      <w:highlight w:val="none"/>
                      <w:lang w:val="en-US"/>
                    </w:rPr>
                    <w:t>不会突破当地环境质量底线，符合环境质量底线要求。</w:t>
                  </w:r>
                </w:p>
              </w:tc>
              <w:tc>
                <w:tcPr>
                  <w:tcW w:w="351" w:type="pct"/>
                  <w:tcBorders>
                    <w:top w:val="single" w:color="auto" w:sz="4" w:space="0"/>
                    <w:left w:val="single" w:color="auto" w:sz="4" w:space="0"/>
                    <w:bottom w:val="single" w:color="auto" w:sz="4" w:space="0"/>
                    <w:right w:val="single" w:color="auto" w:sz="4" w:space="0"/>
                  </w:tcBorders>
                  <w:vAlign w:val="center"/>
                </w:tcPr>
                <w:p w14:paraId="73274F3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74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5B8472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3</w:t>
                  </w:r>
                </w:p>
              </w:tc>
              <w:tc>
                <w:tcPr>
                  <w:tcW w:w="530" w:type="pct"/>
                  <w:tcBorders>
                    <w:top w:val="single" w:color="auto" w:sz="4" w:space="0"/>
                    <w:left w:val="single" w:color="auto" w:sz="4" w:space="0"/>
                    <w:bottom w:val="single" w:color="auto" w:sz="4" w:space="0"/>
                    <w:right w:val="single" w:color="auto" w:sz="4" w:space="0"/>
                  </w:tcBorders>
                  <w:vAlign w:val="center"/>
                </w:tcPr>
                <w:p w14:paraId="41ADB5C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资源利用上线</w:t>
                  </w:r>
                </w:p>
              </w:tc>
              <w:tc>
                <w:tcPr>
                  <w:tcW w:w="2144" w:type="pct"/>
                  <w:tcBorders>
                    <w:top w:val="single" w:color="auto" w:sz="4" w:space="0"/>
                    <w:left w:val="single" w:color="auto" w:sz="4" w:space="0"/>
                    <w:bottom w:val="single" w:color="auto" w:sz="4" w:space="0"/>
                    <w:right w:val="single" w:color="auto" w:sz="4" w:space="0"/>
                  </w:tcBorders>
                  <w:vAlign w:val="center"/>
                </w:tcPr>
                <w:p w14:paraId="3A88C7C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强化节约集约利用，持续提升资源能源利用效率</w:t>
                  </w:r>
                  <w:r>
                    <w:rPr>
                      <w:rFonts w:hint="eastAsia" w:asci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水资源、土地资源、岸线资源、能源消耗等达到或优于国家下达的总量和强度控制目标。</w:t>
                  </w:r>
                </w:p>
              </w:tc>
              <w:tc>
                <w:tcPr>
                  <w:tcW w:w="1652" w:type="pct"/>
                  <w:tcBorders>
                    <w:top w:val="single" w:color="auto" w:sz="4" w:space="0"/>
                    <w:left w:val="single" w:color="auto" w:sz="4" w:space="0"/>
                    <w:bottom w:val="single" w:color="auto" w:sz="4" w:space="0"/>
                    <w:right w:val="single" w:color="auto" w:sz="4" w:space="0"/>
                  </w:tcBorders>
                  <w:vAlign w:val="center"/>
                </w:tcPr>
                <w:p w14:paraId="66F874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color w:val="auto"/>
                      <w:sz w:val="21"/>
                      <w:szCs w:val="21"/>
                      <w:highlight w:val="none"/>
                    </w:rPr>
                    <w:t>项目运营过程消耗</w:t>
                  </w:r>
                  <w:r>
                    <w:rPr>
                      <w:rFonts w:hint="eastAsia"/>
                      <w:color w:val="auto"/>
                      <w:sz w:val="21"/>
                      <w:szCs w:val="21"/>
                      <w:highlight w:val="none"/>
                      <w:lang w:val="en-US" w:eastAsia="zh-CN"/>
                    </w:rPr>
                    <w:t>一定</w:t>
                  </w:r>
                  <w:r>
                    <w:rPr>
                      <w:rFonts w:hint="default"/>
                      <w:color w:val="auto"/>
                      <w:sz w:val="21"/>
                      <w:szCs w:val="21"/>
                      <w:highlight w:val="none"/>
                    </w:rPr>
                    <w:t>的电资源</w:t>
                  </w:r>
                  <w:r>
                    <w:rPr>
                      <w:rFonts w:hint="eastAsia"/>
                      <w:color w:val="auto"/>
                      <w:sz w:val="21"/>
                      <w:szCs w:val="21"/>
                      <w:highlight w:val="none"/>
                      <w:lang w:eastAsia="zh-CN"/>
                    </w:rPr>
                    <w:t>，</w:t>
                  </w:r>
                  <w:r>
                    <w:rPr>
                      <w:rFonts w:hint="eastAsia"/>
                      <w:color w:val="auto"/>
                      <w:sz w:val="21"/>
                      <w:szCs w:val="21"/>
                      <w:highlight w:val="none"/>
                      <w:lang w:val="en-US" w:eastAsia="zh-CN"/>
                    </w:rPr>
                    <w:t>无生产用水，最大限度节约用水、用电</w:t>
                  </w:r>
                  <w:r>
                    <w:rPr>
                      <w:rFonts w:hint="eastAsia"/>
                      <w:color w:val="auto"/>
                      <w:sz w:val="21"/>
                      <w:szCs w:val="21"/>
                      <w:highlight w:val="none"/>
                      <w:lang w:eastAsia="zh-CN"/>
                    </w:rPr>
                    <w:t>，</w:t>
                  </w:r>
                  <w:r>
                    <w:rPr>
                      <w:rFonts w:hint="default"/>
                      <w:color w:val="auto"/>
                      <w:sz w:val="21"/>
                      <w:szCs w:val="21"/>
                      <w:highlight w:val="none"/>
                    </w:rPr>
                    <w:t>且所在区域水、电等资源充足</w:t>
                  </w:r>
                  <w:r>
                    <w:rPr>
                      <w:rFonts w:hint="eastAsia"/>
                      <w:color w:val="auto"/>
                      <w:sz w:val="21"/>
                      <w:szCs w:val="21"/>
                      <w:highlight w:val="none"/>
                      <w:lang w:eastAsia="zh-CN"/>
                    </w:rPr>
                    <w:t>，</w:t>
                  </w:r>
                  <w:r>
                    <w:rPr>
                      <w:rFonts w:hint="default"/>
                      <w:color w:val="auto"/>
                      <w:sz w:val="21"/>
                      <w:szCs w:val="21"/>
                      <w:highlight w:val="none"/>
                    </w:rPr>
                    <w:t>不会超出资源利用上线。</w:t>
                  </w:r>
                </w:p>
              </w:tc>
              <w:tc>
                <w:tcPr>
                  <w:tcW w:w="351" w:type="pct"/>
                  <w:tcBorders>
                    <w:top w:val="single" w:color="auto" w:sz="4" w:space="0"/>
                    <w:left w:val="single" w:color="auto" w:sz="4" w:space="0"/>
                    <w:bottom w:val="single" w:color="auto" w:sz="4" w:space="0"/>
                    <w:right w:val="single" w:color="auto" w:sz="4" w:space="0"/>
                  </w:tcBorders>
                  <w:vAlign w:val="center"/>
                </w:tcPr>
                <w:p w14:paraId="7F85E0A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EED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vAlign w:val="center"/>
                </w:tcPr>
                <w:p w14:paraId="0961322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4</w:t>
                  </w:r>
                </w:p>
              </w:tc>
              <w:tc>
                <w:tcPr>
                  <w:tcW w:w="530" w:type="pct"/>
                  <w:tcBorders>
                    <w:top w:val="single" w:color="auto" w:sz="4" w:space="0"/>
                    <w:left w:val="single" w:color="auto" w:sz="4" w:space="0"/>
                    <w:bottom w:val="single" w:color="auto" w:sz="4" w:space="0"/>
                    <w:right w:val="single" w:color="auto" w:sz="4" w:space="0"/>
                  </w:tcBorders>
                  <w:vAlign w:val="center"/>
                </w:tcPr>
                <w:p w14:paraId="684AF81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生态环境准入清单</w:t>
                  </w:r>
                </w:p>
              </w:tc>
              <w:tc>
                <w:tcPr>
                  <w:tcW w:w="2144" w:type="pct"/>
                  <w:tcBorders>
                    <w:top w:val="single" w:color="auto" w:sz="4" w:space="0"/>
                    <w:left w:val="single" w:color="auto" w:sz="4" w:space="0"/>
                    <w:bottom w:val="single" w:color="auto" w:sz="4" w:space="0"/>
                    <w:right w:val="single" w:color="auto" w:sz="4" w:space="0"/>
                  </w:tcBorders>
                  <w:vAlign w:val="center"/>
                </w:tcPr>
                <w:p w14:paraId="56E11A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环境准入负面清单是基于生态保护红线、环境质量底线和资源利用上线</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以清单方式列出的禁止、限制等差别化环境准入条件和要求。</w:t>
                  </w:r>
                </w:p>
              </w:tc>
              <w:tc>
                <w:tcPr>
                  <w:tcW w:w="1652" w:type="pct"/>
                  <w:tcBorders>
                    <w:top w:val="single" w:color="auto" w:sz="4" w:space="0"/>
                    <w:left w:val="single" w:color="auto" w:sz="4" w:space="0"/>
                    <w:bottom w:val="single" w:color="auto" w:sz="4" w:space="0"/>
                    <w:right w:val="single" w:color="auto" w:sz="4" w:space="0"/>
                  </w:tcBorders>
                  <w:vAlign w:val="center"/>
                </w:tcPr>
                <w:p w14:paraId="6EDA53A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项目不属于《市场准入负面清单（202</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年版）》（发改体改规</w:t>
                  </w:r>
                  <w:r>
                    <w:rPr>
                      <w:rFonts w:hint="eastAsia" w:ascii="Times New Roman" w:hAnsi="Times New Roman" w:cs="Times New Roman"/>
                      <w:color w:val="auto"/>
                      <w:sz w:val="21"/>
                      <w:szCs w:val="21"/>
                      <w:highlight w:val="none"/>
                      <w:lang w:val="en-US" w:eastAsia="zh-CN"/>
                    </w:rPr>
                    <w:t>〔2025〕466号</w:t>
                  </w:r>
                  <w:r>
                    <w:rPr>
                      <w:rFonts w:hint="default" w:ascii="Times New Roman" w:hAnsi="Times New Roman" w:cs="Times New Roman"/>
                      <w:color w:val="auto"/>
                      <w:sz w:val="21"/>
                      <w:szCs w:val="21"/>
                      <w:highlight w:val="none"/>
                      <w:lang w:val="en-US" w:eastAsia="zh-CN"/>
                    </w:rPr>
                    <w:t>）中的禁止准入事项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符合准入清单的要求。</w:t>
                  </w:r>
                </w:p>
              </w:tc>
              <w:tc>
                <w:tcPr>
                  <w:tcW w:w="351" w:type="pct"/>
                  <w:tcBorders>
                    <w:top w:val="single" w:color="auto" w:sz="4" w:space="0"/>
                    <w:left w:val="single" w:color="auto" w:sz="4" w:space="0"/>
                    <w:bottom w:val="single" w:color="auto" w:sz="4" w:space="0"/>
                    <w:right w:val="single" w:color="auto" w:sz="4" w:space="0"/>
                  </w:tcBorders>
                  <w:vAlign w:val="center"/>
                </w:tcPr>
                <w:p w14:paraId="7E9950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62D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tcBorders>
                    <w:top w:val="single" w:color="auto" w:sz="4" w:space="0"/>
                    <w:left w:val="single" w:color="auto" w:sz="4" w:space="0"/>
                    <w:right w:val="single" w:color="auto" w:sz="4" w:space="0"/>
                  </w:tcBorders>
                  <w:vAlign w:val="center"/>
                </w:tcPr>
                <w:p w14:paraId="0D623DF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w:t>
                  </w:r>
                </w:p>
              </w:tc>
              <w:tc>
                <w:tcPr>
                  <w:tcW w:w="530" w:type="pct"/>
                  <w:vMerge w:val="restart"/>
                  <w:tcBorders>
                    <w:top w:val="single" w:color="auto" w:sz="4" w:space="0"/>
                    <w:left w:val="single" w:color="auto" w:sz="4" w:space="0"/>
                    <w:right w:val="single" w:color="auto" w:sz="4" w:space="0"/>
                  </w:tcBorders>
                  <w:vAlign w:val="center"/>
                </w:tcPr>
                <w:p w14:paraId="7FFDA7E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eastAsia="zh-CN"/>
                    </w:rPr>
                    <w:t>“</w:t>
                  </w:r>
                  <w:r>
                    <w:rPr>
                      <w:rFonts w:hint="default"/>
                      <w:color w:val="auto"/>
                      <w:sz w:val="21"/>
                      <w:szCs w:val="21"/>
                      <w:highlight w:val="none"/>
                    </w:rPr>
                    <w:t>一核一带一区</w:t>
                  </w:r>
                  <w:r>
                    <w:rPr>
                      <w:rFonts w:hint="eastAsia"/>
                      <w:color w:val="auto"/>
                      <w:sz w:val="21"/>
                      <w:szCs w:val="21"/>
                      <w:highlight w:val="none"/>
                      <w:lang w:eastAsia="zh-CN"/>
                    </w:rPr>
                    <w:t>”</w:t>
                  </w:r>
                  <w:r>
                    <w:rPr>
                      <w:rFonts w:hint="default"/>
                      <w:color w:val="auto"/>
                      <w:sz w:val="21"/>
                      <w:szCs w:val="21"/>
                      <w:highlight w:val="none"/>
                    </w:rPr>
                    <w:t>区域管控要求</w:t>
                  </w:r>
                </w:p>
              </w:tc>
              <w:tc>
                <w:tcPr>
                  <w:tcW w:w="2144" w:type="pct"/>
                  <w:tcBorders>
                    <w:top w:val="single" w:color="auto" w:sz="4" w:space="0"/>
                    <w:left w:val="single" w:color="auto" w:sz="4" w:space="0"/>
                    <w:bottom w:val="single" w:color="auto" w:sz="4" w:space="0"/>
                    <w:right w:val="single" w:color="auto" w:sz="4" w:space="0"/>
                  </w:tcBorders>
                  <w:vAlign w:val="center"/>
                </w:tcPr>
                <w:p w14:paraId="41BCC17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1.珠三角核心区。对标国际一流湾区</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强化创新驱动和绿色引领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实施更严格的生态环境保护要求。</w:t>
                  </w:r>
                </w:p>
                <w:p w14:paraId="2A9E2A8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区域布局管控要求。筑牢珠三角绿色生态屏障</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加强区域生态绿核、珠江流域水生态系统、入海河口等生态保护</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大力保护生物多样性。积极推动深圳前海、广州南沙、珠海横琴等区域重大战略平台发展；引导电子信息、汽车制造、先进材料等战略性支柱产业绿色转型升级发展</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已有石化工业区控制规模</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实现绿色化、智能化、集约化发展；加快发展半导体与集成电路、高端装备制造、前沿新材料、区块链与量子信息等战略性新兴产业。禁止新建、扩建燃煤燃油火电机组和企业自备电站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推进现有服役期满及落后老旧的燃煤火电机组有序退出；原则上不再新建燃煤锅炉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逐步淘汰生物质锅炉、集中供热管网覆盖区域内的分散供热锅炉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逐步推动高污染燃料禁燃区全覆盖；禁止新建、扩建水泥、平板玻璃、化学制浆、生皮制革以及国家规划外的钢铁、原油加工等项目。推广应用低挥发性有机物原辅材料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严格限制新建生产和使用高挥发性有机物原辅材料的项目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鼓励建设挥发性有机物共性工厂。除金、银等贵金属</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地热、矿泉水</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以及建筑用石矿可适度开发外</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限制其他矿种开采。</w:t>
                  </w:r>
                </w:p>
              </w:tc>
              <w:tc>
                <w:tcPr>
                  <w:tcW w:w="1652" w:type="pct"/>
                  <w:tcBorders>
                    <w:top w:val="single" w:color="auto" w:sz="4" w:space="0"/>
                    <w:left w:val="single" w:color="auto" w:sz="4" w:space="0"/>
                    <w:bottom w:val="single" w:color="auto" w:sz="4" w:space="0"/>
                    <w:right w:val="single" w:color="auto" w:sz="4" w:space="0"/>
                  </w:tcBorders>
                  <w:vAlign w:val="center"/>
                </w:tcPr>
                <w:p w14:paraId="4F1E725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主要</w:t>
                  </w:r>
                  <w:r>
                    <w:rPr>
                      <w:rFonts w:hint="default" w:ascii="Times New Roman" w:hAnsi="Times New Roman" w:cs="Times New Roman"/>
                      <w:color w:val="auto"/>
                      <w:sz w:val="21"/>
                      <w:szCs w:val="21"/>
                      <w:highlight w:val="none"/>
                      <w:vertAlign w:val="baseline"/>
                    </w:rPr>
                    <w:t>一般工业固体废物分拣、压实</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lang w:val="en-US" w:eastAsia="zh-CN"/>
                    </w:rPr>
                    <w:t>不设锅炉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不属于水泥、平板玻璃、化学制浆、生皮制革以及国家规划外的钢铁、原油加工等项目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项目不使用高VOCs</w:t>
                  </w:r>
                  <w:r>
                    <w:rPr>
                      <w:rFonts w:hint="eastAsia" w:cs="Times New Roman"/>
                      <w:color w:val="auto"/>
                      <w:sz w:val="21"/>
                      <w:szCs w:val="21"/>
                      <w:highlight w:val="none"/>
                      <w:lang w:val="en-US" w:eastAsia="zh-CN"/>
                    </w:rPr>
                    <w:t>含量</w:t>
                  </w:r>
                  <w:r>
                    <w:rPr>
                      <w:rFonts w:hint="default" w:ascii="Times New Roman" w:hAnsi="Times New Roman" w:cs="Times New Roman"/>
                      <w:color w:val="auto"/>
                      <w:sz w:val="21"/>
                      <w:szCs w:val="21"/>
                      <w:highlight w:val="none"/>
                      <w:lang w:val="en-US" w:eastAsia="zh-CN"/>
                    </w:rPr>
                    <w:t>原辅料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与区域</w:t>
                  </w:r>
                  <w:r>
                    <w:rPr>
                      <w:rFonts w:hint="eastAsia" w:ascii="Times New Roman" w:cs="Times New Roman"/>
                      <w:color w:val="auto"/>
                      <w:sz w:val="21"/>
                      <w:szCs w:val="21"/>
                      <w:highlight w:val="none"/>
                      <w:lang w:val="en-US" w:eastAsia="zh-CN"/>
                    </w:rPr>
                    <w:t>布局</w:t>
                  </w:r>
                  <w:r>
                    <w:rPr>
                      <w:rFonts w:hint="default" w:ascii="Times New Roman" w:hAnsi="Times New Roman" w:cs="Times New Roman"/>
                      <w:color w:val="auto"/>
                      <w:sz w:val="21"/>
                      <w:szCs w:val="21"/>
                      <w:highlight w:val="none"/>
                      <w:lang w:val="en-US" w:eastAsia="zh-CN"/>
                    </w:rPr>
                    <w:t>管控要</w:t>
                  </w:r>
                  <w:r>
                    <w:rPr>
                      <w:rFonts w:hint="eastAsia" w:ascii="Times New Roman" w:hAnsi="Times New Roman" w:cs="Times New Roman"/>
                      <w:color w:val="auto"/>
                      <w:sz w:val="21"/>
                      <w:szCs w:val="21"/>
                      <w:highlight w:val="none"/>
                      <w:lang w:val="en-US" w:eastAsia="zh-CN"/>
                    </w:rPr>
                    <w:t>求</w:t>
                  </w:r>
                  <w:r>
                    <w:rPr>
                      <w:rFonts w:hint="default" w:ascii="Times New Roman" w:hAnsi="Times New Roman" w:cs="Times New Roman"/>
                      <w:color w:val="auto"/>
                      <w:sz w:val="21"/>
                      <w:szCs w:val="21"/>
                      <w:highlight w:val="none"/>
                      <w:lang w:val="en-US" w:eastAsia="zh-CN"/>
                    </w:rPr>
                    <w:t>相符。</w:t>
                  </w:r>
                </w:p>
              </w:tc>
              <w:tc>
                <w:tcPr>
                  <w:tcW w:w="351" w:type="pct"/>
                  <w:tcBorders>
                    <w:top w:val="single" w:color="auto" w:sz="4" w:space="0"/>
                    <w:left w:val="single" w:color="auto" w:sz="4" w:space="0"/>
                    <w:bottom w:val="single" w:color="auto" w:sz="4" w:space="0"/>
                    <w:right w:val="single" w:color="auto" w:sz="4" w:space="0"/>
                  </w:tcBorders>
                  <w:vAlign w:val="center"/>
                </w:tcPr>
                <w:p w14:paraId="099F7C7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5F1A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4FB6639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0FC171A6">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tcBorders>
                    <w:top w:val="single" w:color="auto" w:sz="4" w:space="0"/>
                    <w:left w:val="single" w:color="auto" w:sz="4" w:space="0"/>
                    <w:bottom w:val="single" w:color="auto" w:sz="4" w:space="0"/>
                    <w:right w:val="single" w:color="auto" w:sz="4" w:space="0"/>
                  </w:tcBorders>
                  <w:vAlign w:val="center"/>
                </w:tcPr>
                <w:p w14:paraId="2ECEBAB1">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能源资源利用要求。科学实施能源消费总量和强度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双控</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新建高能耗项目单位产品（产值）能耗达到国际国内先进水平</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实现煤炭消费总量负增长。率先探索建立二氧化碳总量管理制度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加快实现碳排放达峰。依法依规科学合理优化调整储油库、加油站布局</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加快充电桩、加气站、加氢站以及综合性能源补给站建设</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积极推动机动车和非道路移动机械电动化（或实现清洁燃料替代）。大力推进绿色港口和公用码头建设</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提升岸电使用率；有序推动船舶、港作机械等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油改气</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油改电</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降低港口柴油使用比例。鼓励天然气企业对城市燃气公司和大工业用户直供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降低供气成本。推进工业节水减排</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重点在高耗水行业开展节水改造</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提高工业用水效率。加强江河湖库水量调度</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保障生态流量。盘活存量建设用地</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控制新增建设用地规模。</w:t>
                  </w:r>
                </w:p>
              </w:tc>
              <w:tc>
                <w:tcPr>
                  <w:tcW w:w="1652" w:type="pct"/>
                  <w:tcBorders>
                    <w:top w:val="single" w:color="auto" w:sz="4" w:space="0"/>
                    <w:left w:val="single" w:color="auto" w:sz="4" w:space="0"/>
                    <w:bottom w:val="single" w:color="auto" w:sz="4" w:space="0"/>
                    <w:right w:val="single" w:color="auto" w:sz="4" w:space="0"/>
                  </w:tcBorders>
                  <w:vAlign w:val="center"/>
                </w:tcPr>
                <w:p w14:paraId="2038CC4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项目不属于高耗能、高耗水行业</w:t>
                  </w:r>
                  <w:r>
                    <w:rPr>
                      <w:rFonts w:hint="eastAsia"/>
                      <w:color w:val="auto"/>
                      <w:sz w:val="21"/>
                      <w:szCs w:val="21"/>
                      <w:highlight w:val="none"/>
                      <w:lang w:eastAsia="zh-CN"/>
                    </w:rPr>
                    <w:t>，</w:t>
                  </w:r>
                  <w:r>
                    <w:rPr>
                      <w:rFonts w:hint="default"/>
                      <w:color w:val="auto"/>
                      <w:sz w:val="21"/>
                      <w:szCs w:val="21"/>
                      <w:highlight w:val="none"/>
                    </w:rPr>
                    <w:t>与能源资源利用要求相符。</w:t>
                  </w:r>
                </w:p>
              </w:tc>
              <w:tc>
                <w:tcPr>
                  <w:tcW w:w="351" w:type="pct"/>
                  <w:tcBorders>
                    <w:top w:val="single" w:color="auto" w:sz="4" w:space="0"/>
                    <w:left w:val="single" w:color="auto" w:sz="4" w:space="0"/>
                    <w:bottom w:val="single" w:color="auto" w:sz="4" w:space="0"/>
                    <w:right w:val="single" w:color="auto" w:sz="4" w:space="0"/>
                  </w:tcBorders>
                  <w:vAlign w:val="center"/>
                </w:tcPr>
                <w:p w14:paraId="2E742695">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4F1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0EF37E57">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3D3F184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0157629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污染物排放管控要求。在可核查、可监管的基础上</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新建项目原则上实施氮氧化物等量替代</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挥发性有机物两倍削减量替代。以臭氧生成潜势较大的行业企业为重点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推进挥发性有机物源头替代</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全面加强无组织排放控制</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深入实施精细化治理。现有每小时</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5蒸吨及以上的燃煤锅炉加快实施超低排放治理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每小时</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5蒸吨以下的燃煤锅炉加快完成清洁能源改造。实行水污染物排放的行业标杆管理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严格执行茅洲河、淡水河、石马河、汾江河等重点流域水污染物排放标准。重点水污染物未达到环境质量改善目标的区域内</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新建、改建、扩建项目实施减量替代。电镀专业园区、电镀企业严格执行广东省电镀水污染物排放限值。探索设立区域性城镇污水处理厂污染物排放标准</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推动城镇生活污水处理设施提质增效。率先消除城中村、老旧城区和城乡结合部生活污水收集处理设施空白区。大力推进固体废物源头减量化、资源化利用和无害化处置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稳步推进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无废城市</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试点建设。加强珠江口、大亚湾、广海湾、镇海湾等重点河口海湾陆源污染控制。</w:t>
                  </w:r>
                </w:p>
              </w:tc>
              <w:tc>
                <w:tcPr>
                  <w:tcW w:w="1652" w:type="pct"/>
                  <w:vAlign w:val="center"/>
                </w:tcPr>
                <w:p w14:paraId="3F4C8B44">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w:t>
                  </w:r>
                  <w:r>
                    <w:rPr>
                      <w:rFonts w:hint="eastAsia" w:cs="Times New Roman"/>
                      <w:color w:val="auto"/>
                      <w:sz w:val="21"/>
                      <w:szCs w:val="21"/>
                      <w:highlight w:val="none"/>
                      <w:lang w:val="en-US" w:eastAsia="zh-CN"/>
                    </w:rPr>
                    <w:t>不</w:t>
                  </w:r>
                  <w:r>
                    <w:rPr>
                      <w:rFonts w:hint="eastAsia" w:ascii="Times New Roman" w:cs="Times New Roman"/>
                      <w:color w:val="auto"/>
                      <w:sz w:val="21"/>
                      <w:szCs w:val="21"/>
                      <w:highlight w:val="none"/>
                      <w:lang w:val="en-US" w:eastAsia="zh-CN"/>
                    </w:rPr>
                    <w:t>产生的</w:t>
                  </w:r>
                  <w:r>
                    <w:rPr>
                      <w:rFonts w:hint="eastAsia" w:cs="Times New Roman"/>
                      <w:color w:val="auto"/>
                      <w:sz w:val="21"/>
                      <w:szCs w:val="21"/>
                      <w:lang w:val="en-US" w:eastAsia="zh-CN"/>
                    </w:rPr>
                    <w:t>VOCs、</w:t>
                  </w:r>
                  <w:r>
                    <w:rPr>
                      <w:rFonts w:hint="default" w:ascii="Times New Roman" w:hAnsi="Times New Roman" w:cs="Times New Roman"/>
                      <w:color w:val="auto"/>
                      <w:sz w:val="21"/>
                      <w:szCs w:val="21"/>
                      <w:highlight w:val="none"/>
                      <w:lang w:val="en-US" w:eastAsia="zh-CN"/>
                    </w:rPr>
                    <w:t>氮氧化物</w:t>
                  </w:r>
                  <w:r>
                    <w:rPr>
                      <w:rFonts w:hint="eastAsia" w:ascii="Times New Roman" w:cs="Times New Roman"/>
                      <w:color w:val="auto"/>
                      <w:sz w:val="21"/>
                      <w:szCs w:val="21"/>
                      <w:highlight w:val="none"/>
                      <w:lang w:val="en-US" w:eastAsia="zh-CN"/>
                    </w:rPr>
                    <w:t>。项目不设锅炉，不设电镀工艺。</w:t>
                  </w:r>
                </w:p>
                <w:p w14:paraId="7B1242E5">
                  <w:pPr>
                    <w:widowControl w:val="0"/>
                    <w:kinsoku/>
                    <w:autoSpaceDE/>
                    <w:autoSpaceDN/>
                    <w:adjustRightInd/>
                    <w:snapToGrid/>
                    <w:spacing w:line="240" w:lineRule="auto"/>
                    <w:jc w:val="center"/>
                    <w:textAlignment w:val="auto"/>
                    <w:rPr>
                      <w:rFonts w:hint="default" w:ascii="Times New Roman" w:cs="Times New Roman"/>
                      <w:color w:val="auto"/>
                      <w:sz w:val="21"/>
                      <w:szCs w:val="21"/>
                      <w:highlight w:val="none"/>
                      <w:lang w:val="en-US" w:eastAsia="zh-CN"/>
                    </w:rPr>
                  </w:pPr>
                  <w:r>
                    <w:rPr>
                      <w:rFonts w:hint="eastAsia" w:ascii="Times New Roman" w:cs="Times New Roman"/>
                      <w:i w:val="0"/>
                      <w:iCs w:val="0"/>
                      <w:color w:val="auto"/>
                      <w:kern w:val="0"/>
                      <w:sz w:val="21"/>
                      <w:szCs w:val="21"/>
                      <w:highlight w:val="none"/>
                      <w:u w:val="none"/>
                      <w:lang w:val="en-US" w:eastAsia="zh-CN"/>
                    </w:rPr>
                    <w:t>项目不产生生产废水，员工如厕依托生活污水乐昌市华轩针织制衣有限公司，依托乐昌市华轩针织制衣有限公司化粪池进行预处理后引入园区污水处理厂处理</w:t>
                  </w:r>
                  <w:r>
                    <w:rPr>
                      <w:rFonts w:hint="default" w:ascii="Times New Roman" w:hAnsi="Times New Roman" w:eastAsia="宋体" w:cs="Times New Roman"/>
                      <w:i w:val="0"/>
                      <w:iCs w:val="0"/>
                      <w:color w:val="auto"/>
                      <w:kern w:val="0"/>
                      <w:sz w:val="21"/>
                      <w:szCs w:val="21"/>
                      <w:highlight w:val="none"/>
                      <w:u w:val="none"/>
                      <w:lang w:val="en-US" w:eastAsia="zh-CN"/>
                    </w:rPr>
                    <w:t>，达标后</w:t>
                  </w:r>
                  <w:r>
                    <w:rPr>
                      <w:rFonts w:hint="eastAsia" w:cs="Times New Roman"/>
                      <w:i w:val="0"/>
                      <w:iCs w:val="0"/>
                      <w:color w:val="auto"/>
                      <w:kern w:val="0"/>
                      <w:sz w:val="21"/>
                      <w:szCs w:val="21"/>
                      <w:highlight w:val="none"/>
                      <w:u w:val="none"/>
                      <w:lang w:val="en-US" w:eastAsia="zh-CN"/>
                    </w:rPr>
                    <w:t>尾水</w:t>
                  </w:r>
                  <w:r>
                    <w:rPr>
                      <w:rFonts w:hint="default" w:ascii="Times New Roman" w:hAnsi="Times New Roman" w:eastAsia="宋体" w:cs="Times New Roman"/>
                      <w:i w:val="0"/>
                      <w:iCs w:val="0"/>
                      <w:color w:val="auto"/>
                      <w:kern w:val="0"/>
                      <w:sz w:val="21"/>
                      <w:szCs w:val="21"/>
                      <w:highlight w:val="none"/>
                      <w:u w:val="none"/>
                      <w:lang w:val="en-US" w:eastAsia="zh-CN"/>
                    </w:rPr>
                    <w:t>排放至武江（乐昌城-犁市河段）</w:t>
                  </w:r>
                  <w:r>
                    <w:rPr>
                      <w:rFonts w:hint="eastAsia" w:ascii="Times New Roman" w:cs="Times New Roman"/>
                      <w:i w:val="0"/>
                      <w:iCs w:val="0"/>
                      <w:color w:val="auto"/>
                      <w:kern w:val="0"/>
                      <w:sz w:val="21"/>
                      <w:szCs w:val="21"/>
                      <w:highlight w:val="none"/>
                      <w:u w:val="none"/>
                      <w:lang w:val="en-US" w:eastAsia="zh-CN"/>
                    </w:rPr>
                    <w:t>。</w:t>
                  </w:r>
                </w:p>
              </w:tc>
              <w:tc>
                <w:tcPr>
                  <w:tcW w:w="351" w:type="pct"/>
                  <w:vAlign w:val="center"/>
                </w:tcPr>
                <w:p w14:paraId="72E669C4">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3FB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vAlign w:val="center"/>
                </w:tcPr>
                <w:p w14:paraId="2E1D7F49">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vAlign w:val="center"/>
                </w:tcPr>
                <w:p w14:paraId="24B76FE2">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106B43D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环境风险防控要求。逐步构建城市多水源联网供水格局</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建立完善突发环境事件应急管理体系。加强惠州大亚湾石化区、广州石化、珠海高栏港、珠西新材料集聚区等石化、化工重点园区环境风险防控</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建立完善污染源在线监控系统</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开展有毒有害气体监测</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落实环境风险应急预案。提升危险废物监管能力</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利用信息化手段</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推进全过程跟踪管理；健全危险废物收集体系</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推进危险废物利用处置能力结构优化。</w:t>
                  </w:r>
                </w:p>
              </w:tc>
              <w:tc>
                <w:tcPr>
                  <w:tcW w:w="1652" w:type="pct"/>
                  <w:vAlign w:val="center"/>
                </w:tcPr>
                <w:p w14:paraId="6C1D9C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本项目危险废物统一收集后交由有资质单位处理。</w:t>
                  </w:r>
                </w:p>
              </w:tc>
              <w:tc>
                <w:tcPr>
                  <w:tcW w:w="351" w:type="pct"/>
                  <w:vAlign w:val="center"/>
                </w:tcPr>
                <w:p w14:paraId="5230F20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660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vAlign w:val="center"/>
                </w:tcPr>
                <w:p w14:paraId="5ECE83F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w:t>
                  </w:r>
                </w:p>
              </w:tc>
              <w:tc>
                <w:tcPr>
                  <w:tcW w:w="530" w:type="pct"/>
                  <w:vMerge w:val="restart"/>
                  <w:vAlign w:val="center"/>
                </w:tcPr>
                <w:p w14:paraId="4FFB7D4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环境管控单元总体管控要求</w:t>
                  </w:r>
                </w:p>
              </w:tc>
              <w:tc>
                <w:tcPr>
                  <w:tcW w:w="2144" w:type="pct"/>
                  <w:vAlign w:val="center"/>
                </w:tcPr>
                <w:p w14:paraId="5BA3F86C">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52" w:type="pct"/>
                  <w:vAlign w:val="center"/>
                </w:tcPr>
                <w:p w14:paraId="6C694BFF">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根据</w:t>
                  </w:r>
                  <w:r>
                    <w:rPr>
                      <w:rFonts w:hint="eastAsia" w:ascii="Times New Roman" w:hAnsi="Times New Roman" w:eastAsia="宋体" w:cs="Times New Roman"/>
                      <w:b w:val="0"/>
                      <w:bCs w:val="0"/>
                      <w:snapToGrid/>
                      <w:color w:val="auto"/>
                      <w:kern w:val="2"/>
                      <w:sz w:val="21"/>
                      <w:szCs w:val="21"/>
                      <w:highlight w:val="none"/>
                      <w:lang w:val="en-US" w:eastAsia="zh-CN"/>
                    </w:rPr>
                    <w:t>附图</w:t>
                  </w:r>
                  <w:r>
                    <w:rPr>
                      <w:rFonts w:hint="eastAsia"/>
                      <w:color w:val="auto"/>
                      <w:sz w:val="21"/>
                      <w:szCs w:val="21"/>
                      <w:highlight w:val="none"/>
                    </w:rPr>
                    <w:t>1</w:t>
                  </w:r>
                  <w:r>
                    <w:rPr>
                      <w:rFonts w:hint="eastAsia"/>
                      <w:color w:val="auto"/>
                      <w:sz w:val="21"/>
                      <w:szCs w:val="21"/>
                      <w:highlight w:val="none"/>
                      <w:lang w:val="en-US" w:eastAsia="zh-CN"/>
                    </w:rPr>
                    <w:t>4-1</w:t>
                  </w:r>
                  <w:r>
                    <w:rPr>
                      <w:rFonts w:hint="eastAsia"/>
                      <w:color w:val="auto"/>
                      <w:sz w:val="21"/>
                      <w:szCs w:val="21"/>
                      <w:highlight w:val="none"/>
                    </w:rPr>
                    <w:t>，项目位于乐昌经济开发区重点管控单元（管控编码ZH44028120003），属于园区重点管控单元，项目主要从事</w:t>
                  </w:r>
                  <w:r>
                    <w:rPr>
                      <w:rFonts w:hint="default" w:ascii="Times New Roman" w:hAnsi="Times New Roman" w:cs="Times New Roman"/>
                      <w:color w:val="auto"/>
                      <w:sz w:val="21"/>
                      <w:szCs w:val="21"/>
                      <w:highlight w:val="none"/>
                      <w:vertAlign w:val="baseline"/>
                    </w:rPr>
                    <w:t>一般工业固体废物分拣、压实</w:t>
                  </w:r>
                  <w:r>
                    <w:rPr>
                      <w:rFonts w:hint="eastAsia"/>
                      <w:color w:val="auto"/>
                      <w:sz w:val="21"/>
                      <w:szCs w:val="21"/>
                      <w:highlight w:val="none"/>
                    </w:rPr>
                    <w:t>，生产过程</w:t>
                  </w:r>
                  <w:r>
                    <w:rPr>
                      <w:rFonts w:hint="eastAsia"/>
                      <w:color w:val="auto"/>
                      <w:sz w:val="21"/>
                      <w:szCs w:val="21"/>
                      <w:highlight w:val="none"/>
                      <w:lang w:val="en-US" w:eastAsia="zh-CN"/>
                    </w:rPr>
                    <w:t>不</w:t>
                  </w:r>
                  <w:r>
                    <w:rPr>
                      <w:rFonts w:hint="eastAsia"/>
                      <w:color w:val="auto"/>
                      <w:sz w:val="21"/>
                      <w:szCs w:val="21"/>
                      <w:highlight w:val="none"/>
                    </w:rPr>
                    <w:t>产生氮氧化物；</w:t>
                  </w:r>
                  <w:r>
                    <w:rPr>
                      <w:rFonts w:hint="eastAsia" w:ascii="Times New Roman" w:cs="Times New Roman"/>
                      <w:i w:val="0"/>
                      <w:iCs w:val="0"/>
                      <w:color w:val="auto"/>
                      <w:kern w:val="0"/>
                      <w:sz w:val="21"/>
                      <w:szCs w:val="21"/>
                      <w:highlight w:val="none"/>
                      <w:u w:val="none"/>
                      <w:lang w:val="en-US" w:eastAsia="zh-CN"/>
                    </w:rPr>
                    <w:t>项目不产生生产废水，员工如厕依托生活污水乐昌市华轩针织制衣有限公司，依托乐昌市华轩针织制衣有限公司化粪池进行预处理后引入园区污水处理厂处理</w:t>
                  </w:r>
                  <w:r>
                    <w:rPr>
                      <w:rFonts w:hint="eastAsia"/>
                      <w:color w:val="auto"/>
                      <w:sz w:val="21"/>
                      <w:szCs w:val="21"/>
                      <w:highlight w:val="none"/>
                    </w:rPr>
                    <w:t>，无需分配水污染物总量。</w:t>
                  </w:r>
                </w:p>
              </w:tc>
              <w:tc>
                <w:tcPr>
                  <w:tcW w:w="351" w:type="pct"/>
                  <w:vAlign w:val="center"/>
                </w:tcPr>
                <w:p w14:paraId="35EEC8CB">
                  <w:pPr>
                    <w:pStyle w:val="61"/>
                    <w:keepNext w:val="0"/>
                    <w:keepLines w:val="0"/>
                    <w:pageBreakBefore w:val="0"/>
                    <w:widowControl/>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7973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vAlign w:val="center"/>
                </w:tcPr>
                <w:p w14:paraId="663B809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vAlign w:val="center"/>
                </w:tcPr>
                <w:p w14:paraId="77129F03">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12B0246E">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52" w:type="pct"/>
                  <w:vAlign w:val="center"/>
                </w:tcPr>
                <w:p w14:paraId="6F6D379A">
                  <w:pPr>
                    <w:pStyle w:val="61"/>
                    <w:keepNext w:val="0"/>
                    <w:keepLines w:val="0"/>
                    <w:pageBreakBefore w:val="0"/>
                    <w:widowControl/>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w:t>
                  </w:r>
                  <w:r>
                    <w:rPr>
                      <w:rFonts w:hint="eastAsia"/>
                      <w:color w:val="auto"/>
                      <w:kern w:val="2"/>
                      <w:sz w:val="21"/>
                      <w:szCs w:val="21"/>
                      <w:highlight w:val="none"/>
                      <w:lang w:val="en-US" w:eastAsia="zh-CN"/>
                    </w:rPr>
                    <w:t>无生产用水，</w:t>
                  </w:r>
                  <w:r>
                    <w:rPr>
                      <w:rFonts w:hint="eastAsia"/>
                      <w:color w:val="auto"/>
                      <w:kern w:val="2"/>
                      <w:sz w:val="21"/>
                      <w:szCs w:val="21"/>
                      <w:highlight w:val="none"/>
                    </w:rPr>
                    <w:t>不属于耗水量大和污染物排放强度高的行业，项目员工如厕依托生活污水乐昌市华轩针织制衣有限公司，依托乐昌市华轩针织制衣有限公司化粪池进行预处理后引入园区污水处理厂处理，对水环境影响不大。</w:t>
                  </w:r>
                </w:p>
              </w:tc>
              <w:tc>
                <w:tcPr>
                  <w:tcW w:w="351" w:type="pct"/>
                  <w:vAlign w:val="center"/>
                </w:tcPr>
                <w:p w14:paraId="5F3A3058">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07BA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vAlign w:val="center"/>
                </w:tcPr>
                <w:p w14:paraId="694DD551">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vAlign w:val="center"/>
                </w:tcPr>
                <w:p w14:paraId="717650E0">
                  <w:pPr>
                    <w:pStyle w:val="66"/>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vAlign w:val="center"/>
                </w:tcPr>
                <w:p w14:paraId="026A0B8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大气环境受体敏感类重点管控单元。严格限制新建</w:t>
                  </w:r>
                  <w:r>
                    <w:rPr>
                      <w:rFonts w:hint="eastAsia" w:ascii="Times New Roman" w:hAnsi="Times New Roman" w:eastAsia="宋体" w:cs="Times New Roman"/>
                      <w:b w:val="0"/>
                      <w:bCs w:val="0"/>
                      <w:snapToGrid/>
                      <w:color w:val="auto"/>
                      <w:kern w:val="2"/>
                      <w:sz w:val="21"/>
                      <w:szCs w:val="21"/>
                      <w:highlight w:val="none"/>
                      <w:lang w:val="en-US" w:eastAsia="zh-CN"/>
                    </w:rPr>
                    <w:t>钢铁</w:t>
                  </w:r>
                  <w:r>
                    <w:rPr>
                      <w:rFonts w:hint="eastAsia"/>
                      <w:color w:val="auto"/>
                      <w:kern w:val="2"/>
                      <w:sz w:val="21"/>
                      <w:szCs w:val="21"/>
                      <w:highlight w:val="none"/>
                    </w:rPr>
                    <w:t>、燃煤燃油火电、石化、储油库等项目，产生和排放有毒有害大气污染物项目，以及使用溶剂型油墨、涂料、清洗剂、胶黏剂等高挥发性有机物原辅材料的项目；鼓励现有该类项目逐步搬迁退出</w:t>
                  </w:r>
                </w:p>
              </w:tc>
              <w:tc>
                <w:tcPr>
                  <w:tcW w:w="1652" w:type="pct"/>
                  <w:vAlign w:val="center"/>
                </w:tcPr>
                <w:p w14:paraId="33C51DE8">
                  <w:pPr>
                    <w:widowControl w:val="0"/>
                    <w:kinsoku/>
                    <w:autoSpaceDE/>
                    <w:autoSpaceDN/>
                    <w:adjustRightInd/>
                    <w:snapToGrid/>
                    <w:spacing w:line="240" w:lineRule="auto"/>
                    <w:jc w:val="center"/>
                    <w:textAlignment w:val="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项目不属于钢铁、燃煤燃油火电、石化、储油库等项目</w:t>
                  </w:r>
                  <w:r>
                    <w:rPr>
                      <w:rFonts w:hint="eastAsia"/>
                      <w:color w:val="auto"/>
                      <w:kern w:val="2"/>
                      <w:sz w:val="21"/>
                      <w:szCs w:val="21"/>
                      <w:highlight w:val="none"/>
                      <w:lang w:eastAsia="zh-CN"/>
                    </w:rPr>
                    <w:t>，</w:t>
                  </w:r>
                  <w:r>
                    <w:rPr>
                      <w:rFonts w:hint="eastAsia"/>
                      <w:color w:val="auto"/>
                      <w:kern w:val="2"/>
                      <w:sz w:val="21"/>
                      <w:szCs w:val="21"/>
                      <w:highlight w:val="none"/>
                    </w:rPr>
                    <w:t>不属于</w:t>
                  </w:r>
                  <w:r>
                    <w:rPr>
                      <w:rFonts w:hint="eastAsia"/>
                      <w:color w:val="auto"/>
                      <w:kern w:val="2"/>
                      <w:sz w:val="21"/>
                      <w:szCs w:val="21"/>
                      <w:highlight w:val="none"/>
                      <w:lang w:val="en-US" w:eastAsia="zh-CN"/>
                    </w:rPr>
                    <w:t>产生和排放</w:t>
                  </w:r>
                  <w:r>
                    <w:rPr>
                      <w:rFonts w:hint="eastAsia"/>
                      <w:color w:val="auto"/>
                      <w:kern w:val="2"/>
                      <w:sz w:val="21"/>
                      <w:szCs w:val="21"/>
                      <w:highlight w:val="none"/>
                    </w:rPr>
                    <w:t>有毒有害大气污染物的项目</w:t>
                  </w:r>
                  <w:r>
                    <w:rPr>
                      <w:rFonts w:hint="eastAsia"/>
                      <w:color w:val="auto"/>
                      <w:kern w:val="2"/>
                      <w:sz w:val="21"/>
                      <w:szCs w:val="21"/>
                      <w:highlight w:val="none"/>
                      <w:lang w:eastAsia="zh-CN"/>
                    </w:rPr>
                    <w:t>。</w:t>
                  </w:r>
                </w:p>
              </w:tc>
              <w:tc>
                <w:tcPr>
                  <w:tcW w:w="351" w:type="pct"/>
                  <w:vAlign w:val="center"/>
                </w:tcPr>
                <w:p w14:paraId="5C2E557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eastAsia" w:ascii="Times New Roman" w:hAnsi="Times New Roman" w:eastAsia="宋体" w:cs="Times New Roman"/>
                      <w:b w:val="0"/>
                      <w:bCs w:val="0"/>
                      <w:snapToGrid/>
                      <w:color w:val="auto"/>
                      <w:kern w:val="2"/>
                      <w:szCs w:val="21"/>
                      <w:highlight w:val="none"/>
                      <w:lang w:val="en-US" w:eastAsia="zh-CN"/>
                    </w:rPr>
                    <w:t>符合</w:t>
                  </w:r>
                </w:p>
              </w:tc>
            </w:tr>
          </w:tbl>
          <w:p w14:paraId="48E0DD44">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7A6BD93F">
            <w:pPr>
              <w:pStyle w:val="19"/>
              <w:keepNext/>
              <w:pageBreakBefore w:val="0"/>
              <w:spacing w:line="348" w:lineRule="auto"/>
              <w:ind w:right="86" w:rightChars="36" w:firstLineChars="200"/>
              <w:jc w:val="left"/>
              <w:rPr>
                <w:rFonts w:hint="default" w:ascii="Times New Roman" w:hAnsi="Times New Roman" w:cs="Times New Roman"/>
                <w:color w:val="auto"/>
                <w:sz w:val="24"/>
                <w:szCs w:val="24"/>
                <w:highlight w:val="none"/>
              </w:rPr>
            </w:pPr>
            <w:r>
              <w:rPr>
                <w:rFonts w:hint="eastAsia" w:ascii="Times New Roman" w:hAnsi="Times New Roman" w:eastAsia="宋体" w:cs="Times New Roman"/>
                <w:b w:val="0"/>
                <w:bCs w:val="0"/>
                <w:color w:val="auto"/>
                <w:kern w:val="0"/>
                <w:sz w:val="24"/>
                <w:highlight w:val="none"/>
                <w:lang w:val="en-US" w:eastAsia="zh-CN"/>
              </w:rPr>
              <w:t>综上所述，项目符合《广东省人民政府关于印发广东省“三线一单”生态环境分区管控方案的通知（粤府〔2020〕71号）》《广东省2023年度生态环境分区管控动态更新成果公告》的相关要求。</w:t>
            </w:r>
          </w:p>
          <w:p w14:paraId="5BA11220">
            <w:pPr>
              <w:pStyle w:val="19"/>
              <w:keepNext/>
              <w:pageBreakBefore w:val="0"/>
              <w:spacing w:line="348" w:lineRule="auto"/>
              <w:ind w:right="86" w:rightChars="36" w:firstLineChars="200"/>
              <w:jc w:val="left"/>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②项目与韶关市人民政府关于印发《韶关市“三线一单”生态环境分区管控方案的通知》的通知（韶府〔2021〕10号）</w:t>
            </w:r>
            <w:r>
              <w:rPr>
                <w:rFonts w:hint="default" w:ascii="Times New Roman" w:hAnsi="Times New Roman" w:cs="Times New Roman"/>
                <w:b/>
                <w:bCs/>
                <w:color w:val="auto"/>
                <w:sz w:val="24"/>
                <w:szCs w:val="24"/>
                <w:highlight w:val="none"/>
                <w:lang w:val="en-US" w:eastAsia="zh-CN"/>
              </w:rPr>
              <w:t>及《韶关市生态环境分区管控动态更新成果》（2024年8月5日公布）</w:t>
            </w:r>
            <w:r>
              <w:rPr>
                <w:rFonts w:hint="default" w:ascii="Times New Roman" w:hAnsi="Times New Roman" w:cs="Times New Roman"/>
                <w:b/>
                <w:bCs/>
                <w:color w:val="auto"/>
                <w:sz w:val="24"/>
                <w:szCs w:val="24"/>
                <w:highlight w:val="none"/>
              </w:rPr>
              <w:t>的相符性分析</w:t>
            </w:r>
          </w:p>
          <w:p w14:paraId="110467A1">
            <w:pPr>
              <w:pStyle w:val="19"/>
              <w:keepNext/>
              <w:keepLines w:val="0"/>
              <w:pageBreakBefore w:val="0"/>
              <w:widowControl w:val="0"/>
              <w:kinsoku/>
              <w:wordWrap/>
              <w:overflowPunct/>
              <w:topLinePunct w:val="0"/>
              <w:autoSpaceDE/>
              <w:autoSpaceDN/>
              <w:bidi w:val="0"/>
              <w:adjustRightInd/>
              <w:snapToGrid/>
              <w:spacing w:line="360" w:lineRule="auto"/>
              <w:ind w:right="86" w:rightChars="36" w:firstLine="420" w:firstLineChars="20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表1-</w:t>
            </w:r>
            <w:r>
              <w:rPr>
                <w:rFonts w:hint="default" w:ascii="Times New Roman" w:hAnsi="Times New Roman" w:cs="Times New Roman"/>
                <w:b/>
                <w:bCs/>
                <w:color w:val="auto"/>
                <w:sz w:val="21"/>
                <w:szCs w:val="21"/>
                <w:highlight w:val="none"/>
                <w:lang w:val="en-US" w:eastAsia="zh-CN"/>
              </w:rPr>
              <w:t>3政策</w:t>
            </w:r>
            <w:r>
              <w:rPr>
                <w:rFonts w:hint="default" w:ascii="Times New Roman" w:hAnsi="Times New Roman" w:cs="Times New Roman"/>
                <w:b/>
                <w:bCs/>
                <w:color w:val="auto"/>
                <w:sz w:val="21"/>
                <w:szCs w:val="21"/>
                <w:highlight w:val="none"/>
              </w:rPr>
              <w:t>相符性分析一览表</w:t>
            </w:r>
          </w:p>
          <w:tbl>
            <w:tblPr>
              <w:tblStyle w:val="45"/>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24"/>
              <w:gridCol w:w="890"/>
              <w:gridCol w:w="3781"/>
              <w:gridCol w:w="2439"/>
              <w:gridCol w:w="410"/>
            </w:tblGrid>
            <w:tr w14:paraId="0B7F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774" w:type="pct"/>
                  <w:gridSpan w:val="2"/>
                  <w:tcBorders>
                    <w:tl2br w:val="nil"/>
                    <w:tr2bl w:val="nil"/>
                  </w:tcBorders>
                  <w:vAlign w:val="center"/>
                </w:tcPr>
                <w:p w14:paraId="049C720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内容</w:t>
                  </w:r>
                </w:p>
              </w:tc>
              <w:tc>
                <w:tcPr>
                  <w:tcW w:w="2409" w:type="pct"/>
                  <w:tcBorders>
                    <w:tl2br w:val="nil"/>
                    <w:tr2bl w:val="nil"/>
                  </w:tcBorders>
                  <w:vAlign w:val="center"/>
                </w:tcPr>
                <w:p w14:paraId="5969A58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要求</w:t>
                  </w:r>
                </w:p>
              </w:tc>
              <w:tc>
                <w:tcPr>
                  <w:tcW w:w="1554" w:type="pct"/>
                  <w:tcBorders>
                    <w:tl2br w:val="nil"/>
                    <w:tr2bl w:val="nil"/>
                  </w:tcBorders>
                  <w:vAlign w:val="center"/>
                </w:tcPr>
                <w:p w14:paraId="0A892E7A">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相符性分析</w:t>
                  </w:r>
                </w:p>
              </w:tc>
              <w:tc>
                <w:tcPr>
                  <w:tcW w:w="261" w:type="pct"/>
                  <w:tcBorders>
                    <w:tl2br w:val="nil"/>
                    <w:tr2bl w:val="nil"/>
                  </w:tcBorders>
                  <w:vAlign w:val="center"/>
                </w:tcPr>
                <w:p w14:paraId="387FD6C8">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结论</w:t>
                  </w:r>
                </w:p>
              </w:tc>
            </w:tr>
            <w:tr w14:paraId="78C9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restart"/>
                  <w:tcBorders>
                    <w:tl2br w:val="nil"/>
                    <w:tr2bl w:val="nil"/>
                  </w:tcBorders>
                  <w:vAlign w:val="center"/>
                </w:tcPr>
                <w:p w14:paraId="787E11FA">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全市总体管控</w:t>
                  </w:r>
                </w:p>
              </w:tc>
              <w:tc>
                <w:tcPr>
                  <w:tcW w:w="567" w:type="pct"/>
                  <w:tcBorders>
                    <w:tl2br w:val="nil"/>
                    <w:tr2bl w:val="nil"/>
                  </w:tcBorders>
                  <w:vAlign w:val="center"/>
                </w:tcPr>
                <w:p w14:paraId="4CC8FE15">
                  <w:pPr>
                    <w:pStyle w:val="19"/>
                    <w:keepNext/>
                    <w:pageBreakBefore w:val="0"/>
                    <w:widowControl/>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kern w:val="0"/>
                      <w:sz w:val="21"/>
                      <w:szCs w:val="21"/>
                      <w:highlight w:val="none"/>
                    </w:rPr>
                    <w:t>区域布局管控</w:t>
                  </w:r>
                </w:p>
              </w:tc>
              <w:tc>
                <w:tcPr>
                  <w:tcW w:w="2409" w:type="pct"/>
                  <w:tcBorders>
                    <w:tl2br w:val="nil"/>
                    <w:tr2bl w:val="nil"/>
                  </w:tcBorders>
                  <w:vAlign w:val="center"/>
                </w:tcPr>
                <w:p w14:paraId="7969C10C">
                  <w:pPr>
                    <w:pStyle w:val="19"/>
                    <w:keepNext/>
                    <w:pageBreakBefore w:val="0"/>
                    <w:spacing w:line="240" w:lineRule="auto"/>
                    <w:ind w:firstLine="48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生态保护红线及一般生态空间。全市陆域生态保护红线面积5827.58平方千米，占全市陆域国土面积的31.65%；一般生态空间面积4951.43平方千米。</w:t>
                  </w:r>
                </w:p>
                <w:p w14:paraId="6B84A662">
                  <w:pPr>
                    <w:pStyle w:val="19"/>
                    <w:keepNext/>
                    <w:pageBreakBefore w:val="0"/>
                    <w:spacing w:line="240" w:lineRule="auto"/>
                    <w:ind w:firstLine="48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p w14:paraId="6EFB29B8">
                  <w:pPr>
                    <w:pStyle w:val="19"/>
                    <w:keepNext/>
                    <w:pageBreakBefore w:val="0"/>
                    <w:spacing w:line="240" w:lineRule="auto"/>
                    <w:ind w:firstLine="480"/>
                    <w:jc w:val="left"/>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1554" w:type="pct"/>
                  <w:tcBorders>
                    <w:tl2br w:val="nil"/>
                    <w:tr2bl w:val="nil"/>
                  </w:tcBorders>
                  <w:vAlign w:val="center"/>
                </w:tcPr>
                <w:p w14:paraId="12F34127">
                  <w:pPr>
                    <w:pStyle w:val="19"/>
                    <w:keepNext/>
                    <w:pageBreakBefore w:val="0"/>
                    <w:spacing w:line="240" w:lineRule="auto"/>
                    <w:ind w:firstLine="480"/>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，不涉重金属，不属于高污染高耗能行业，项目位于乐昌产业转移工业园，</w:t>
                  </w:r>
                  <w:r>
                    <w:rPr>
                      <w:rFonts w:hint="default" w:ascii="Times New Roman" w:hAnsi="Times New Roman" w:cs="Times New Roman"/>
                      <w:color w:val="auto"/>
                      <w:sz w:val="21"/>
                      <w:szCs w:val="21"/>
                      <w:highlight w:val="none"/>
                      <w:lang w:val="en-US" w:eastAsia="zh-CN"/>
                    </w:rPr>
                    <w:t>不占用</w:t>
                  </w:r>
                  <w:r>
                    <w:rPr>
                      <w:rFonts w:hint="default" w:ascii="Times New Roman" w:hAnsi="Times New Roman" w:cs="Times New Roman"/>
                      <w:color w:val="auto"/>
                      <w:szCs w:val="21"/>
                      <w:highlight w:val="none"/>
                    </w:rPr>
                    <w:t>生态保护红线</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与最近</w:t>
                  </w:r>
                  <w:r>
                    <w:rPr>
                      <w:rFonts w:hint="default" w:ascii="Times New Roman" w:hAnsi="Times New Roman" w:cs="Times New Roman"/>
                      <w:color w:val="auto"/>
                      <w:highlight w:val="none"/>
                      <w:lang w:val="en-US" w:eastAsia="zh-CN"/>
                    </w:rPr>
                    <w:t>饮</w:t>
                  </w:r>
                  <w:r>
                    <w:rPr>
                      <w:rFonts w:hint="default" w:ascii="Times New Roman" w:hAnsi="Times New Roman" w:cs="Times New Roman"/>
                      <w:color w:val="auto"/>
                      <w:szCs w:val="21"/>
                      <w:highlight w:val="none"/>
                      <w:lang w:val="en-US" w:eastAsia="zh-CN"/>
                    </w:rPr>
                    <w:t>用水水源保护区：韶关市区武江饮用水水源地准保护区距离约为</w:t>
                  </w:r>
                  <w:r>
                    <w:rPr>
                      <w:rFonts w:hint="eastAsia" w:cs="Times New Roman"/>
                      <w:color w:val="auto"/>
                      <w:szCs w:val="21"/>
                      <w:highlight w:val="none"/>
                      <w:lang w:val="en-US" w:eastAsia="zh-CN"/>
                    </w:rPr>
                    <w:t>4409</w:t>
                  </w:r>
                  <w:r>
                    <w:rPr>
                      <w:rFonts w:hint="default" w:ascii="Times New Roman" w:hAnsi="Times New Roman" w:cs="Times New Roman"/>
                      <w:color w:val="auto"/>
                      <w:szCs w:val="21"/>
                      <w:highlight w:val="none"/>
                      <w:lang w:val="en-US" w:eastAsia="zh-CN"/>
                    </w:rPr>
                    <w:t>m，</w:t>
                  </w:r>
                  <w:r>
                    <w:rPr>
                      <w:rFonts w:hint="default" w:ascii="Times New Roman" w:hAnsi="Times New Roman" w:cs="Times New Roman"/>
                      <w:color w:val="auto"/>
                      <w:sz w:val="21"/>
                      <w:szCs w:val="21"/>
                      <w:highlight w:val="none"/>
                    </w:rPr>
                    <w:t>园区已开展规划环境评价，项目符合园区准入条件。项目所在地属于环境功能二类区、水环境质量达标区</w:t>
                  </w:r>
                  <w:r>
                    <w:rPr>
                      <w:rFonts w:hint="default" w:ascii="Times New Roman" w:hAnsi="Times New Roman" w:cs="Times New Roman"/>
                      <w:color w:val="auto"/>
                      <w:sz w:val="21"/>
                      <w:szCs w:val="21"/>
                      <w:highlight w:val="none"/>
                      <w:lang w:eastAsia="zh-CN"/>
                    </w:rPr>
                    <w:t>。</w:t>
                  </w:r>
                </w:p>
              </w:tc>
              <w:tc>
                <w:tcPr>
                  <w:tcW w:w="261" w:type="pct"/>
                  <w:tcBorders>
                    <w:tl2br w:val="nil"/>
                    <w:tr2bl w:val="nil"/>
                  </w:tcBorders>
                  <w:vAlign w:val="center"/>
                </w:tcPr>
                <w:p w14:paraId="21BBDA30">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1F27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1EE80D98">
                  <w:pPr>
                    <w:pStyle w:val="19"/>
                    <w:keepNext/>
                    <w:pageBreakBefore w:val="0"/>
                    <w:spacing w:line="240" w:lineRule="auto"/>
                    <w:ind w:firstLine="480"/>
                    <w:jc w:val="center"/>
                    <w:rPr>
                      <w:rFonts w:hint="default" w:ascii="Times New Roman" w:hAnsi="Times New Roman" w:cs="Times New Roman"/>
                      <w:b/>
                      <w:bCs/>
                      <w:color w:val="auto"/>
                      <w:sz w:val="21"/>
                      <w:szCs w:val="21"/>
                      <w:highlight w:val="none"/>
                    </w:rPr>
                  </w:pPr>
                </w:p>
              </w:tc>
              <w:tc>
                <w:tcPr>
                  <w:tcW w:w="567" w:type="pct"/>
                  <w:tcBorders>
                    <w:tl2br w:val="nil"/>
                    <w:tr2bl w:val="nil"/>
                  </w:tcBorders>
                  <w:vAlign w:val="center"/>
                </w:tcPr>
                <w:p w14:paraId="184B7031">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409" w:type="pct"/>
                  <w:tcBorders>
                    <w:tl2br w:val="nil"/>
                    <w:tr2bl w:val="nil"/>
                  </w:tcBorders>
                  <w:vAlign w:val="center"/>
                </w:tcPr>
                <w:p w14:paraId="7482906D">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1554" w:type="pct"/>
                  <w:tcBorders>
                    <w:tl2br w:val="nil"/>
                    <w:tr2bl w:val="nil"/>
                  </w:tcBorders>
                  <w:vAlign w:val="center"/>
                </w:tcPr>
                <w:p w14:paraId="7242642A">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eastAsia" w:cs="Times New Roman"/>
                      <w:color w:val="auto"/>
                      <w:sz w:val="21"/>
                      <w:szCs w:val="21"/>
                      <w:highlight w:val="none"/>
                      <w:lang w:val="en-US" w:eastAsia="zh-CN"/>
                    </w:rPr>
                    <w:t>主要是</w:t>
                  </w:r>
                  <w:r>
                    <w:rPr>
                      <w:rFonts w:hint="default" w:ascii="Times New Roman" w:hAnsi="Times New Roman" w:cs="Times New Roman"/>
                      <w:color w:val="auto"/>
                      <w:sz w:val="21"/>
                      <w:szCs w:val="21"/>
                      <w:highlight w:val="none"/>
                      <w:lang w:eastAsia="zh-CN"/>
                    </w:rPr>
                    <w:t>一般工业固体废物分拣、压实</w:t>
                  </w:r>
                  <w:r>
                    <w:rPr>
                      <w:rFonts w:hint="default" w:ascii="Times New Roman" w:hAnsi="Times New Roman" w:cs="Times New Roman"/>
                      <w:color w:val="auto"/>
                      <w:sz w:val="21"/>
                      <w:szCs w:val="21"/>
                      <w:highlight w:val="none"/>
                    </w:rPr>
                    <w:t>，不属于电力、建材、冶炼等重点耗能行业，不涉及水电、风电、矿产资源开发。项目能源使用</w:t>
                  </w:r>
                  <w:r>
                    <w:rPr>
                      <w:rFonts w:hint="default" w:ascii="Times New Roman" w:hAnsi="Times New Roman" w:cs="Times New Roman"/>
                      <w:color w:val="auto"/>
                      <w:sz w:val="21"/>
                      <w:szCs w:val="21"/>
                      <w:highlight w:val="none"/>
                      <w:lang w:val="en-US" w:eastAsia="zh-CN"/>
                    </w:rPr>
                    <w:t>电源</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电源</w:t>
                  </w:r>
                  <w:r>
                    <w:rPr>
                      <w:rFonts w:hint="default" w:ascii="Times New Roman" w:hAnsi="Times New Roman" w:cs="Times New Roman"/>
                      <w:color w:val="auto"/>
                      <w:sz w:val="21"/>
                      <w:szCs w:val="21"/>
                      <w:highlight w:val="none"/>
                    </w:rPr>
                    <w:t>属于清洁能源。</w:t>
                  </w:r>
                </w:p>
              </w:tc>
              <w:tc>
                <w:tcPr>
                  <w:tcW w:w="261" w:type="pct"/>
                  <w:tcBorders>
                    <w:tl2br w:val="nil"/>
                    <w:tr2bl w:val="nil"/>
                  </w:tcBorders>
                  <w:vAlign w:val="center"/>
                </w:tcPr>
                <w:p w14:paraId="59C11451">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48FE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1F61CC1D">
                  <w:pPr>
                    <w:pStyle w:val="19"/>
                    <w:keepNext/>
                    <w:pageBreakBefore w:val="0"/>
                    <w:spacing w:line="240" w:lineRule="auto"/>
                    <w:ind w:firstLine="480"/>
                    <w:jc w:val="center"/>
                    <w:rPr>
                      <w:rFonts w:hint="default" w:ascii="Times New Roman" w:hAnsi="Times New Roman" w:cs="Times New Roman"/>
                      <w:b/>
                      <w:bCs/>
                      <w:color w:val="auto"/>
                      <w:sz w:val="21"/>
                      <w:szCs w:val="21"/>
                      <w:highlight w:val="none"/>
                    </w:rPr>
                  </w:pPr>
                </w:p>
              </w:tc>
              <w:tc>
                <w:tcPr>
                  <w:tcW w:w="567" w:type="pct"/>
                  <w:tcBorders>
                    <w:tl2br w:val="nil"/>
                    <w:tr2bl w:val="nil"/>
                  </w:tcBorders>
                  <w:vAlign w:val="center"/>
                </w:tcPr>
                <w:p w14:paraId="79FF22F9">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val="0"/>
                      <w:bCs w:val="0"/>
                      <w:color w:val="auto"/>
                      <w:sz w:val="21"/>
                      <w:szCs w:val="21"/>
                      <w:highlight w:val="none"/>
                    </w:rPr>
                    <w:t>污染物排放管控</w:t>
                  </w:r>
                </w:p>
              </w:tc>
              <w:tc>
                <w:tcPr>
                  <w:tcW w:w="2409" w:type="pct"/>
                  <w:tcBorders>
                    <w:tl2br w:val="nil"/>
                    <w:tr2bl w:val="nil"/>
                  </w:tcBorders>
                  <w:vAlign w:val="center"/>
                </w:tcPr>
                <w:p w14:paraId="007ABC70">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3ABEB308">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40F55C8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672070F2">
                  <w:pPr>
                    <w:pStyle w:val="19"/>
                    <w:keepNext/>
                    <w:pageBreakBefore w:val="0"/>
                    <w:spacing w:line="240" w:lineRule="auto"/>
                    <w:ind w:firstLine="480"/>
                    <w:jc w:val="left"/>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1554" w:type="pct"/>
                  <w:tcBorders>
                    <w:tl2br w:val="nil"/>
                    <w:tr2bl w:val="nil"/>
                  </w:tcBorders>
                  <w:vAlign w:val="center"/>
                </w:tcPr>
                <w:p w14:paraId="731B54B9">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，不属于造纸、焦化、有色金属、印染、农副食品加工、原料药制造、制革、农药、电镀等行业，不属于“两高”项目。</w:t>
                  </w:r>
                  <w:r>
                    <w:rPr>
                      <w:rFonts w:hint="default" w:ascii="Times New Roman" w:hAnsi="Times New Roman" w:cs="Times New Roman"/>
                      <w:color w:val="auto"/>
                      <w:sz w:val="21"/>
                      <w:szCs w:val="21"/>
                      <w:highlight w:val="none"/>
                      <w:lang w:val="en-US" w:eastAsia="zh-CN"/>
                    </w:rPr>
                    <w:t>项目产生的废气为颗粒物、</w:t>
                  </w:r>
                  <w:r>
                    <w:rPr>
                      <w:rFonts w:hint="eastAsia" w:cs="Times New Roman"/>
                      <w:color w:val="auto"/>
                      <w:sz w:val="21"/>
                      <w:szCs w:val="21"/>
                      <w:highlight w:val="none"/>
                      <w:lang w:val="en-US" w:eastAsia="zh-CN"/>
                    </w:rPr>
                    <w:t>臭气</w:t>
                  </w:r>
                  <w:r>
                    <w:rPr>
                      <w:rFonts w:hint="default" w:ascii="Times New Roman" w:hAnsi="Times New Roman" w:cs="Times New Roman"/>
                      <w:color w:val="auto"/>
                      <w:sz w:val="21"/>
                      <w:szCs w:val="21"/>
                      <w:highlight w:val="none"/>
                    </w:rPr>
                    <w:t>。项目所在地不涉及饮用水水源保护区，</w:t>
                  </w:r>
                  <w:r>
                    <w:rPr>
                      <w:rFonts w:hint="eastAsia" w:cs="Times New Roman"/>
                      <w:color w:val="auto"/>
                      <w:sz w:val="21"/>
                      <w:szCs w:val="21"/>
                      <w:highlight w:val="none"/>
                      <w:lang w:val="en-US" w:eastAsia="zh-CN"/>
                    </w:rPr>
                    <w:t>且本项目不设卫生间，无生活废水、生产废水产生</w:t>
                  </w:r>
                  <w:r>
                    <w:rPr>
                      <w:rFonts w:hint="default" w:ascii="Times New Roman" w:hAnsi="Times New Roman" w:cs="Times New Roman"/>
                      <w:color w:val="auto"/>
                      <w:sz w:val="21"/>
                      <w:szCs w:val="21"/>
                      <w:highlight w:val="none"/>
                    </w:rPr>
                    <w:t>。</w:t>
                  </w:r>
                </w:p>
              </w:tc>
              <w:tc>
                <w:tcPr>
                  <w:tcW w:w="261" w:type="pct"/>
                  <w:tcBorders>
                    <w:tl2br w:val="nil"/>
                    <w:tr2bl w:val="nil"/>
                  </w:tcBorders>
                  <w:vAlign w:val="center"/>
                </w:tcPr>
                <w:p w14:paraId="7B68438C">
                  <w:pPr>
                    <w:pStyle w:val="19"/>
                    <w:keepNext/>
                    <w:pageBreakBefore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112E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A11CF92">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7E35988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环境风险管控</w:t>
                  </w:r>
                </w:p>
              </w:tc>
              <w:tc>
                <w:tcPr>
                  <w:tcW w:w="2409" w:type="pct"/>
                  <w:tcBorders>
                    <w:tl2br w:val="nil"/>
                    <w:tr2bl w:val="nil"/>
                  </w:tcBorders>
                  <w:vAlign w:val="center"/>
                </w:tcPr>
                <w:p w14:paraId="7545C116">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1554" w:type="pct"/>
                  <w:tcBorders>
                    <w:tl2br w:val="nil"/>
                    <w:tr2bl w:val="nil"/>
                  </w:tcBorders>
                  <w:vAlign w:val="center"/>
                </w:tcPr>
                <w:p w14:paraId="7366D110">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261" w:type="pct"/>
                  <w:tcBorders>
                    <w:tl2br w:val="nil"/>
                    <w:tr2bl w:val="nil"/>
                  </w:tcBorders>
                  <w:vAlign w:val="center"/>
                </w:tcPr>
                <w:p w14:paraId="464FED4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613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restart"/>
                  <w:tcBorders>
                    <w:tl2br w:val="nil"/>
                    <w:tr2bl w:val="nil"/>
                  </w:tcBorders>
                  <w:vAlign w:val="center"/>
                </w:tcPr>
                <w:p w14:paraId="7A863F02">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生态环境准入清单</w:t>
                  </w:r>
                </w:p>
              </w:tc>
              <w:tc>
                <w:tcPr>
                  <w:tcW w:w="567" w:type="pct"/>
                  <w:tcBorders>
                    <w:tl2br w:val="nil"/>
                    <w:tr2bl w:val="nil"/>
                  </w:tcBorders>
                  <w:vAlign w:val="center"/>
                </w:tcPr>
                <w:p w14:paraId="45EABCEA">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区域布局管控</w:t>
                  </w:r>
                </w:p>
              </w:tc>
              <w:tc>
                <w:tcPr>
                  <w:tcW w:w="2409" w:type="pct"/>
                  <w:tcBorders>
                    <w:tl2br w:val="nil"/>
                    <w:tr2bl w:val="nil"/>
                  </w:tcBorders>
                  <w:vAlign w:val="center"/>
                </w:tcPr>
                <w:p w14:paraId="1D89928C">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1-1.【产业/鼓励引导类】重点发展现代轻工产业（消费电子等）、先进装备制造业等产业，优先引进无污染物或轻污染项目。</w:t>
                  </w:r>
                </w:p>
                <w:p w14:paraId="2E5BEE3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1-2.【产业/禁止类】园区禁止引入专业电镀、化学制浆、鞣革等水污染物排放量大或排放一类污染物、持久性有机污染物的项目。</w:t>
                  </w:r>
                </w:p>
                <w:p w14:paraId="0C4DDA32">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1-3.【产业/限制类】严格限制不符合园区发展定位的项目入驻。</w:t>
                  </w:r>
                </w:p>
                <w:p w14:paraId="17C4C468">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1-4.【产业/综合类】居民区、学校等环境敏感点邻近地块优先布局废气排放量小、工业噪声影响小的产业。</w:t>
                  </w:r>
                </w:p>
              </w:tc>
              <w:tc>
                <w:tcPr>
                  <w:tcW w:w="1554" w:type="pct"/>
                  <w:tcBorders>
                    <w:tl2br w:val="nil"/>
                    <w:tr2bl w:val="nil"/>
                  </w:tcBorders>
                  <w:vAlign w:val="center"/>
                </w:tcPr>
                <w:p w14:paraId="75587CA3">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，不属于专业电镀、化学制浆、鞣革等水污染物排放量大或排放一类污染物、持久性有机污染物的项目；项目符合园区发展定位；周边无居民区、学校等敏感点。</w:t>
                  </w:r>
                </w:p>
              </w:tc>
              <w:tc>
                <w:tcPr>
                  <w:tcW w:w="261" w:type="pct"/>
                  <w:tcBorders>
                    <w:tl2br w:val="nil"/>
                    <w:tr2bl w:val="nil"/>
                  </w:tcBorders>
                  <w:vAlign w:val="center"/>
                </w:tcPr>
                <w:p w14:paraId="0BE92EBF">
                  <w:pPr>
                    <w:pStyle w:val="19"/>
                    <w:keepNext/>
                    <w:pageBreakBefore w:val="0"/>
                    <w:spacing w:line="240" w:lineRule="auto"/>
                    <w:ind w:right="86" w:rightChars="36"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4F5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55070D8">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45173DC1">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409" w:type="pct"/>
                  <w:tcBorders>
                    <w:tl2br w:val="nil"/>
                    <w:tr2bl w:val="nil"/>
                  </w:tcBorders>
                  <w:vAlign w:val="center"/>
                </w:tcPr>
                <w:p w14:paraId="058D344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2-1.【能源/鼓励引导类】园区内能源结构应以电能、燃气等清洁能源为主。</w:t>
                  </w:r>
                </w:p>
                <w:p w14:paraId="25638912">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2-2.【水资源/综合类】提高园区水资源利用效率，加快中水回用系统建设。</w:t>
                  </w:r>
                </w:p>
                <w:p w14:paraId="3AD567CB">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2-3.【其他/综合类】有行业清洁生产标准的新引进项目清洁生产水平须达到本行业国内先进水平。</w:t>
                  </w:r>
                </w:p>
              </w:tc>
              <w:tc>
                <w:tcPr>
                  <w:tcW w:w="1554" w:type="pct"/>
                  <w:tcBorders>
                    <w:tl2br w:val="nil"/>
                    <w:tr2bl w:val="nil"/>
                  </w:tcBorders>
                  <w:vAlign w:val="center"/>
                </w:tcPr>
                <w:p w14:paraId="4AE25383">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eastAsia="zh-CN"/>
                    </w:rPr>
                    <w:t>是</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项目产生的废气</w:t>
                  </w:r>
                  <w:r>
                    <w:rPr>
                      <w:rFonts w:hint="eastAsia" w:cs="Times New Roman"/>
                      <w:color w:val="auto"/>
                      <w:sz w:val="21"/>
                      <w:szCs w:val="21"/>
                      <w:highlight w:val="none"/>
                      <w:lang w:val="en-US" w:eastAsia="zh-CN"/>
                    </w:rPr>
                    <w:t>通过无组织形式</w:t>
                  </w:r>
                  <w:r>
                    <w:rPr>
                      <w:rFonts w:hint="default" w:ascii="Times New Roman" w:hAnsi="Times New Roman" w:cs="Times New Roman"/>
                      <w:color w:val="auto"/>
                      <w:sz w:val="21"/>
                      <w:szCs w:val="21"/>
                      <w:highlight w:val="none"/>
                      <w:lang w:val="en-US" w:eastAsia="zh-CN"/>
                    </w:rPr>
                    <w:t>排放</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本项目无生产废水产生，且不设卫生间，员工如厕依托乐昌市华轩针织制衣有限公司，产生的生活污水</w:t>
                  </w:r>
                  <w:r>
                    <w:rPr>
                      <w:rFonts w:hint="eastAsia" w:cs="Times New Roman"/>
                      <w:color w:val="auto"/>
                      <w:sz w:val="21"/>
                      <w:szCs w:val="21"/>
                      <w:highlight w:val="none"/>
                      <w:lang w:val="en-US" w:eastAsia="zh-CN"/>
                    </w:rPr>
                    <w:t>依托</w:t>
                  </w:r>
                  <w:r>
                    <w:rPr>
                      <w:rFonts w:hint="default" w:ascii="Times New Roman" w:hAnsi="Times New Roman" w:cs="Times New Roman"/>
                      <w:color w:val="auto"/>
                      <w:sz w:val="21"/>
                      <w:szCs w:val="21"/>
                      <w:highlight w:val="none"/>
                    </w:rPr>
                    <w:t>乐昌市华轩针织制衣有限公司的三级化粪池处理后排入园区污水处理厂。</w:t>
                  </w:r>
                </w:p>
              </w:tc>
              <w:tc>
                <w:tcPr>
                  <w:tcW w:w="261" w:type="pct"/>
                  <w:tcBorders>
                    <w:tl2br w:val="nil"/>
                    <w:tr2bl w:val="nil"/>
                  </w:tcBorders>
                  <w:vAlign w:val="center"/>
                </w:tcPr>
                <w:p w14:paraId="73C997B6">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4F4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F510FFD">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128C16B8">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污染物排放管控</w:t>
                  </w:r>
                </w:p>
              </w:tc>
              <w:tc>
                <w:tcPr>
                  <w:tcW w:w="2409" w:type="pct"/>
                  <w:tcBorders>
                    <w:tl2br w:val="nil"/>
                    <w:tr2bl w:val="nil"/>
                  </w:tcBorders>
                  <w:vAlign w:val="center"/>
                </w:tcPr>
                <w:p w14:paraId="7B68544A">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3-1.【水、大气/限制类】园区各项污染物排放总量不得突破园区规划环评核定的污染物排放总量管控要求。</w:t>
                  </w:r>
                </w:p>
                <w:p w14:paraId="76D47D1C">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3-2.【水/限制类】实行重点重金属污染物（铅、砷、汞、镉、铬）等量替代。严格控制涉重金属及有毒有害污染物排放的项目建设，新建、改建、扩建涉重金属重点行业的项目应明确重金属污染物总量来源。</w:t>
                  </w:r>
                </w:p>
                <w:p w14:paraId="629A2D6E">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3-3.【大气/限制类】新建项目原则上实施氮氧化物、挥发性有机物排放量等量替代。</w:t>
                  </w:r>
                </w:p>
                <w:p w14:paraId="0E75A16F">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3-4.【其它/鼓励引导类】支持危险废物专业收集转运和利用处置单位建设区域性收集网点和贮存设施。</w:t>
                  </w:r>
                </w:p>
              </w:tc>
              <w:tc>
                <w:tcPr>
                  <w:tcW w:w="1554" w:type="pct"/>
                  <w:tcBorders>
                    <w:tl2br w:val="nil"/>
                    <w:tr2bl w:val="nil"/>
                  </w:tcBorders>
                  <w:vAlign w:val="center"/>
                </w:tcPr>
                <w:p w14:paraId="0E803FE0">
                  <w:pPr>
                    <w:pStyle w:val="19"/>
                    <w:keepNext/>
                    <w:pageBreakBefore w:val="0"/>
                    <w:spacing w:line="240" w:lineRule="auto"/>
                    <w:ind w:firstLine="48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val="en-US" w:eastAsia="zh-CN"/>
                    </w:rPr>
                    <w:t>产生的</w:t>
                  </w:r>
                  <w:r>
                    <w:rPr>
                      <w:rFonts w:hint="eastAsia" w:cs="Times New Roman"/>
                      <w:color w:val="auto"/>
                      <w:sz w:val="21"/>
                      <w:szCs w:val="21"/>
                      <w:highlight w:val="none"/>
                      <w:lang w:val="en-US" w:eastAsia="zh-CN"/>
                    </w:rPr>
                    <w:t>颗粒物执行广东省《大气污染物排放限值》（DB44/27-2001）第二时段排放限值，臭气浓度执行《恶臭污染物排放标准》（GB14554-93）中表1恶臭污染物厂界标准值二级新扩改建标准要求。本项目不产生有机废气，无</w:t>
                  </w:r>
                  <w:r>
                    <w:rPr>
                      <w:rFonts w:hint="default" w:ascii="Times New Roman" w:hAnsi="Times New Roman" w:cs="Times New Roman"/>
                      <w:color w:val="auto"/>
                      <w:sz w:val="21"/>
                      <w:szCs w:val="21"/>
                      <w:highlight w:val="none"/>
                    </w:rPr>
                    <w:t>需向韶关市生态环境局乐昌分局申请分配，项目不涉及重金属污染物，危险废物贮存在厂区</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cs="Times New Roman"/>
                      <w:color w:val="auto"/>
                      <w:sz w:val="21"/>
                      <w:szCs w:val="21"/>
                      <w:highlight w:val="none"/>
                    </w:rPr>
                    <w:t>，统一收集后交有资质的单位处理。</w:t>
                  </w:r>
                </w:p>
              </w:tc>
              <w:tc>
                <w:tcPr>
                  <w:tcW w:w="261" w:type="pct"/>
                  <w:tcBorders>
                    <w:tl2br w:val="nil"/>
                    <w:tr2bl w:val="nil"/>
                  </w:tcBorders>
                  <w:vAlign w:val="center"/>
                </w:tcPr>
                <w:p w14:paraId="15D53AF2">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70B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207" w:type="pct"/>
                  <w:vMerge w:val="continue"/>
                  <w:tcBorders>
                    <w:tl2br w:val="nil"/>
                    <w:tr2bl w:val="nil"/>
                  </w:tcBorders>
                  <w:vAlign w:val="center"/>
                </w:tcPr>
                <w:p w14:paraId="73BDCC19">
                  <w:pPr>
                    <w:pStyle w:val="19"/>
                    <w:keepNext/>
                    <w:pageBreakBefore w:val="0"/>
                    <w:spacing w:line="240" w:lineRule="auto"/>
                    <w:ind w:right="86" w:rightChars="36" w:firstLine="480"/>
                    <w:jc w:val="center"/>
                    <w:rPr>
                      <w:rFonts w:hint="default" w:ascii="Times New Roman" w:hAnsi="Times New Roman" w:cs="Times New Roman"/>
                      <w:color w:val="auto"/>
                      <w:sz w:val="21"/>
                      <w:szCs w:val="21"/>
                      <w:highlight w:val="none"/>
                    </w:rPr>
                  </w:pPr>
                </w:p>
              </w:tc>
              <w:tc>
                <w:tcPr>
                  <w:tcW w:w="567" w:type="pct"/>
                  <w:tcBorders>
                    <w:tl2br w:val="nil"/>
                    <w:tr2bl w:val="nil"/>
                  </w:tcBorders>
                  <w:vAlign w:val="center"/>
                </w:tcPr>
                <w:p w14:paraId="0E4996E6">
                  <w:pPr>
                    <w:pStyle w:val="19"/>
                    <w:keepNext/>
                    <w:pageBreakBefore w:val="0"/>
                    <w:spacing w:line="240" w:lineRule="auto"/>
                    <w:ind w:right="86" w:rightChars="36" w:firstLine="0" w:firstLineChars="0"/>
                    <w:jc w:val="both"/>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环境风险防控</w:t>
                  </w:r>
                </w:p>
              </w:tc>
              <w:tc>
                <w:tcPr>
                  <w:tcW w:w="2409" w:type="pct"/>
                  <w:tcBorders>
                    <w:tl2br w:val="nil"/>
                    <w:tr2bl w:val="nil"/>
                  </w:tcBorders>
                  <w:vAlign w:val="center"/>
                </w:tcPr>
                <w:p w14:paraId="582A9A31">
                  <w:pPr>
                    <w:pStyle w:val="19"/>
                    <w:keepNext/>
                    <w:pageBreakBefore w:val="0"/>
                    <w:spacing w:line="240" w:lineRule="auto"/>
                    <w:ind w:firstLine="48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default" w:ascii="Times New Roman" w:hAnsi="Times New Roman" w:cs="Times New Roman"/>
                      <w:color w:val="auto"/>
                      <w:sz w:val="21"/>
                      <w:szCs w:val="21"/>
                      <w:highlight w:val="none"/>
                      <w:lang w:eastAsia="zh-CN"/>
                    </w:rPr>
                    <w:t>水</w:t>
                  </w:r>
                  <w:r>
                    <w:rPr>
                      <w:rFonts w:hint="default" w:ascii="Times New Roman" w:hAnsi="Times New Roman" w:cs="Times New Roman"/>
                      <w:color w:val="auto"/>
                      <w:sz w:val="21"/>
                      <w:szCs w:val="21"/>
                      <w:highlight w:val="none"/>
                    </w:rPr>
                    <w:t>处理厂设置足够容积的事故应急池，纳污水体设置水质监控断面，发现问题，及时采取限制废水排放等措施。</w:t>
                  </w:r>
                </w:p>
              </w:tc>
              <w:tc>
                <w:tcPr>
                  <w:tcW w:w="1554" w:type="pct"/>
                  <w:tcBorders>
                    <w:tl2br w:val="nil"/>
                    <w:tr2bl w:val="nil"/>
                  </w:tcBorders>
                  <w:vAlign w:val="center"/>
                </w:tcPr>
                <w:p w14:paraId="47BE56DE">
                  <w:pPr>
                    <w:pStyle w:val="19"/>
                    <w:keepNext/>
                    <w:pageBreakBefore w:val="0"/>
                    <w:spacing w:line="240" w:lineRule="auto"/>
                    <w:ind w:firstLine="48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项目位于广东乐昌经济开发区内，广东乐昌经济开发区已完善相关环保手续，并制定了事故风险防范和应急措施，能够满足项目环境风险防控的要求。</w:t>
                  </w:r>
                </w:p>
              </w:tc>
              <w:tc>
                <w:tcPr>
                  <w:tcW w:w="261" w:type="pct"/>
                  <w:tcBorders>
                    <w:tl2br w:val="nil"/>
                    <w:tr2bl w:val="nil"/>
                  </w:tcBorders>
                  <w:vAlign w:val="center"/>
                </w:tcPr>
                <w:p w14:paraId="1885AF1D">
                  <w:pPr>
                    <w:pStyle w:val="19"/>
                    <w:keepNext/>
                    <w:pageBreakBefore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75C2B2E2">
            <w:pPr>
              <w:pStyle w:val="19"/>
              <w:keepNext/>
              <w:pageBreakBefore w:val="0"/>
              <w:ind w:firstLineChars="200"/>
              <w:jc w:val="left"/>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sz w:val="24"/>
                <w:highlight w:val="none"/>
              </w:rPr>
              <w:t>综上，项目符合韶关市人民政府关于印发《韶关市“三线一单”生态环境分区管控方案的通知》的通知（韶府〔2021〕10号）</w:t>
            </w:r>
            <w:r>
              <w:rPr>
                <w:rFonts w:hint="eastAsia" w:cs="Times New Roman"/>
                <w:b w:val="0"/>
                <w:bCs w:val="0"/>
                <w:color w:val="auto"/>
                <w:sz w:val="24"/>
                <w:highlight w:val="none"/>
                <w:lang w:eastAsia="zh-CN"/>
              </w:rPr>
              <w:t>、</w:t>
            </w:r>
            <w:r>
              <w:rPr>
                <w:rFonts w:hint="eastAsia" w:cs="Times New Roman"/>
                <w:b w:val="0"/>
                <w:bCs w:val="0"/>
                <w:color w:val="auto"/>
                <w:sz w:val="24"/>
                <w:highlight w:val="none"/>
                <w:lang w:val="en-US" w:eastAsia="zh-CN"/>
              </w:rPr>
              <w:t>韶关市生态环境局</w:t>
            </w:r>
            <w:r>
              <w:rPr>
                <w:rFonts w:hint="eastAsia" w:cs="Times New Roman"/>
                <w:b w:val="0"/>
                <w:bCs w:val="0"/>
                <w:color w:val="auto"/>
                <w:sz w:val="24"/>
                <w:highlight w:val="none"/>
                <w:lang w:eastAsia="zh-CN"/>
              </w:rPr>
              <w:t>《韶关市生态环境分区管控动态更新成果》</w:t>
            </w:r>
            <w:r>
              <w:rPr>
                <w:rFonts w:hint="default" w:ascii="Times New Roman" w:hAnsi="Times New Roman" w:cs="Times New Roman"/>
                <w:b w:val="0"/>
                <w:bCs w:val="0"/>
                <w:color w:val="auto"/>
                <w:sz w:val="24"/>
                <w:highlight w:val="none"/>
              </w:rPr>
              <w:t>的相关要求。</w:t>
            </w:r>
          </w:p>
          <w:p w14:paraId="4AD9D493">
            <w:pPr>
              <w:pStyle w:val="19"/>
              <w:keepNext/>
              <w:keepLines w:val="0"/>
              <w:pageBreakBefore w:val="0"/>
              <w:ind w:left="-2" w:firstLineChars="200"/>
              <w:outlineLvl w:val="2"/>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六、相关规划相符性分析</w:t>
            </w:r>
          </w:p>
          <w:p w14:paraId="54195E87">
            <w:pPr>
              <w:pStyle w:val="19"/>
              <w:keepNext/>
              <w:keepLines w:val="0"/>
              <w:pageBreakBefore w:val="0"/>
              <w:ind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1、《关于印发&lt;广东省生态环境保护“十四五”规划&gt;的通知》（粤环〔2021〕10号）</w:t>
            </w:r>
          </w:p>
          <w:p w14:paraId="62C7604E">
            <w:pPr>
              <w:pStyle w:val="2"/>
              <w:keepNext/>
              <w:keepLines w:val="0"/>
              <w:pageBreakBefore w:val="0"/>
              <w:suppressLineNumbers w:val="0"/>
              <w:autoSpaceDE/>
              <w:autoSpaceDN/>
              <w:adjustRightInd/>
              <w:spacing w:before="0" w:beforeAutospacing="0" w:after="0" w:afterAutospacing="0"/>
              <w:ind w:left="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《广东省生态环境厅关于印发&lt;广东省生态环境保护“十四五”规划&gt;的通知》（粤环</w:t>
            </w:r>
            <w:r>
              <w:rPr>
                <w:rFonts w:hint="default" w:ascii="Times New Roman" w:hAnsi="Times New Roman" w:cs="Times New Roman"/>
                <w:color w:val="auto"/>
                <w:highlight w:val="none"/>
                <w:lang w:eastAsia="zh-CN"/>
              </w:rPr>
              <w:t>〔2021〕10号</w:t>
            </w:r>
            <w:r>
              <w:rPr>
                <w:rFonts w:hint="default" w:ascii="Times New Roman" w:hAnsi="Times New Roman" w:cs="Times New Roman"/>
                <w:color w:val="auto"/>
                <w:highlight w:val="none"/>
              </w:rPr>
              <w:t>）提出，“大力推进挥发性有机物（VOCs）源头控制和重点行业深度治理。开展原油、成品油、有机化学品等涉VOCs物料储罐排查，深化重点行业VOCs排放基数调查，系统掌握工业源VOCs产生、处理、排放及分布情况，分类建立台账，实施VOCs精细化管理。在石化、化工、包装印刷、工业涂装等重点行业建立完善源头、过程和末端的VOCs全过程控制体系。大力推进低VOCs含量原辅材料源头替代，严格落实国家和地方产品VOCs含量限值质量标准，禁止建设生产和使用高VOCs含量的溶剂型涂料、油墨、胶粘剂等项目。严格实施VOCs排放企业分级管控，全面推进涉VOCs排放企业深度治理。开展中小型企业废气收集和治理设施建设、运行情况的评估，强化对企业涉VOCs生产车间/工序废气的收集管理，推动企业开展治理设施升级改造。推进工业园区、企业集群因地制宜统筹规划建设一批集中喷涂中心（共性工厂）、活性炭集中再生中心，实现VOCs集中高效处理。开展无组织排放源排查，加强VOCs物料全方位、全链条、全环节密闭管理，深入推进泄漏检测与修复（LDAR）工作。”</w:t>
            </w:r>
          </w:p>
          <w:p w14:paraId="6887535D">
            <w:pPr>
              <w:pStyle w:val="21"/>
              <w:keepNext/>
              <w:pageBreakBefore w:val="0"/>
              <w:ind w:firstLine="48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本项目为</w:t>
            </w:r>
            <w:r>
              <w:rPr>
                <w:rFonts w:hint="default" w:ascii="Times New Roman" w:hAnsi="Times New Roman" w:cs="Times New Roman"/>
                <w:color w:val="auto"/>
                <w:highlight w:val="none"/>
                <w:lang w:val="en-US" w:eastAsia="zh-CN"/>
              </w:rPr>
              <w:t>一般工业固体废物分拣、压实</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不产生</w:t>
            </w:r>
            <w:r>
              <w:rPr>
                <w:rFonts w:hint="default" w:ascii="Times New Roman" w:hAnsi="Times New Roman" w:cs="Times New Roman"/>
                <w:color w:val="auto"/>
                <w:sz w:val="24"/>
                <w:szCs w:val="24"/>
                <w:highlight w:val="none"/>
              </w:rPr>
              <w:t>VOCs。</w:t>
            </w:r>
          </w:p>
          <w:p w14:paraId="68936D96">
            <w:pPr>
              <w:pStyle w:val="19"/>
              <w:keepNext/>
              <w:keepLines w:val="0"/>
              <w:pageBreakBefore w:val="0"/>
              <w:widowControl w:val="0"/>
              <w:kinsoku/>
              <w:wordWrap/>
              <w:overflowPunct/>
              <w:topLinePunct w:val="0"/>
              <w:autoSpaceDE/>
              <w:autoSpaceDN/>
              <w:bidi w:val="0"/>
              <w:adjustRightInd/>
              <w:snapToGrid/>
              <w:spacing w:line="360" w:lineRule="auto"/>
              <w:ind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w:t>
            </w:r>
            <w:r>
              <w:rPr>
                <w:rFonts w:hint="eastAsia" w:cs="Times New Roman"/>
                <w:color w:val="auto"/>
                <w:sz w:val="24"/>
                <w:szCs w:val="24"/>
                <w:highlight w:val="none"/>
                <w:lang w:val="en-US" w:eastAsia="zh-CN"/>
              </w:rPr>
              <w:t>项目</w:t>
            </w:r>
            <w:r>
              <w:rPr>
                <w:rFonts w:hint="default" w:ascii="Times New Roman" w:hAnsi="Times New Roman" w:eastAsia="宋体" w:cs="Times New Roman"/>
                <w:color w:val="auto"/>
                <w:sz w:val="24"/>
                <w:szCs w:val="24"/>
                <w:highlight w:val="none"/>
                <w:lang w:eastAsia="zh-CN"/>
              </w:rPr>
              <w:t>使用清洁能源</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电能</w:t>
            </w:r>
            <w:r>
              <w:rPr>
                <w:rFonts w:hint="default" w:ascii="Times New Roman" w:hAnsi="Times New Roman" w:eastAsia="宋体" w:cs="Times New Roman"/>
                <w:color w:val="auto"/>
                <w:sz w:val="24"/>
                <w:szCs w:val="24"/>
                <w:highlight w:val="none"/>
              </w:rPr>
              <w:t>。因此，本项目符合《广东省生态环境保护“十四五”规划》（粤环﹝2021﹞10号）中的相关规定。</w:t>
            </w:r>
          </w:p>
          <w:p w14:paraId="29E1A2CA">
            <w:pPr>
              <w:pStyle w:val="19"/>
              <w:keepNext/>
              <w:pageBreakBefore w:val="0"/>
              <w:ind w:firstLine="48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2、《韶关市人民政府办公室关于印发&lt;韶关市生态环境保护“十四五”规划&gt;的通知》（韶府办〔2022〕1号）</w:t>
            </w:r>
          </w:p>
          <w:p w14:paraId="6E12750F">
            <w:pPr>
              <w:pStyle w:val="19"/>
              <w:keepNext/>
              <w:pageBreakBefore w:val="0"/>
              <w:widowControl/>
              <w:ind w:firstLineChars="2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616911AD">
            <w:pPr>
              <w:pStyle w:val="21"/>
              <w:keepNext/>
              <w:pageBreakBefore w:val="0"/>
              <w:ind w:firstLine="48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项目不涉及锅炉，</w:t>
            </w:r>
            <w:r>
              <w:rPr>
                <w:rFonts w:hint="default" w:ascii="Times New Roman" w:hAnsi="Times New Roman" w:cs="Times New Roman"/>
                <w:color w:val="auto"/>
                <w:sz w:val="24"/>
                <w:szCs w:val="24"/>
                <w:highlight w:val="none"/>
                <w:lang w:eastAsia="zh-CN"/>
              </w:rPr>
              <w:t>设备均采用电能清洁能源。</w:t>
            </w:r>
            <w:r>
              <w:rPr>
                <w:rFonts w:hint="eastAsia" w:cs="Times New Roman"/>
                <w:color w:val="auto"/>
                <w:sz w:val="24"/>
                <w:szCs w:val="24"/>
                <w:highlight w:val="none"/>
                <w:lang w:val="en-US" w:eastAsia="zh-CN"/>
              </w:rPr>
              <w:t>项目不产生</w:t>
            </w:r>
            <w:r>
              <w:rPr>
                <w:rFonts w:hint="default" w:ascii="Times New Roman" w:hAnsi="Times New Roman" w:cs="Times New Roman"/>
                <w:color w:val="auto"/>
                <w:sz w:val="24"/>
                <w:szCs w:val="24"/>
                <w:highlight w:val="none"/>
              </w:rPr>
              <w:t>非甲烷总烃</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产生的臭气浓度以无组织形式排放</w:t>
            </w:r>
            <w:r>
              <w:rPr>
                <w:rFonts w:hint="default" w:ascii="Times New Roman" w:hAnsi="Times New Roman" w:cs="Times New Roman"/>
                <w:color w:val="auto"/>
                <w:sz w:val="24"/>
                <w:szCs w:val="24"/>
                <w:highlight w:val="none"/>
              </w:rPr>
              <w:t>。</w:t>
            </w:r>
          </w:p>
          <w:p w14:paraId="0F6CE96E">
            <w:pPr>
              <w:pStyle w:val="19"/>
              <w:keepNext/>
              <w:pageBreakBefore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项目产生的工业固体废物均得到妥善处置。故本项目与韶关市人民政府办公室《关于印发&lt;韶关市生态环境保护“十四五”规划&gt;的通知》（韶府办〔2022〕1号）相符。</w:t>
            </w:r>
          </w:p>
          <w:p w14:paraId="7007285C">
            <w:pPr>
              <w:pStyle w:val="19"/>
              <w:keepNext/>
              <w:pageBreakBefore w:val="0"/>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3、《乐昌市人民政府办公室关于印发&lt;乐昌市生态环境保护“十四五”规划的通知》（乐府办〔2022〕16号）</w:t>
            </w:r>
          </w:p>
          <w:p w14:paraId="07740A1A">
            <w:pPr>
              <w:pStyle w:val="19"/>
              <w:keepNext/>
              <w:pageBreakBefore w:val="0"/>
              <w:ind w:firstLineChars="20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深化重点污染源治理，推进污染物减排。在水泥、化工、火电等行业全面执行大气污染物特别排放限值。逐步推进水泥行业实施超低排放改造，力争到2025年全市水泥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熟料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制造企业的水泥窑及窑尾余热利用系统烟气NOx排放浓度不高于100mg/m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38C06372">
            <w:pPr>
              <w:pStyle w:val="21"/>
              <w:keepNext/>
              <w:pageBreakBefore w:val="0"/>
              <w:ind w:firstLine="480"/>
              <w:jc w:val="left"/>
              <w:rPr>
                <w:rFonts w:hint="default" w:ascii="Times New Roman" w:hAnsi="Times New Roman" w:cs="Times New Roman"/>
                <w:color w:val="auto"/>
                <w:sz w:val="24"/>
                <w:szCs w:val="28"/>
                <w:highlight w:val="none"/>
              </w:rPr>
            </w:pPr>
            <w:r>
              <w:rPr>
                <w:rFonts w:hint="default" w:ascii="Times New Roman" w:hAnsi="Times New Roman" w:cs="Times New Roman"/>
                <w:color w:val="auto"/>
                <w:sz w:val="24"/>
                <w:szCs w:val="24"/>
                <w:highlight w:val="none"/>
              </w:rPr>
              <w:t>项目不涉及锅炉，</w:t>
            </w:r>
            <w:r>
              <w:rPr>
                <w:rFonts w:hint="default" w:ascii="Times New Roman" w:hAnsi="Times New Roman" w:cs="Times New Roman"/>
                <w:color w:val="auto"/>
                <w:sz w:val="24"/>
                <w:szCs w:val="24"/>
                <w:highlight w:val="none"/>
                <w:lang w:eastAsia="zh-CN"/>
              </w:rPr>
              <w:t>设备均采用电能清洁能源。</w:t>
            </w:r>
            <w:r>
              <w:rPr>
                <w:rFonts w:hint="eastAsia" w:cs="Times New Roman"/>
                <w:color w:val="auto"/>
                <w:sz w:val="24"/>
                <w:szCs w:val="24"/>
                <w:highlight w:val="none"/>
                <w:lang w:val="en-US" w:eastAsia="zh-CN"/>
              </w:rPr>
              <w:t>项目不产生</w:t>
            </w:r>
            <w:r>
              <w:rPr>
                <w:rFonts w:hint="default" w:ascii="Times New Roman" w:hAnsi="Times New Roman" w:cs="Times New Roman"/>
                <w:color w:val="auto"/>
                <w:sz w:val="24"/>
                <w:szCs w:val="24"/>
                <w:highlight w:val="none"/>
              </w:rPr>
              <w:t>非甲烷总烃</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产生的臭气浓度以无组织形式排放</w:t>
            </w:r>
            <w:r>
              <w:rPr>
                <w:rFonts w:hint="default" w:ascii="Times New Roman" w:hAnsi="Times New Roman" w:cs="Times New Roman"/>
                <w:color w:val="auto"/>
                <w:sz w:val="24"/>
                <w:szCs w:val="28"/>
                <w:highlight w:val="none"/>
                <w:lang w:val="en-US" w:eastAsia="zh-CN"/>
              </w:rPr>
              <w:t>，</w:t>
            </w:r>
            <w:r>
              <w:rPr>
                <w:rFonts w:hint="default" w:ascii="Times New Roman" w:hAnsi="Times New Roman" w:cs="Times New Roman"/>
                <w:color w:val="auto"/>
                <w:sz w:val="24"/>
                <w:szCs w:val="28"/>
                <w:highlight w:val="none"/>
              </w:rPr>
              <w:t>故本项目与乐昌市人民政府办公室《关于印发&lt;乐昌市生态环境保护“十四五”规划的通知》（乐府办〔2022〕16号）相符。</w:t>
            </w:r>
          </w:p>
          <w:p w14:paraId="04A8AE58">
            <w:pPr>
              <w:keepNext/>
              <w:keepLines w:val="0"/>
              <w:pageBreakBefore w:val="0"/>
              <w:numPr>
                <w:ilvl w:val="0"/>
                <w:numId w:val="7"/>
              </w:numPr>
              <w:suppressLineNumbers w:val="0"/>
              <w:spacing w:before="0" w:beforeAutospacing="0" w:after="0" w:afterAutospacing="0"/>
              <w:ind w:left="0" w:right="0"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与《广东省固体废物污染环境防治条例》的相符性分析</w:t>
            </w:r>
          </w:p>
          <w:p w14:paraId="194E0445">
            <w:pPr>
              <w:pStyle w:val="19"/>
              <w:keepNext/>
              <w:keepLines w:val="0"/>
              <w:pageBreakBefore w:val="0"/>
              <w:suppressLineNumbers w:val="0"/>
              <w:spacing w:before="0" w:beforeAutospacing="0" w:after="0" w:afterAutospacing="0"/>
              <w:ind w:left="0" w:right="86" w:rightChars="36" w:firstLine="420" w:firstLineChars="20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68CA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069018B6">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内容</w:t>
                  </w:r>
                </w:p>
              </w:tc>
              <w:tc>
                <w:tcPr>
                  <w:tcW w:w="3648" w:type="dxa"/>
                </w:tcPr>
                <w:p w14:paraId="234F5BF9">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要求</w:t>
                  </w:r>
                </w:p>
              </w:tc>
              <w:tc>
                <w:tcPr>
                  <w:tcW w:w="3511" w:type="dxa"/>
                </w:tcPr>
                <w:p w14:paraId="29B98072">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相符性分析</w:t>
                  </w:r>
                </w:p>
              </w:tc>
            </w:tr>
            <w:tr w14:paraId="2EE5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C9261E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总则</w:t>
                  </w:r>
                </w:p>
              </w:tc>
              <w:tc>
                <w:tcPr>
                  <w:tcW w:w="3648" w:type="dxa"/>
                </w:tcPr>
                <w:p w14:paraId="1756567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第五条  产生、收集、贮存、运输、利用、处置固体废物的企业事业单位和其他生产经营者，应当采取措施，防止或者减少固体废物污染环境，并依法承担固体废物污染环境防治责任。</w:t>
                  </w:r>
                </w:p>
              </w:tc>
              <w:tc>
                <w:tcPr>
                  <w:tcW w:w="3511" w:type="dxa"/>
                </w:tcPr>
                <w:p w14:paraId="63D4F2B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本项目为一般工业固体废物分拣、压实</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产生的少量颗粒物与臭气浓度，通过加强厂房通风减少环境污染。</w:t>
                  </w:r>
                  <w:r>
                    <w:rPr>
                      <w:rFonts w:hint="default" w:ascii="Times New Roman" w:hAnsi="Times New Roman" w:cs="Times New Roman"/>
                      <w:color w:val="auto"/>
                      <w:sz w:val="21"/>
                      <w:szCs w:val="21"/>
                      <w:highlight w:val="none"/>
                    </w:rPr>
                    <w:t>项目</w:t>
                  </w:r>
                  <w:r>
                    <w:rPr>
                      <w:rFonts w:hint="default" w:ascii="Times New Roman" w:hAnsi="Times New Roman" w:cs="Times New Roman"/>
                      <w:color w:val="auto"/>
                      <w:sz w:val="21"/>
                      <w:szCs w:val="21"/>
                      <w:highlight w:val="none"/>
                      <w:lang w:val="en-US" w:eastAsia="zh-CN"/>
                    </w:rPr>
                    <w:t>产生的</w:t>
                  </w:r>
                  <w:r>
                    <w:rPr>
                      <w:rFonts w:hint="eastAsia" w:cs="Times New Roman"/>
                      <w:color w:val="auto"/>
                      <w:sz w:val="21"/>
                      <w:szCs w:val="21"/>
                      <w:highlight w:val="none"/>
                      <w:lang w:val="en-US" w:eastAsia="zh-CN"/>
                    </w:rPr>
                    <w:t>颗粒物执行广东省《大气污染物排放限值》（DB44/27-2001）第二时段排放限值，臭气浓度执行《恶臭污染物排放标准》（GB14554-93）中表1恶臭污染物厂界标准值二级新扩改建标准要求。</w:t>
                  </w:r>
                </w:p>
              </w:tc>
            </w:tr>
            <w:tr w14:paraId="6C4B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4C8A7A2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固体废物污染环境防治的监督管理</w:t>
                  </w:r>
                </w:p>
              </w:tc>
              <w:tc>
                <w:tcPr>
                  <w:tcW w:w="3648" w:type="dxa"/>
                </w:tcPr>
                <w:p w14:paraId="42931E6D">
                  <w:pPr>
                    <w:pStyle w:val="19"/>
                    <w:keepNext/>
                    <w:keepLines w:val="0"/>
                    <w:pageBreakBefore w:val="0"/>
                    <w:widowControl w:val="0"/>
                    <w:numPr>
                      <w:ilvl w:val="0"/>
                      <w:numId w:val="8"/>
                    </w:numPr>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 xml:space="preserve"> 建设产生固体废物的项目以及建设贮存、利用、处置固体废物的项目，应当依法进行环境影响评价。</w:t>
                  </w:r>
                </w:p>
                <w:p w14:paraId="4A183E09">
                  <w:pPr>
                    <w:pStyle w:val="19"/>
                    <w:keepNext/>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第十三条  建设项目中固体废物污染防治设施应当与主体工程同时设计、同时施工、同时投入使用。固体废物污染防治设施应当符合经批准的环境影响评价文件要求，不得擅自拆除或者闲置。</w:t>
                  </w:r>
                </w:p>
              </w:tc>
              <w:tc>
                <w:tcPr>
                  <w:tcW w:w="3511" w:type="dxa"/>
                </w:tcPr>
                <w:p w14:paraId="4E5D294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本项目将严格按要求进行环境影响评价工作，并按三同时原则建设污染防治设施。</w:t>
                  </w:r>
                </w:p>
              </w:tc>
            </w:tr>
            <w:tr w14:paraId="6B85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tcPr>
                <w:p w14:paraId="190E164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固体废物污染环境的防治</w:t>
                  </w:r>
                </w:p>
              </w:tc>
              <w:tc>
                <w:tcPr>
                  <w:tcW w:w="3648" w:type="dxa"/>
                </w:tcPr>
                <w:p w14:paraId="445949C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第二十条  建设工业固体废物集中贮存、处置以及生活垃圾卫生填埋、焚烧等设施、场所，应当遵守国家和省相关环境保护标准，其选址不得位于自然保护区、风景名胜区、饮用水水源保护区、永久基本农田、生态保护红线范围和其他需要特别保护的区域，与学校、医院、集中居住区等环境敏感目标应当保持防护距离。</w:t>
                  </w:r>
                </w:p>
                <w:p w14:paraId="4DFB405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防护距离应当符合经批准的环境影响评价文件要求。已建固体废物集中收集、贮存、利用、处置设施的防护距离内，不得新建学校、医院、集中居住区等环境敏感目标。</w:t>
                  </w:r>
                </w:p>
              </w:tc>
              <w:tc>
                <w:tcPr>
                  <w:tcW w:w="3511" w:type="dxa"/>
                </w:tcPr>
                <w:p w14:paraId="67A9BCD6">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项目用地为工业用地，不在</w:t>
                  </w:r>
                  <w:r>
                    <w:rPr>
                      <w:rFonts w:hint="eastAsia" w:cs="Times New Roman"/>
                      <w:color w:val="auto"/>
                      <w:sz w:val="21"/>
                      <w:szCs w:val="21"/>
                      <w:highlight w:val="none"/>
                      <w:vertAlign w:val="baseline"/>
                      <w:lang w:val="en-US" w:eastAsia="zh-CN"/>
                    </w:rPr>
                    <w:t>自然</w:t>
                  </w:r>
                  <w:r>
                    <w:rPr>
                      <w:rFonts w:hint="default" w:ascii="Times New Roman" w:hAnsi="Times New Roman" w:cs="Times New Roman"/>
                      <w:color w:val="auto"/>
                      <w:sz w:val="21"/>
                      <w:szCs w:val="21"/>
                      <w:highlight w:val="none"/>
                      <w:vertAlign w:val="baseline"/>
                    </w:rPr>
                    <w:t>保护区、风景名胜区、饮用水水源保护区、永久基本农田、生态保护红线范围和其他需要特别保护的区域</w:t>
                  </w:r>
                </w:p>
                <w:p w14:paraId="5D48ABA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内。</w:t>
                  </w:r>
                </w:p>
              </w:tc>
            </w:tr>
            <w:tr w14:paraId="7174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2B8794D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0C4A8C3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第二十七条  县级以上人民政府生态环境主管部门应当对废弃电器电子产品拆解、利用和处置中的污染防治实施监督管理。</w:t>
                  </w:r>
                </w:p>
                <w:p w14:paraId="0ADA002E">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废弃电器电子产品处理企业资格由地级以上市人民政府生态环境主管部门依法审批。未取得资格的，不得从事废弃电器电子产品拆解、利用、处置经营活动。</w:t>
                  </w:r>
                </w:p>
                <w:p w14:paraId="7F8E2A6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从事废弃电器电子产品拆解、利用、处置经营活动的企业事业单位和其他经营者应当按照国家有关规定和技术规范要求，对废弃电器电子产品进行拆解、利用和处置，防止污染环境。</w:t>
                  </w:r>
                </w:p>
              </w:tc>
              <w:tc>
                <w:tcPr>
                  <w:tcW w:w="3511" w:type="dxa"/>
                </w:tcPr>
                <w:p w14:paraId="67155AF0">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本项目</w:t>
                  </w:r>
                  <w:r>
                    <w:rPr>
                      <w:rFonts w:hint="eastAsia" w:cs="Times New Roman"/>
                      <w:color w:val="auto"/>
                      <w:sz w:val="21"/>
                      <w:szCs w:val="21"/>
                      <w:highlight w:val="none"/>
                      <w:vertAlign w:val="baseline"/>
                      <w:lang w:val="en-US" w:eastAsia="zh-CN"/>
                    </w:rPr>
                    <w:t>不涉及废弃电器电子产品。</w:t>
                  </w:r>
                </w:p>
              </w:tc>
            </w:tr>
          </w:tbl>
          <w:p w14:paraId="56B7FEB0">
            <w:pPr>
              <w:keepNext/>
              <w:keepLines w:val="0"/>
              <w:pageBreakBefore w:val="0"/>
              <w:numPr>
                <w:ilvl w:val="0"/>
                <w:numId w:val="7"/>
              </w:numPr>
              <w:suppressLineNumbers w:val="0"/>
              <w:spacing w:before="0" w:beforeAutospacing="0" w:after="0" w:afterAutospacing="0"/>
              <w:ind w:left="0" w:right="0"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与《</w:t>
            </w:r>
            <w:r>
              <w:rPr>
                <w:rFonts w:hint="eastAsia" w:cs="Times New Roman"/>
                <w:b/>
                <w:bCs/>
                <w:color w:val="auto"/>
                <w:highlight w:val="none"/>
                <w:lang w:val="en-US" w:eastAsia="zh-CN"/>
              </w:rPr>
              <w:t>废塑料污染控制技术规范</w:t>
            </w:r>
            <w:r>
              <w:rPr>
                <w:rFonts w:hint="default" w:ascii="Times New Roman" w:hAnsi="Times New Roman" w:cs="Times New Roman"/>
                <w:b/>
                <w:bCs/>
                <w:color w:val="auto"/>
                <w:highlight w:val="none"/>
              </w:rPr>
              <w:t>》（</w:t>
            </w:r>
            <w:r>
              <w:rPr>
                <w:rFonts w:hint="eastAsia" w:cs="Times New Roman"/>
                <w:b/>
                <w:bCs/>
                <w:color w:val="auto"/>
                <w:highlight w:val="none"/>
                <w:lang w:val="en-US" w:eastAsia="zh-CN"/>
              </w:rPr>
              <w:t>HJ364</w:t>
            </w:r>
            <w:r>
              <w:rPr>
                <w:rFonts w:hint="default" w:ascii="Times New Roman" w:hAnsi="Times New Roman" w:cs="Times New Roman"/>
                <w:b/>
                <w:bCs/>
                <w:color w:val="auto"/>
                <w:highlight w:val="none"/>
              </w:rPr>
              <w:t>-2022）的相符性分析</w:t>
            </w:r>
          </w:p>
          <w:p w14:paraId="677EEAB8">
            <w:pPr>
              <w:pStyle w:val="19"/>
              <w:keepNext/>
              <w:keepLines w:val="0"/>
              <w:pageBreakBefore w:val="0"/>
              <w:suppressLineNumbers w:val="0"/>
              <w:spacing w:before="0" w:beforeAutospacing="0" w:after="0" w:afterAutospacing="0"/>
              <w:ind w:left="0" w:right="86" w:rightChars="36" w:firstLine="420" w:firstLineChars="20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3F96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00C02FB">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内容</w:t>
                  </w:r>
                </w:p>
              </w:tc>
              <w:tc>
                <w:tcPr>
                  <w:tcW w:w="3648" w:type="dxa"/>
                </w:tcPr>
                <w:p w14:paraId="1AC72E7A">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要求</w:t>
                  </w:r>
                </w:p>
              </w:tc>
              <w:tc>
                <w:tcPr>
                  <w:tcW w:w="3511" w:type="dxa"/>
                </w:tcPr>
                <w:p w14:paraId="13E7EF25">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相符性分析</w:t>
                  </w:r>
                </w:p>
              </w:tc>
            </w:tr>
            <w:tr w14:paraId="32C4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0D3F0B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收集和运输污染控制要求</w:t>
                  </w:r>
                </w:p>
              </w:tc>
              <w:tc>
                <w:tcPr>
                  <w:tcW w:w="3648" w:type="dxa"/>
                </w:tcPr>
                <w:p w14:paraId="2FF049A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eastAsia" w:cs="Times New Roman"/>
                      <w:color w:val="auto"/>
                      <w:sz w:val="21"/>
                      <w:szCs w:val="21"/>
                      <w:highlight w:val="none"/>
                      <w:vertAlign w:val="baseline"/>
                      <w:lang w:val="en-US" w:eastAsia="zh-CN"/>
                    </w:rPr>
                    <w:t>6.1</w:t>
                  </w:r>
                  <w:r>
                    <w:rPr>
                      <w:rFonts w:hint="default" w:ascii="Times New Roman" w:hAnsi="Times New Roman" w:cs="Times New Roman"/>
                      <w:color w:val="auto"/>
                      <w:sz w:val="21"/>
                      <w:szCs w:val="21"/>
                      <w:highlight w:val="none"/>
                      <w:vertAlign w:val="baseline"/>
                    </w:rPr>
                    <w:t>收集要求</w:t>
                  </w:r>
                  <w:r>
                    <w:rPr>
                      <w:rFonts w:hint="eastAsia" w:cs="Times New Roman"/>
                      <w:color w:val="auto"/>
                      <w:sz w:val="21"/>
                      <w:szCs w:val="21"/>
                      <w:highlight w:val="none"/>
                      <w:vertAlign w:val="baseline"/>
                      <w:lang w:eastAsia="zh-CN"/>
                    </w:rPr>
                    <w:t>：</w:t>
                  </w:r>
                </w:p>
                <w:p w14:paraId="339792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6.1.1 废塑料收集企业应参照GB/T37547，根据废塑料来源、特性及使用过程对废塑料进行分类收集。</w:t>
                  </w:r>
                </w:p>
                <w:p w14:paraId="5C3D5DC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6.1.2 废塑料收集过程中应避免扬散，不得随意倾倒残液及清洗。</w:t>
                  </w:r>
                </w:p>
                <w:p w14:paraId="394C74F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6.2</w:t>
                  </w:r>
                  <w:r>
                    <w:rPr>
                      <w:rFonts w:hint="default" w:ascii="Times New Roman" w:hAnsi="Times New Roman" w:cs="Times New Roman"/>
                      <w:color w:val="auto"/>
                      <w:sz w:val="21"/>
                      <w:szCs w:val="21"/>
                      <w:highlight w:val="none"/>
                      <w:vertAlign w:val="baseline"/>
                    </w:rPr>
                    <w:t>运输要求</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vertAlign w:val="baseline"/>
                    </w:rPr>
                    <w:t>废塑料及其预处理产物的装卸及运输过程中，应采取必要的防扬散、防渗漏措施，应保持运输车辆的洁净，避免二次污染。</w:t>
                  </w:r>
                </w:p>
              </w:tc>
              <w:tc>
                <w:tcPr>
                  <w:tcW w:w="3511" w:type="dxa"/>
                </w:tcPr>
                <w:p w14:paraId="7BE2A504">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本项目将</w:t>
                  </w:r>
                  <w:r>
                    <w:rPr>
                      <w:rFonts w:hint="default" w:ascii="Times New Roman" w:hAnsi="Times New Roman" w:cs="Times New Roman"/>
                      <w:color w:val="auto"/>
                      <w:sz w:val="21"/>
                      <w:szCs w:val="21"/>
                      <w:highlight w:val="none"/>
                      <w:vertAlign w:val="baseline"/>
                    </w:rPr>
                    <w:t>根据废塑料来源、特性及使用过程对废塑料进行</w:t>
                  </w:r>
                  <w:r>
                    <w:rPr>
                      <w:rFonts w:hint="eastAsia" w:cs="Times New Roman"/>
                      <w:color w:val="auto"/>
                      <w:sz w:val="21"/>
                      <w:szCs w:val="21"/>
                      <w:highlight w:val="none"/>
                      <w:vertAlign w:val="baseline"/>
                      <w:lang w:val="en-US" w:eastAsia="zh-CN"/>
                    </w:rPr>
                    <w:t>分拣、压实</w:t>
                  </w:r>
                  <w:r>
                    <w:rPr>
                      <w:rFonts w:hint="default" w:ascii="Times New Roman" w:hAnsi="Times New Roman" w:cs="Times New Roman"/>
                      <w:color w:val="auto"/>
                      <w:sz w:val="21"/>
                      <w:szCs w:val="21"/>
                      <w:highlight w:val="none"/>
                      <w:vertAlign w:val="baseline"/>
                    </w:rPr>
                    <w:t>。</w:t>
                  </w:r>
                  <w:r>
                    <w:rPr>
                      <w:rFonts w:hint="eastAsia" w:cs="Times New Roman"/>
                      <w:color w:val="auto"/>
                      <w:sz w:val="21"/>
                      <w:szCs w:val="21"/>
                      <w:highlight w:val="none"/>
                      <w:vertAlign w:val="baseline"/>
                      <w:lang w:val="en-US" w:eastAsia="zh-CN"/>
                    </w:rPr>
                    <w:t>在收集过程中避免</w:t>
                  </w:r>
                  <w:r>
                    <w:rPr>
                      <w:rFonts w:hint="default" w:ascii="Times New Roman" w:hAnsi="Times New Roman" w:cs="Times New Roman"/>
                      <w:color w:val="auto"/>
                      <w:sz w:val="21"/>
                      <w:szCs w:val="21"/>
                      <w:highlight w:val="none"/>
                      <w:vertAlign w:val="baseline"/>
                    </w:rPr>
                    <w:t>扬散</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运输废塑料的车辆做到</w:t>
                  </w:r>
                  <w:r>
                    <w:rPr>
                      <w:rFonts w:hint="default" w:ascii="Times New Roman" w:hAnsi="Times New Roman" w:cs="Times New Roman"/>
                      <w:color w:val="auto"/>
                      <w:sz w:val="21"/>
                      <w:szCs w:val="21"/>
                      <w:highlight w:val="none"/>
                      <w:vertAlign w:val="baseline"/>
                    </w:rPr>
                    <w:t>防扬散、防渗漏</w:t>
                  </w:r>
                  <w:r>
                    <w:rPr>
                      <w:rFonts w:hint="eastAsia" w:cs="Times New Roman"/>
                      <w:color w:val="auto"/>
                      <w:sz w:val="21"/>
                      <w:szCs w:val="21"/>
                      <w:highlight w:val="none"/>
                      <w:vertAlign w:val="baseline"/>
                      <w:lang w:eastAsia="zh-CN"/>
                    </w:rPr>
                    <w:t>。</w:t>
                  </w:r>
                </w:p>
              </w:tc>
            </w:tr>
            <w:tr w14:paraId="70F9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restart"/>
                </w:tcPr>
                <w:p w14:paraId="65EBD42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预处理污染控制要求</w:t>
                  </w:r>
                </w:p>
              </w:tc>
              <w:tc>
                <w:tcPr>
                  <w:tcW w:w="3648" w:type="dxa"/>
                </w:tcPr>
                <w:p w14:paraId="730DC98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7.1 一般性要求</w:t>
                  </w:r>
                </w:p>
                <w:p w14:paraId="1E1E04E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7.1.1 应根据废塑料的来源、特性、污染情况以及后续再生利用或处置的要求，选择合理的预处理方式。</w:t>
                  </w:r>
                </w:p>
                <w:p w14:paraId="368C8E2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7.1.2 废塑料的预处理应控制二次污染。大气污染物排放应符合GB31572或GB16297、GB37822等标准的规定。恶臭污染物排放应符合GB14554的规定。废水控制应根据出水受纳水体的功能要求或纳管要求，执行国家和地方相关排放标准，重点控制的污染物指标包括悬浮物、pH值、色度、石油类和化学需氧量等。噪声排放应符合GB12348的规定。</w:t>
                  </w:r>
                </w:p>
              </w:tc>
              <w:tc>
                <w:tcPr>
                  <w:tcW w:w="3511" w:type="dxa"/>
                </w:tcPr>
                <w:p w14:paraId="5293FE9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废塑料进场后将对废塑料进行人工分拣。分拣、压实过程中产生颗粒物与臭气浓度。其中颗粒物执行广东省《大气污染物排放限值》（DB44/27-2001）第二时段排放限值，臭气浓度执行《恶臭污染物排放标准》（GB14554-93）中表1恶臭污染物厂界标准值二级新扩改建标准要求。本项目无生产废水产生，噪声排放执行《工业企业厂界环境噪声排放标准》（GB12348-2008）3类标准。</w:t>
                  </w:r>
                </w:p>
              </w:tc>
            </w:tr>
            <w:tr w14:paraId="2BCB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17F9C68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2D1A458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 分选要求</w:t>
                  </w:r>
                </w:p>
                <w:p w14:paraId="5F24403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7.2.1 应采用预分选工艺，将废塑料与其他废物分开，提高下游自动化分选的效率。</w:t>
                  </w:r>
                </w:p>
                <w:p w14:paraId="32EE35F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7.2.2 废塑料分选应遵循稳定、二次污染可控的原则，根据废塑料特性，宜采用气流分选、静电分选、X射线荧光分选、近红外分选、熔融过滤分选、低温破碎分选及其他新型的自动化分选等单一或集成化分选技术。</w:t>
                  </w:r>
                </w:p>
              </w:tc>
              <w:tc>
                <w:tcPr>
                  <w:tcW w:w="3511" w:type="dxa"/>
                </w:tcPr>
                <w:p w14:paraId="29F40C5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废塑料进场后即进行人工分拣，不与其他固体废物混合贮存。</w:t>
                  </w:r>
                </w:p>
              </w:tc>
            </w:tr>
            <w:tr w14:paraId="2478F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vMerge w:val="continue"/>
                </w:tcPr>
                <w:p w14:paraId="30FC641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474A0F4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7.3 破碎要求</w:t>
                  </w:r>
                </w:p>
                <w:p w14:paraId="0D115FC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7.4 清洗要求</w:t>
                  </w:r>
                </w:p>
                <w:p w14:paraId="06FBB5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7.5 干燥要求</w:t>
                  </w:r>
                </w:p>
              </w:tc>
              <w:tc>
                <w:tcPr>
                  <w:tcW w:w="3511" w:type="dxa"/>
                </w:tcPr>
                <w:p w14:paraId="69090FD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本项目为一般工业固体废物分拣、压实，不涉及破碎、清洗、干燥。</w:t>
                  </w:r>
                </w:p>
              </w:tc>
            </w:tr>
            <w:tr w14:paraId="345C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46" w:type="dxa"/>
                  <w:gridSpan w:val="2"/>
                </w:tcPr>
                <w:p w14:paraId="2FA35EB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8 再生利用和处置污染控制要求</w:t>
                  </w:r>
                </w:p>
              </w:tc>
              <w:tc>
                <w:tcPr>
                  <w:tcW w:w="3511" w:type="dxa"/>
                </w:tcPr>
                <w:p w14:paraId="1C44D6DF">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本项目不涉及废塑料的再生利用与处置。</w:t>
                  </w:r>
                </w:p>
              </w:tc>
            </w:tr>
            <w:tr w14:paraId="1159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462A95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运行环境管理要求</w:t>
                  </w:r>
                </w:p>
              </w:tc>
              <w:tc>
                <w:tcPr>
                  <w:tcW w:w="3648" w:type="dxa"/>
                </w:tcPr>
                <w:p w14:paraId="540AFAF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 一般性要求</w:t>
                  </w:r>
                </w:p>
                <w:p w14:paraId="39544B5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9.1.1 废塑料的产生、收集、运输、贮存和再生利用企业，应按照GB/T19001、GB/T24001、GB/T45001</w:t>
                  </w:r>
                </w:p>
                <w:p w14:paraId="12DC43B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等标准建立管理体系，设置专门的部门或者专（兼）职人员，负责废塑料收集和再生利用过程中的相关环境管理工作。</w:t>
                  </w:r>
                </w:p>
                <w:p w14:paraId="74E9931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9.1.2 废塑料的产生和再生利用企业，应按照排污许可证规定严格控制污染物排放。</w:t>
                  </w:r>
                </w:p>
                <w:p w14:paraId="1395BFA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9.1.3 废塑料的产生、收集、运输、贮存和再生利用企业，应对从业人员进行环境保护培训。</w:t>
                  </w:r>
                </w:p>
              </w:tc>
              <w:tc>
                <w:tcPr>
                  <w:tcW w:w="3511" w:type="dxa"/>
                </w:tcPr>
                <w:p w14:paraId="32EB2DB1">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w:t>
                  </w:r>
                  <w:r>
                    <w:rPr>
                      <w:rFonts w:hint="default" w:ascii="Times New Roman" w:hAnsi="Times New Roman" w:cs="Times New Roman"/>
                      <w:color w:val="auto"/>
                      <w:sz w:val="21"/>
                      <w:szCs w:val="21"/>
                      <w:highlight w:val="none"/>
                      <w:vertAlign w:val="baseline"/>
                    </w:rPr>
                    <w:t>建立环保专人管理制度，负责全厂环境保护的管理，并对从业人员进行定期的环境保护培训</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根据规定严格控制污染物排放。</w:t>
                  </w:r>
                </w:p>
              </w:tc>
            </w:tr>
            <w:tr w14:paraId="319D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707D8C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c>
                <w:tcPr>
                  <w:tcW w:w="3648" w:type="dxa"/>
                </w:tcPr>
                <w:p w14:paraId="5DC1E3F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 项目建设的环境管理要求</w:t>
                  </w:r>
                </w:p>
                <w:p w14:paraId="3AE536F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9.2.1 废塑料的再生利用项目应严格执行环境影响评价和“三同时”制度。</w:t>
                  </w:r>
                </w:p>
                <w:p w14:paraId="6CB34B5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9.2.2 新建和改扩建废塑料再生利用项目的选址应符合当地城市总体发展规划、用地规划、生态环境分区管控方案、规划环评及其他环境保护要求。</w:t>
                  </w:r>
                </w:p>
                <w:p w14:paraId="644E592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9.2.3 废塑料再生利用项目应按功能划分厂区，包括管理区、原料贮存区、生产区、产品贮存区、不可利用废物的贮存和处理区等，各功能区应有明显的界线或标识。</w:t>
                  </w:r>
                </w:p>
              </w:tc>
              <w:tc>
                <w:tcPr>
                  <w:tcW w:w="3511" w:type="dxa"/>
                </w:tcPr>
                <w:p w14:paraId="424F29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本项目严格执行环境影响评价和“三同时"制度。本项目选址为工业用地，符合规划及其他环境保护要求。本项目对厂区进行严格划分</w:t>
                  </w:r>
                  <w:r>
                    <w:rPr>
                      <w:rFonts w:hint="eastAsia" w:cs="Times New Roman"/>
                      <w:color w:val="auto"/>
                      <w:sz w:val="21"/>
                      <w:szCs w:val="21"/>
                      <w:highlight w:val="none"/>
                      <w:vertAlign w:val="baseline"/>
                      <w:lang w:eastAsia="zh-CN"/>
                    </w:rPr>
                    <w:t>。</w:t>
                  </w:r>
                </w:p>
              </w:tc>
            </w:tr>
          </w:tbl>
          <w:p w14:paraId="1840CE7D">
            <w:pPr>
              <w:keepNext/>
              <w:keepLines w:val="0"/>
              <w:pageBreakBefore w:val="0"/>
              <w:suppressLineNumbers w:val="0"/>
              <w:spacing w:before="0" w:beforeAutospacing="0" w:after="0" w:afterAutospacing="0"/>
              <w:ind w:left="0" w:right="0" w:firstLine="482"/>
              <w:rPr>
                <w:color w:val="auto"/>
              </w:rPr>
            </w:pPr>
            <w:r>
              <w:rPr>
                <w:rFonts w:hint="eastAsia" w:cs="Times New Roman"/>
                <w:b/>
                <w:bCs/>
                <w:color w:val="auto"/>
                <w:sz w:val="24"/>
                <w:szCs w:val="24"/>
                <w:highlight w:val="none"/>
                <w:lang w:val="en-US" w:eastAsia="zh-CN"/>
              </w:rPr>
              <w:t>6、</w:t>
            </w:r>
            <w:r>
              <w:rPr>
                <w:rFonts w:hint="default" w:ascii="Times New Roman" w:hAnsi="Times New Roman" w:cs="Times New Roman"/>
                <w:b/>
                <w:bCs/>
                <w:color w:val="auto"/>
                <w:sz w:val="24"/>
                <w:szCs w:val="24"/>
                <w:highlight w:val="none"/>
              </w:rPr>
              <w:t>与《</w:t>
            </w:r>
            <w:r>
              <w:rPr>
                <w:rFonts w:hint="eastAsia" w:cs="Times New Roman"/>
                <w:b/>
                <w:bCs/>
                <w:color w:val="auto"/>
                <w:sz w:val="24"/>
                <w:szCs w:val="24"/>
                <w:highlight w:val="none"/>
                <w:lang w:val="en-US" w:eastAsia="zh-CN"/>
              </w:rPr>
              <w:t>废塑料回收技术规范</w:t>
            </w: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GB/T39171</w:t>
            </w:r>
            <w:r>
              <w:rPr>
                <w:rFonts w:hint="default" w:ascii="Times New Roman" w:hAnsi="Times New Roman" w:cs="Times New Roman"/>
                <w:b/>
                <w:bCs/>
                <w:color w:val="auto"/>
                <w:sz w:val="24"/>
                <w:szCs w:val="24"/>
                <w:highlight w:val="none"/>
              </w:rPr>
              <w:t>-20</w:t>
            </w:r>
            <w:r>
              <w:rPr>
                <w:rFonts w:hint="eastAsia" w:cs="Times New Roman"/>
                <w:b/>
                <w:bCs/>
                <w:color w:val="auto"/>
                <w:sz w:val="24"/>
                <w:szCs w:val="24"/>
                <w:highlight w:val="none"/>
                <w:lang w:val="en-US" w:eastAsia="zh-CN"/>
              </w:rPr>
              <w:t>20</w:t>
            </w:r>
            <w:r>
              <w:rPr>
                <w:rFonts w:hint="default" w:ascii="Times New Roman" w:hAnsi="Times New Roman" w:cs="Times New Roman"/>
                <w:b/>
                <w:bCs/>
                <w:color w:val="auto"/>
                <w:sz w:val="24"/>
                <w:szCs w:val="24"/>
                <w:highlight w:val="none"/>
              </w:rPr>
              <w:t>）的相符性分析</w:t>
            </w:r>
          </w:p>
          <w:p w14:paraId="748FDDB8">
            <w:pPr>
              <w:keepNext/>
              <w:keepLines w:val="0"/>
              <w:pageBreakBefore w:val="0"/>
              <w:suppressLineNumbers w:val="0"/>
              <w:spacing w:before="0" w:beforeAutospacing="0" w:after="0" w:afterAutospacing="0"/>
              <w:ind w:left="0" w:right="0" w:firstLine="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6AD6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3EDC5AB">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内容</w:t>
                  </w:r>
                </w:p>
              </w:tc>
              <w:tc>
                <w:tcPr>
                  <w:tcW w:w="3648" w:type="dxa"/>
                </w:tcPr>
                <w:p w14:paraId="10DAA44E">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要求</w:t>
                  </w:r>
                </w:p>
              </w:tc>
              <w:tc>
                <w:tcPr>
                  <w:tcW w:w="3511" w:type="dxa"/>
                </w:tcPr>
                <w:p w14:paraId="4897B62E">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相符性分析</w:t>
                  </w:r>
                </w:p>
              </w:tc>
            </w:tr>
            <w:tr w14:paraId="3469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8742FF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收集</w:t>
                  </w:r>
                </w:p>
              </w:tc>
              <w:tc>
                <w:tcPr>
                  <w:tcW w:w="3648" w:type="dxa"/>
                </w:tcPr>
                <w:p w14:paraId="1ABFC66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应按废塑料的种类进行分类收集。废塑料分类及相应原生塑料应用参见附录A的表A.1。</w:t>
                  </w:r>
                </w:p>
                <w:p w14:paraId="1C470A0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废塑料收集过程中应包装完整，避免遗撒</w:t>
                  </w:r>
                  <w:r>
                    <w:rPr>
                      <w:rFonts w:hint="eastAsia" w:cs="Times New Roman"/>
                      <w:color w:val="auto"/>
                      <w:sz w:val="21"/>
                      <w:szCs w:val="21"/>
                      <w:highlight w:val="none"/>
                      <w:vertAlign w:val="baseline"/>
                      <w:lang w:eastAsia="zh-CN"/>
                    </w:rPr>
                    <w:t>。</w:t>
                  </w:r>
                </w:p>
                <w:p w14:paraId="478F50D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5.3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废塑料收集过程中不得就地清洗</w:t>
                  </w:r>
                  <w:r>
                    <w:rPr>
                      <w:rFonts w:hint="eastAsia" w:cs="Times New Roman"/>
                      <w:color w:val="auto"/>
                      <w:sz w:val="21"/>
                      <w:szCs w:val="21"/>
                      <w:highlight w:val="none"/>
                      <w:vertAlign w:val="baseline"/>
                      <w:lang w:eastAsia="zh-CN"/>
                    </w:rPr>
                    <w:t>。</w:t>
                  </w:r>
                </w:p>
                <w:p w14:paraId="7F97F23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废塑料收集过程中应使用机械破碎技术进行减容处理，并配备相应的防尘、防噪声措施。</w:t>
                  </w:r>
                </w:p>
              </w:tc>
              <w:tc>
                <w:tcPr>
                  <w:tcW w:w="3511" w:type="dxa"/>
                </w:tcPr>
                <w:p w14:paraId="60AF0783">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本项目按种类对废塑料进行分拣，在收集过程中包装完整、避免洒落。本项目对废塑料进行压实，不进行破碎。</w:t>
                  </w:r>
                </w:p>
              </w:tc>
            </w:tr>
            <w:tr w14:paraId="4F75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A5B413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分拣</w:t>
                  </w:r>
                </w:p>
              </w:tc>
              <w:tc>
                <w:tcPr>
                  <w:tcW w:w="3648" w:type="dxa"/>
                </w:tcPr>
                <w:p w14:paraId="1A6F658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 废塑料宜按废通用塑料、废通用工程塑料、废特种工程塑料、废塑料合金(共混物)和废热固性塑料进行分类，并按国家相关规定分别进行处理。</w:t>
                  </w:r>
                </w:p>
                <w:p w14:paraId="34C6705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6.2 废塑料分选应遵循稳定、无二次污染的原则，根据废塑料特点，宜使用静电分选、近红外分选、X-射线荧光分选、气流分选、重介质分选、熔融过滤分选、低温破碎分选及其他新型的自动化分选等单一和集成化分选技术。</w:t>
                  </w:r>
                </w:p>
                <w:p w14:paraId="7F4E98D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6.3 废塑料分拣过程中如使用强酸脱除废塑料表面涂层或镀层，应配套酸碱中和工艺和污水处理设施</w:t>
                  </w:r>
                </w:p>
                <w:p w14:paraId="132242B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6.4 废塑料分选过程中宜选出单一组分，达到后期高值化再生利用的要求;不能选出单一组分的，以不影响整体再利用为限;现有方法完全不能分离的，作为不可利用固体废物进行处置。6.5 破碎废塑料应</w:t>
                  </w:r>
                  <w:r>
                    <w:rPr>
                      <w:rFonts w:hint="eastAsia" w:cs="Times New Roman"/>
                      <w:color w:val="auto"/>
                      <w:sz w:val="21"/>
                      <w:szCs w:val="21"/>
                      <w:highlight w:val="none"/>
                      <w:vertAlign w:val="baseline"/>
                      <w:lang w:val="en-US" w:eastAsia="zh-CN"/>
                    </w:rPr>
                    <w:t>采取</w:t>
                  </w:r>
                  <w:r>
                    <w:rPr>
                      <w:rFonts w:hint="default" w:ascii="Times New Roman" w:hAnsi="Times New Roman" w:cs="Times New Roman"/>
                      <w:color w:val="auto"/>
                      <w:sz w:val="21"/>
                      <w:szCs w:val="21"/>
                      <w:highlight w:val="none"/>
                      <w:vertAlign w:val="baseline"/>
                    </w:rPr>
                    <w:t>干法破碎技术:并采取相应的防尘、防噪声措施产生的噪声应符合GB12348的有关规定，处理后的粉尘应符合GB16297的有关规定;湿法破碎应配套污水收集处理设施。</w:t>
                  </w:r>
                </w:p>
                <w:p w14:paraId="5A24EC7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6.6废塑料的清洗场地应做防水、防渗漏处理，有特殊要求的地面应做防腐蚀处理，</w:t>
                  </w:r>
                </w:p>
                <w:p w14:paraId="7AF3435E">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6.7废塑料的清洗方法可分为物理清洗和化学清洗，应根据废塑料来源和污染情况选择清洗工艺;宜采用高效节水的机械清洗技术和无磷清洗剂，不得使用有毒有害的化学清洗剂。</w:t>
                  </w:r>
                </w:p>
                <w:p w14:paraId="17262DE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6.8分拣后的废塑料应采用独立完整的包装。</w:t>
                  </w:r>
                </w:p>
                <w:p w14:paraId="561682E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6.9放应符合GB8978或地方相关标准的有关规定。废塑料分拣过程中产生的废水，应进行污水净化处理，处理后的水应作为中水循环再利用</w:t>
                  </w:r>
                  <w:r>
                    <w:rPr>
                      <w:rFonts w:hint="eastAsia" w:cs="Times New Roman"/>
                      <w:color w:val="auto"/>
                      <w:sz w:val="21"/>
                      <w:szCs w:val="21"/>
                      <w:highlight w:val="none"/>
                      <w:vertAlign w:val="baseline"/>
                      <w:lang w:eastAsia="zh-CN"/>
                    </w:rPr>
                    <w:t>；</w:t>
                  </w:r>
                  <w:r>
                    <w:rPr>
                      <w:rFonts w:hint="default" w:ascii="Times New Roman" w:hAnsi="Times New Roman" w:cs="Times New Roman"/>
                      <w:color w:val="auto"/>
                      <w:sz w:val="21"/>
                      <w:szCs w:val="21"/>
                      <w:highlight w:val="none"/>
                      <w:vertAlign w:val="baseline"/>
                    </w:rPr>
                    <w:t>污水排放应符合GB8978或地方相关标准的有关规定。</w:t>
                  </w:r>
                </w:p>
              </w:tc>
              <w:tc>
                <w:tcPr>
                  <w:tcW w:w="3511" w:type="dxa"/>
                </w:tcPr>
                <w:p w14:paraId="50991C5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废塑料分类后按</w:t>
                  </w:r>
                  <w:r>
                    <w:rPr>
                      <w:rFonts w:hint="eastAsia" w:cs="Times New Roman"/>
                      <w:color w:val="auto"/>
                      <w:sz w:val="21"/>
                      <w:szCs w:val="21"/>
                      <w:highlight w:val="none"/>
                      <w:vertAlign w:val="baseline"/>
                      <w:lang w:eastAsia="zh-CN"/>
                    </w:rPr>
                    <w:t>规定</w:t>
                  </w:r>
                  <w:r>
                    <w:rPr>
                      <w:rFonts w:hint="default" w:ascii="Times New Roman" w:hAnsi="Times New Roman" w:cs="Times New Roman"/>
                      <w:color w:val="auto"/>
                      <w:sz w:val="21"/>
                      <w:szCs w:val="21"/>
                      <w:highlight w:val="none"/>
                      <w:vertAlign w:val="baseline"/>
                    </w:rPr>
                    <w:t>处理。本项目采用人工分拣，不使用强酸脱除废塑料表面涂层或镀层。不涉及分选</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破碎、清洗</w:t>
                  </w:r>
                  <w:r>
                    <w:rPr>
                      <w:rFonts w:hint="default" w:ascii="Times New Roman" w:hAnsi="Times New Roman" w:cs="Times New Roman"/>
                      <w:color w:val="auto"/>
                      <w:sz w:val="21"/>
                      <w:szCs w:val="21"/>
                      <w:highlight w:val="none"/>
                      <w:vertAlign w:val="baseline"/>
                    </w:rPr>
                    <w:t>过程</w:t>
                  </w:r>
                  <w:r>
                    <w:rPr>
                      <w:rFonts w:hint="eastAsia" w:cs="Times New Roman"/>
                      <w:color w:val="auto"/>
                      <w:sz w:val="21"/>
                      <w:szCs w:val="21"/>
                      <w:highlight w:val="none"/>
                      <w:vertAlign w:val="baseline"/>
                      <w:lang w:eastAsia="zh-CN"/>
                    </w:rPr>
                    <w:t>，</w:t>
                  </w:r>
                  <w:r>
                    <w:rPr>
                      <w:rFonts w:hint="eastAsia" w:cs="Times New Roman"/>
                      <w:color w:val="auto"/>
                      <w:sz w:val="21"/>
                      <w:szCs w:val="21"/>
                      <w:highlight w:val="none"/>
                      <w:vertAlign w:val="baseline"/>
                      <w:lang w:val="en-US" w:eastAsia="zh-CN"/>
                    </w:rPr>
                    <w:t>且无生产废水产生。</w:t>
                  </w:r>
                </w:p>
                <w:p w14:paraId="7A43B00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r>
            <w:tr w14:paraId="15FE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E772F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贮存</w:t>
                  </w:r>
                </w:p>
              </w:tc>
              <w:tc>
                <w:tcPr>
                  <w:tcW w:w="3648" w:type="dxa"/>
                </w:tcPr>
                <w:p w14:paraId="2C5855F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废塑料贮存场地应符合GB18599的有关规定。</w:t>
                  </w:r>
                </w:p>
                <w:p w14:paraId="0C9EADF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不同种类的废塑料应分开存放，并在显著位置设有标识。</w:t>
                  </w:r>
                </w:p>
                <w:p w14:paraId="4FA006B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废塑料应存放在封闭或半封闭的环境中.并设有防火、防雨、防晒、防渗、防扬散措施，避免露天堆放。</w:t>
                  </w:r>
                </w:p>
                <w:p w14:paraId="667F229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7.4 废塑料贮存场所应符合GB 50016的有关规定。</w:t>
                  </w:r>
                </w:p>
                <w:p w14:paraId="3FDAE93F">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7.5 废塑料贮存场所应配备消防设施，消防器材配备应按GB 50140的有关规定执行,消防供水网和消防</w:t>
                  </w:r>
                  <w:r>
                    <w:rPr>
                      <w:rFonts w:hint="eastAsia" w:cs="Times New Roman"/>
                      <w:color w:val="auto"/>
                      <w:sz w:val="21"/>
                      <w:szCs w:val="21"/>
                      <w:highlight w:val="none"/>
                      <w:vertAlign w:val="baseline"/>
                      <w:lang w:val="en-US" w:eastAsia="zh-CN"/>
                    </w:rPr>
                    <w:t>栓</w:t>
                  </w:r>
                  <w:r>
                    <w:rPr>
                      <w:rFonts w:hint="default" w:ascii="Times New Roman" w:hAnsi="Times New Roman" w:cs="Times New Roman"/>
                      <w:color w:val="auto"/>
                      <w:sz w:val="21"/>
                      <w:szCs w:val="21"/>
                      <w:highlight w:val="none"/>
                      <w:vertAlign w:val="baseline"/>
                    </w:rPr>
                    <w:t>应采取防冻措施，应安装消防报警设备。</w:t>
                  </w:r>
                </w:p>
              </w:tc>
              <w:tc>
                <w:tcPr>
                  <w:tcW w:w="3511" w:type="dxa"/>
                </w:tcPr>
                <w:p w14:paraId="3C5C343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废塑料贮存场地执行GB 18599、GB50016有关规定。不同种类的废塑料分开存放，并在显著位置设有标识。废塑料存放在半封闭的环境中，并设有防火、防雨、防晒、防渗、防扬散措施，避免露天堆放。废塑料贮存场所应配备消防设施，消防器材配备执行 GB50140规定，消防供水网和消防栓采取防冻措施，安装消防报警设备。</w:t>
                  </w:r>
                </w:p>
                <w:p w14:paraId="4F47461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p>
              </w:tc>
            </w:tr>
            <w:tr w14:paraId="76F8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2998B1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w:t>
                  </w:r>
                </w:p>
              </w:tc>
              <w:tc>
                <w:tcPr>
                  <w:tcW w:w="3648" w:type="dxa"/>
                </w:tcPr>
                <w:p w14:paraId="0E00F54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废塑料运输过程中应打包完整或采用封闭的运输工具，防止遗撤。</w:t>
                  </w:r>
                </w:p>
                <w:p w14:paraId="2346AF5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废塑料包装物应防晒、防火、防高温，并在装卸、运输过程中应确保包装完好，无遗撒。</w:t>
                  </w:r>
                </w:p>
                <w:p w14:paraId="64B06951">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8.3</w:t>
                  </w:r>
                  <w:r>
                    <w:rPr>
                      <w:rFonts w:hint="eastAsia" w:cs="Times New Roman"/>
                      <w:color w:val="auto"/>
                      <w:sz w:val="21"/>
                      <w:szCs w:val="21"/>
                      <w:highlight w:val="none"/>
                      <w:vertAlign w:val="baseline"/>
                      <w:lang w:val="en-US" w:eastAsia="zh-CN"/>
                    </w:rPr>
                    <w:t xml:space="preserve"> 废</w:t>
                  </w:r>
                  <w:r>
                    <w:rPr>
                      <w:rFonts w:hint="default" w:ascii="Times New Roman" w:hAnsi="Times New Roman" w:cs="Times New Roman"/>
                      <w:color w:val="auto"/>
                      <w:sz w:val="21"/>
                      <w:szCs w:val="21"/>
                      <w:highlight w:val="none"/>
                      <w:vertAlign w:val="baseline"/>
                    </w:rPr>
                    <w:t>塑料包装物表面应有标明种类、来源、原用途和去向等信息的标识，标识应清晰、易于识别、不易</w:t>
                  </w:r>
                </w:p>
                <w:p w14:paraId="69DDA28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擦掉。</w:t>
                  </w:r>
                </w:p>
                <w:p w14:paraId="79771E16">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8.4 废塑料运输工具在运输途中不得超高、超宽、超载。</w:t>
                  </w:r>
                </w:p>
              </w:tc>
              <w:tc>
                <w:tcPr>
                  <w:tcW w:w="3511" w:type="dxa"/>
                </w:tcPr>
                <w:p w14:paraId="41AB3FE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运输过程中严格执行相关要求。</w:t>
                  </w:r>
                </w:p>
              </w:tc>
            </w:tr>
          </w:tbl>
          <w:p w14:paraId="769693DB">
            <w:pPr>
              <w:keepNext/>
              <w:pageBreakBefore w:val="0"/>
              <w:ind w:firstLine="480" w:firstLineChars="200"/>
              <w:rPr>
                <w:rFonts w:hint="default" w:ascii="Times New Roman" w:hAnsi="Times New Roman" w:cs="Times New Roman"/>
                <w:b/>
                <w:bCs/>
                <w:color w:val="auto"/>
                <w:sz w:val="24"/>
                <w:szCs w:val="24"/>
                <w:highlight w:val="none"/>
              </w:rPr>
            </w:pPr>
            <w:r>
              <w:rPr>
                <w:rFonts w:hint="eastAsia" w:cs="Times New Roman"/>
                <w:b/>
                <w:bCs/>
                <w:color w:val="auto"/>
                <w:sz w:val="24"/>
                <w:szCs w:val="24"/>
                <w:highlight w:val="none"/>
                <w:lang w:val="en-US" w:eastAsia="zh-CN"/>
              </w:rPr>
              <w:t>7</w:t>
            </w:r>
            <w:r>
              <w:rPr>
                <w:rFonts w:hint="default" w:ascii="Times New Roman" w:hAnsi="Times New Roman" w:cs="Times New Roman"/>
                <w:b/>
                <w:bCs/>
                <w:color w:val="auto"/>
                <w:sz w:val="24"/>
                <w:szCs w:val="24"/>
                <w:highlight w:val="none"/>
              </w:rPr>
              <w:t>、与《</w:t>
            </w:r>
            <w:r>
              <w:rPr>
                <w:rFonts w:hint="eastAsia" w:cs="Times New Roman"/>
                <w:b/>
                <w:bCs/>
                <w:color w:val="auto"/>
                <w:sz w:val="24"/>
                <w:szCs w:val="24"/>
                <w:highlight w:val="none"/>
                <w:lang w:val="en-US" w:eastAsia="zh-CN"/>
              </w:rPr>
              <w:t>废玻璃回收技术规范</w:t>
            </w: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GB/T39196</w:t>
            </w:r>
            <w:r>
              <w:rPr>
                <w:rFonts w:hint="default" w:ascii="Times New Roman" w:hAnsi="Times New Roman" w:cs="Times New Roman"/>
                <w:b/>
                <w:bCs/>
                <w:color w:val="auto"/>
                <w:sz w:val="24"/>
                <w:szCs w:val="24"/>
                <w:highlight w:val="none"/>
              </w:rPr>
              <w:t>-202</w:t>
            </w:r>
            <w:r>
              <w:rPr>
                <w:rFonts w:hint="eastAsia" w:cs="Times New Roman"/>
                <w:b/>
                <w:bCs/>
                <w:color w:val="auto"/>
                <w:sz w:val="24"/>
                <w:szCs w:val="24"/>
                <w:highlight w:val="none"/>
                <w:lang w:val="en-US" w:eastAsia="zh-CN"/>
              </w:rPr>
              <w:t>0</w:t>
            </w:r>
            <w:r>
              <w:rPr>
                <w:rFonts w:hint="default" w:ascii="Times New Roman" w:hAnsi="Times New Roman" w:cs="Times New Roman"/>
                <w:b/>
                <w:bCs/>
                <w:color w:val="auto"/>
                <w:sz w:val="24"/>
                <w:szCs w:val="24"/>
                <w:highlight w:val="none"/>
              </w:rPr>
              <w:t>）的相符性分析</w:t>
            </w:r>
          </w:p>
          <w:p w14:paraId="5B45FDD6">
            <w:pPr>
              <w:keepNext/>
              <w:pageBreakBefore w:val="0"/>
              <w:ind w:firstLine="0" w:firstLineChars="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1"/>
                <w:szCs w:val="21"/>
                <w:highlight w:val="none"/>
              </w:rPr>
              <w:t>表1-</w:t>
            </w:r>
            <w:r>
              <w:rPr>
                <w:rFonts w:hint="eastAsia" w:cs="Times New Roman"/>
                <w:b/>
                <w:bCs/>
                <w:color w:val="auto"/>
                <w:sz w:val="21"/>
                <w:szCs w:val="21"/>
                <w:highlight w:val="none"/>
                <w:lang w:val="en-US" w:eastAsia="zh-CN"/>
              </w:rPr>
              <w:t>7</w:t>
            </w:r>
            <w:r>
              <w:rPr>
                <w:rFonts w:hint="default" w:ascii="Times New Roman" w:hAnsi="Times New Roman" w:cs="Times New Roman"/>
                <w:b/>
                <w:bCs/>
                <w:color w:val="auto"/>
                <w:sz w:val="21"/>
                <w:szCs w:val="21"/>
                <w:highlight w:val="none"/>
              </w:rPr>
              <w:t>相符性分析一览表</w:t>
            </w:r>
          </w:p>
          <w:tbl>
            <w:tblPr>
              <w:tblStyle w:val="45"/>
              <w:tblW w:w="78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3648"/>
              <w:gridCol w:w="3511"/>
            </w:tblGrid>
            <w:tr w14:paraId="0688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6138A643">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内容</w:t>
                  </w:r>
                </w:p>
              </w:tc>
              <w:tc>
                <w:tcPr>
                  <w:tcW w:w="3648" w:type="dxa"/>
                </w:tcPr>
                <w:p w14:paraId="01C92DD5">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要求</w:t>
                  </w:r>
                </w:p>
              </w:tc>
              <w:tc>
                <w:tcPr>
                  <w:tcW w:w="3511" w:type="dxa"/>
                </w:tcPr>
                <w:p w14:paraId="1CF36642">
                  <w:pPr>
                    <w:pStyle w:val="19"/>
                    <w:keepNext/>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vertAlign w:val="baseline"/>
                    </w:rPr>
                  </w:pPr>
                  <w:r>
                    <w:rPr>
                      <w:rFonts w:hint="eastAsia" w:cs="Times New Roman"/>
                      <w:color w:val="auto"/>
                      <w:sz w:val="21"/>
                      <w:szCs w:val="21"/>
                      <w:highlight w:val="none"/>
                      <w:vertAlign w:val="baseline"/>
                      <w:lang w:val="en-US" w:eastAsia="zh-CN"/>
                    </w:rPr>
                    <w:t>相符性分析</w:t>
                  </w:r>
                </w:p>
              </w:tc>
            </w:tr>
            <w:tr w14:paraId="149F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7691B20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总体要求</w:t>
                  </w:r>
                </w:p>
              </w:tc>
              <w:tc>
                <w:tcPr>
                  <w:tcW w:w="3648" w:type="dxa"/>
                </w:tcPr>
                <w:p w14:paraId="4681BC12">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废玻璃回收经营者应建立劳动保护、消防安全责任管理制度和环境保护管理制度。</w:t>
                  </w:r>
                </w:p>
                <w:p w14:paraId="6CFD9784">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4.2 废玻璃回收经营者应按照GB/T19001,GB/T24001,GB/T45001等建立管理体系。</w:t>
                  </w:r>
                </w:p>
                <w:p w14:paraId="562620C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4.3 废玻璃回收经营者应建立健全环境保护管理责任制度，设置环境保护部门或专(兼)职人员，负责监督废玻璃回收分拣过程中的环境保护及相关管理工作。</w:t>
                  </w:r>
                </w:p>
                <w:p w14:paraId="6E0F224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4.4 回收人员回收废玻璃前，应进行岗前培训。</w:t>
                  </w:r>
                </w:p>
                <w:p w14:paraId="4FB04D1D">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4.5 废玻璃回收经营者应建立信息管理制度，内容包括每批次废玻璃的回收</w:t>
                  </w:r>
                  <w:r>
                    <w:rPr>
                      <w:rFonts w:hint="eastAsia" w:cs="Times New Roman"/>
                      <w:color w:val="auto"/>
                      <w:sz w:val="21"/>
                      <w:szCs w:val="21"/>
                      <w:highlight w:val="none"/>
                      <w:vertAlign w:val="baseline"/>
                      <w:lang w:val="en-US" w:eastAsia="zh-CN"/>
                    </w:rPr>
                    <w:t>时间</w:t>
                  </w:r>
                  <w:r>
                    <w:rPr>
                      <w:rFonts w:hint="default" w:ascii="Times New Roman" w:hAnsi="Times New Roman" w:cs="Times New Roman"/>
                      <w:color w:val="auto"/>
                      <w:sz w:val="21"/>
                      <w:szCs w:val="21"/>
                      <w:highlight w:val="none"/>
                      <w:vertAlign w:val="baseline"/>
                    </w:rPr>
                    <w:t>、地点、来源、数量、种类、分拣后废玻璃流向等相关内容，信息保存时间不少于两年。</w:t>
                  </w:r>
                </w:p>
                <w:p w14:paraId="0D18CEE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4.6 废玻璃回收经营者应建立污染预防机制和处理环境污染事故的应急预案制度。</w:t>
                  </w:r>
                </w:p>
                <w:p w14:paraId="40ECCCD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4.7 废玻璃回收经营者宜具备排污许可证。</w:t>
                  </w:r>
                </w:p>
              </w:tc>
              <w:tc>
                <w:tcPr>
                  <w:tcW w:w="3511" w:type="dxa"/>
                </w:tcPr>
                <w:p w14:paraId="48FD285B">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本项目严格执行相关要求。</w:t>
                  </w:r>
                </w:p>
              </w:tc>
            </w:tr>
            <w:tr w14:paraId="2EB5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5A0DBD3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收集</w:t>
                  </w:r>
                </w:p>
              </w:tc>
              <w:tc>
                <w:tcPr>
                  <w:tcW w:w="3648" w:type="dxa"/>
                </w:tcPr>
                <w:p w14:paraId="0AED6EE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5.1 废玻璃收集应按照来源、颜色、品种进行粗分类。</w:t>
                  </w:r>
                </w:p>
                <w:p w14:paraId="4D46012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5.2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废玻璃收集过程中应避免遗撒</w:t>
                  </w:r>
                  <w:r>
                    <w:rPr>
                      <w:rFonts w:hint="eastAsia" w:cs="Times New Roman"/>
                      <w:color w:val="auto"/>
                      <w:sz w:val="21"/>
                      <w:szCs w:val="21"/>
                      <w:highlight w:val="none"/>
                      <w:vertAlign w:val="baseline"/>
                      <w:lang w:eastAsia="zh-CN"/>
                    </w:rPr>
                    <w:t>。</w:t>
                  </w:r>
                </w:p>
                <w:p w14:paraId="115F5F9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废玻璃收集过程中不得就地清洗</w:t>
                  </w:r>
                  <w:r>
                    <w:rPr>
                      <w:rFonts w:hint="eastAsia" w:cs="Times New Roman"/>
                      <w:color w:val="auto"/>
                      <w:sz w:val="21"/>
                      <w:szCs w:val="21"/>
                      <w:highlight w:val="none"/>
                      <w:vertAlign w:val="baseline"/>
                      <w:lang w:eastAsia="zh-CN"/>
                    </w:rPr>
                    <w:t>。</w:t>
                  </w:r>
                </w:p>
                <w:p w14:paraId="191DB3C3">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5.4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废玻璃收集过程中应使用机械破碎技术进行减容处理，并配备相应的防尘、防噪</w:t>
                  </w:r>
                  <w:r>
                    <w:rPr>
                      <w:rFonts w:hint="eastAsia" w:cs="Times New Roman"/>
                      <w:color w:val="auto"/>
                      <w:sz w:val="21"/>
                      <w:szCs w:val="21"/>
                      <w:highlight w:val="none"/>
                      <w:vertAlign w:val="baseline"/>
                      <w:lang w:val="en-US" w:eastAsia="zh-CN"/>
                    </w:rPr>
                    <w:t>声</w:t>
                  </w:r>
                  <w:r>
                    <w:rPr>
                      <w:rFonts w:hint="default" w:ascii="Times New Roman" w:hAnsi="Times New Roman" w:cs="Times New Roman"/>
                      <w:color w:val="auto"/>
                      <w:sz w:val="21"/>
                      <w:szCs w:val="21"/>
                      <w:highlight w:val="none"/>
                      <w:vertAlign w:val="baseline"/>
                    </w:rPr>
                    <w:t>措施。</w:t>
                  </w:r>
                </w:p>
                <w:p w14:paraId="301AB2E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5.5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收集的废玻璃中不得混有危险废物、医疗废物等夹杂物。</w:t>
                  </w:r>
                </w:p>
              </w:tc>
              <w:tc>
                <w:tcPr>
                  <w:tcW w:w="3511" w:type="dxa"/>
                </w:tcPr>
                <w:p w14:paraId="3282DD3C">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本项目对废玻璃进行人工分拣，过程中避免遗散，不对废玻璃进行清洗和破碎，不混有危险废物、医疗废物。</w:t>
                  </w:r>
                </w:p>
              </w:tc>
            </w:tr>
            <w:tr w14:paraId="4D67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2C4EFEB8">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分拣</w:t>
                  </w:r>
                </w:p>
              </w:tc>
              <w:tc>
                <w:tcPr>
                  <w:tcW w:w="3648" w:type="dxa"/>
                </w:tcPr>
                <w:p w14:paraId="24EE255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废玻璃分类应符合GB/T36577要求。</w:t>
                  </w:r>
                </w:p>
                <w:p w14:paraId="0191156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cs="Times New Roman"/>
                      <w:color w:val="auto"/>
                      <w:sz w:val="21"/>
                      <w:szCs w:val="21"/>
                      <w:highlight w:val="none"/>
                      <w:vertAlign w:val="baseline"/>
                      <w:lang w:eastAsia="zh-CN"/>
                    </w:rPr>
                  </w:pPr>
                  <w:r>
                    <w:rPr>
                      <w:rFonts w:hint="default" w:ascii="Times New Roman" w:hAnsi="Times New Roman" w:cs="Times New Roman"/>
                      <w:color w:val="auto"/>
                      <w:sz w:val="21"/>
                      <w:szCs w:val="21"/>
                      <w:highlight w:val="none"/>
                      <w:vertAlign w:val="baseline"/>
                    </w:rPr>
                    <w:t>6.2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废玻璃分拣过程中应进行除臭处理</w:t>
                  </w:r>
                  <w:r>
                    <w:rPr>
                      <w:rFonts w:hint="eastAsia" w:cs="Times New Roman"/>
                      <w:color w:val="auto"/>
                      <w:sz w:val="21"/>
                      <w:szCs w:val="21"/>
                      <w:highlight w:val="none"/>
                      <w:vertAlign w:val="baseline"/>
                      <w:lang w:eastAsia="zh-CN"/>
                    </w:rPr>
                    <w:t>。</w:t>
                  </w:r>
                </w:p>
                <w:p w14:paraId="32F2260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废玻璃分拣过程中应去除废玻璃中的石头、金属、陶瓷、有机物等夹杂物。</w:t>
                  </w:r>
                </w:p>
                <w:p w14:paraId="7D3C4C45">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6.4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废玻璃分拣过程中废玻璃筛分粒度宜参照GB/T36577的相关规定或合同约定执行。</w:t>
                  </w:r>
                </w:p>
                <w:p w14:paraId="2FF15C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6.5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废玻璃分拣应采用节水、节能、高效、低污染的机械化和自动化技术和设备。</w:t>
                  </w:r>
                </w:p>
                <w:p w14:paraId="7E53978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6.6 废玻璃分拣企业应具备污水收集和处理系统:清洗废水处理后应循环使用。废水排放应符合GB8978或地方水污染物排放标准。</w:t>
                  </w:r>
                </w:p>
                <w:p w14:paraId="148A142C">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6.7 废玻璃宜选用物理脱水方法干燥，不宜使用高能耗干燥方式。</w:t>
                  </w:r>
                </w:p>
                <w:p w14:paraId="546667D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6.8</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废玻璃分拣过程产生的污泥应交由有资质单位处置。</w:t>
                  </w:r>
                </w:p>
              </w:tc>
              <w:tc>
                <w:tcPr>
                  <w:tcW w:w="3511" w:type="dxa"/>
                </w:tcPr>
                <w:p w14:paraId="748AE359">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本项目仅对属于一般固废的废玻璃进行人工分拣，按 GB/T 36577要求进行分类。回收的废玻璃不含液态物质。废玻璃分拣过程不涉及清洗、干燥，不产生污泥。</w:t>
                  </w:r>
                </w:p>
              </w:tc>
            </w:tr>
            <w:tr w14:paraId="3BDD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Pr>
                <w:p w14:paraId="18195969">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运输和贮存</w:t>
                  </w:r>
                </w:p>
              </w:tc>
              <w:tc>
                <w:tcPr>
                  <w:tcW w:w="3648" w:type="dxa"/>
                </w:tcPr>
                <w:p w14:paraId="70CB804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7.1</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废玻璃运输车辆或船舶应采用篷布遮盖:防止遗撒。</w:t>
                  </w:r>
                </w:p>
                <w:p w14:paraId="6678F57A">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7.2</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运输车辆或船舶应清理干净后再运输废玻璃，防止混杂其他。</w:t>
                  </w:r>
                </w:p>
                <w:p w14:paraId="3D9997D0">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7.3</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废玻璃贮存场地应符合GB18599的相关要求。</w:t>
                  </w:r>
                </w:p>
                <w:p w14:paraId="7F0CA2F7">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rPr>
                    <w:t>7.4</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不同种类的废玻璃应分开存放。</w:t>
                  </w:r>
                </w:p>
                <w:p w14:paraId="478F316B">
                  <w:pPr>
                    <w:pStyle w:val="19"/>
                    <w:keepNext/>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highlight w:val="none"/>
                      <w:vertAlign w:val="baseline"/>
                    </w:rPr>
                  </w:pPr>
                  <w:r>
                    <w:rPr>
                      <w:rFonts w:hint="default" w:ascii="Times New Roman" w:hAnsi="Times New Roman" w:cs="Times New Roman"/>
                      <w:color w:val="auto"/>
                      <w:sz w:val="21"/>
                      <w:szCs w:val="21"/>
                      <w:highlight w:val="none"/>
                      <w:vertAlign w:val="baseline"/>
                    </w:rPr>
                    <w:t>7.5</w:t>
                  </w:r>
                  <w:r>
                    <w:rPr>
                      <w:rFonts w:hint="eastAsia" w:cs="Times New Roman"/>
                      <w:color w:val="auto"/>
                      <w:sz w:val="21"/>
                      <w:szCs w:val="21"/>
                      <w:highlight w:val="none"/>
                      <w:vertAlign w:val="baseline"/>
                      <w:lang w:val="en-US" w:eastAsia="zh-CN"/>
                    </w:rPr>
                    <w:t xml:space="preserve"> </w:t>
                  </w:r>
                  <w:r>
                    <w:rPr>
                      <w:rFonts w:hint="default" w:ascii="Times New Roman" w:hAnsi="Times New Roman" w:cs="Times New Roman"/>
                      <w:color w:val="auto"/>
                      <w:sz w:val="21"/>
                      <w:szCs w:val="21"/>
                      <w:highlight w:val="none"/>
                      <w:vertAlign w:val="baseline"/>
                    </w:rPr>
                    <w:t>废玻璃应放置在有棚盖、围墙的堆场内。</w:t>
                  </w:r>
                </w:p>
              </w:tc>
              <w:tc>
                <w:tcPr>
                  <w:tcW w:w="3511" w:type="dxa"/>
                </w:tcPr>
                <w:p w14:paraId="128A43C8">
                  <w:pPr>
                    <w:pStyle w:val="19"/>
                    <w:keepNext/>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运输过程中严格执行相关要求。贮存场地符合相关要求。</w:t>
                  </w:r>
                </w:p>
              </w:tc>
            </w:tr>
          </w:tbl>
          <w:p w14:paraId="4C97A575">
            <w:pPr>
              <w:pStyle w:val="19"/>
              <w:keepNext/>
              <w:pageBreakBefore w:val="0"/>
              <w:ind w:firstLine="480"/>
              <w:rPr>
                <w:rFonts w:hint="default" w:ascii="Times New Roman" w:hAnsi="Times New Roman" w:cs="Times New Roman"/>
                <w:color w:val="auto"/>
                <w:sz w:val="24"/>
                <w:szCs w:val="28"/>
                <w:highlight w:val="none"/>
              </w:rPr>
            </w:pPr>
          </w:p>
          <w:p w14:paraId="4D5A6605">
            <w:pPr>
              <w:pStyle w:val="19"/>
              <w:keepNext/>
              <w:pageBreakBefore w:val="0"/>
              <w:ind w:firstLine="480"/>
              <w:rPr>
                <w:rFonts w:hint="default" w:ascii="Times New Roman" w:hAnsi="Times New Roman" w:cs="Times New Roman"/>
                <w:color w:val="auto"/>
                <w:sz w:val="24"/>
                <w:szCs w:val="28"/>
                <w:highlight w:val="none"/>
              </w:rPr>
            </w:pPr>
          </w:p>
          <w:p w14:paraId="15DB4DAE">
            <w:pPr>
              <w:pStyle w:val="19"/>
              <w:keepNext/>
              <w:pageBreakBefore w:val="0"/>
              <w:ind w:firstLine="480"/>
              <w:rPr>
                <w:rFonts w:hint="default" w:ascii="Times New Roman" w:hAnsi="Times New Roman" w:cs="Times New Roman"/>
                <w:color w:val="auto"/>
                <w:sz w:val="24"/>
                <w:szCs w:val="28"/>
                <w:highlight w:val="none"/>
              </w:rPr>
            </w:pPr>
          </w:p>
          <w:p w14:paraId="769CB95C">
            <w:pPr>
              <w:pStyle w:val="19"/>
              <w:keepNext/>
              <w:pageBreakBefore w:val="0"/>
              <w:ind w:firstLine="480"/>
              <w:rPr>
                <w:rFonts w:hint="default" w:ascii="Times New Roman" w:hAnsi="Times New Roman" w:cs="Times New Roman"/>
                <w:color w:val="auto"/>
                <w:sz w:val="24"/>
                <w:szCs w:val="28"/>
                <w:highlight w:val="none"/>
              </w:rPr>
            </w:pPr>
          </w:p>
        </w:tc>
      </w:tr>
    </w:tbl>
    <w:p w14:paraId="4208CA52">
      <w:pPr>
        <w:pStyle w:val="7"/>
        <w:numPr>
          <w:ilvl w:val="0"/>
          <w:numId w:val="0"/>
        </w:num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bookmarkStart w:id="9" w:name="_Toc29933"/>
      <w:bookmarkStart w:id="10" w:name="_Toc13460"/>
      <w:bookmarkStart w:id="11" w:name="_Toc25936"/>
      <w:r>
        <w:rPr>
          <w:rFonts w:hint="default" w:ascii="Times New Roman" w:hAnsi="Times New Roman" w:cs="Times New Roman"/>
          <w:color w:val="auto"/>
          <w:highlight w:val="none"/>
        </w:rPr>
        <w:t>二、建设项目工程分析</w:t>
      </w:r>
      <w:bookmarkEnd w:id="9"/>
      <w:bookmarkEnd w:id="10"/>
      <w:bookmarkEnd w:id="11"/>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8074"/>
      </w:tblGrid>
      <w:tr w14:paraId="2C0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 w:type="pct"/>
            <w:vAlign w:val="center"/>
          </w:tcPr>
          <w:p w14:paraId="4E326B3B">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12" w:name="_Toc1786"/>
            <w:bookmarkStart w:id="13" w:name="_Toc28930"/>
            <w:bookmarkStart w:id="14" w:name="_Toc23802"/>
            <w:bookmarkStart w:id="15" w:name="_Toc12660"/>
            <w:bookmarkStart w:id="16" w:name="_Toc28166"/>
            <w:r>
              <w:rPr>
                <w:rFonts w:hint="default" w:ascii="Times New Roman" w:hAnsi="Times New Roman" w:cs="Times New Roman"/>
                <w:color w:val="auto"/>
                <w:highlight w:val="none"/>
              </w:rPr>
              <w:t>建设内容</w:t>
            </w:r>
            <w:bookmarkEnd w:id="12"/>
            <w:bookmarkEnd w:id="13"/>
            <w:bookmarkEnd w:id="14"/>
            <w:bookmarkEnd w:id="15"/>
            <w:bookmarkEnd w:id="16"/>
          </w:p>
        </w:tc>
        <w:tc>
          <w:tcPr>
            <w:tcW w:w="4733" w:type="pct"/>
          </w:tcPr>
          <w:p w14:paraId="1C9483F5">
            <w:pPr>
              <w:keepNext/>
              <w:keepLines/>
              <w:tabs>
                <w:tab w:val="left" w:pos="0"/>
              </w:tabs>
              <w:ind w:left="-2" w:firstLine="480" w:firstLineChars="200"/>
              <w:jc w:val="left"/>
              <w:outlineLvl w:val="2"/>
              <w:rPr>
                <w:rFonts w:hint="default" w:ascii="Times New Roman" w:hAnsi="Times New Roman" w:cs="Times New Roman"/>
                <w:b/>
                <w:color w:val="auto"/>
                <w:highlight w:val="none"/>
              </w:rPr>
            </w:pPr>
            <w:r>
              <w:rPr>
                <w:rFonts w:hint="default" w:ascii="Times New Roman" w:hAnsi="Times New Roman" w:cs="Times New Roman"/>
                <w:b/>
                <w:color w:val="auto"/>
                <w:highlight w:val="none"/>
              </w:rPr>
              <w:t>一、项目由来</w:t>
            </w:r>
          </w:p>
          <w:p w14:paraId="7BCA8D8F">
            <w:pPr>
              <w:widowControl/>
              <w:ind w:firstLine="480" w:firstLineChars="200"/>
              <w:rPr>
                <w:rFonts w:hint="eastAsia" w:cs="Times New Roman"/>
                <w:color w:val="auto"/>
                <w:sz w:val="24"/>
                <w:highlight w:val="none"/>
                <w:u w:val="none"/>
                <w:lang w:val="en-US" w:eastAsia="zh-CN"/>
              </w:rPr>
            </w:pPr>
            <w:r>
              <w:rPr>
                <w:rFonts w:hint="eastAsia" w:cs="Times New Roman"/>
                <w:color w:val="auto"/>
                <w:highlight w:val="none"/>
                <w:u w:val="none"/>
              </w:rPr>
              <w:t>广东省粤联昌环保再生资源科技有限公司</w:t>
            </w:r>
            <w:r>
              <w:rPr>
                <w:rFonts w:hint="default" w:ascii="Times New Roman" w:hAnsi="Times New Roman" w:cs="Times New Roman"/>
                <w:color w:val="auto"/>
                <w:highlight w:val="none"/>
              </w:rPr>
              <w:t>（以下简称“建设单位”）</w:t>
            </w:r>
            <w:r>
              <w:rPr>
                <w:rFonts w:hint="eastAsia" w:cs="Times New Roman"/>
                <w:color w:val="auto"/>
                <w:sz w:val="24"/>
                <w:highlight w:val="none"/>
                <w:u w:val="none"/>
                <w:lang w:val="en-US" w:eastAsia="zh-CN"/>
              </w:rPr>
              <w:t>于2026年6月向乐昌市发展改革局申请办理了《广东省企业投资项目备案证》，备案项目名称：“</w:t>
            </w:r>
            <w:r>
              <w:rPr>
                <w:rFonts w:hint="eastAsia" w:cs="Times New Roman"/>
                <w:color w:val="auto"/>
                <w:highlight w:val="none"/>
                <w:u w:val="none"/>
              </w:rPr>
              <w:t>广东省粤联昌环保再生资源科技有限公司一般固废贮存收集分拣项目</w:t>
            </w:r>
            <w:r>
              <w:rPr>
                <w:rFonts w:hint="eastAsia" w:cs="Times New Roman"/>
                <w:color w:val="auto"/>
                <w:sz w:val="24"/>
                <w:highlight w:val="none"/>
                <w:u w:val="none"/>
                <w:lang w:val="en-US" w:eastAsia="zh-CN"/>
              </w:rPr>
              <w:t>”。</w:t>
            </w:r>
          </w:p>
          <w:p w14:paraId="32401EFC">
            <w:pPr>
              <w:widowControl/>
              <w:ind w:firstLine="480" w:firstLineChars="200"/>
              <w:rPr>
                <w:rFonts w:hint="default" w:ascii="Times New Roman" w:hAnsi="Times New Roman" w:cs="Times New Roman"/>
                <w:color w:val="auto"/>
                <w:highlight w:val="none"/>
              </w:rPr>
            </w:pPr>
            <w:r>
              <w:rPr>
                <w:rFonts w:hint="eastAsia" w:cs="Times New Roman"/>
                <w:color w:val="auto"/>
                <w:sz w:val="24"/>
                <w:highlight w:val="none"/>
                <w:u w:val="none"/>
                <w:lang w:val="en-US" w:eastAsia="zh-CN"/>
              </w:rPr>
              <w:t>建设单位</w:t>
            </w:r>
            <w:r>
              <w:rPr>
                <w:rFonts w:hint="default" w:ascii="Times New Roman" w:hAnsi="Times New Roman" w:cs="Times New Roman"/>
                <w:color w:val="auto"/>
                <w:highlight w:val="none"/>
              </w:rPr>
              <w:t>拟于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color w:val="auto"/>
                <w:kern w:val="0"/>
                <w:highlight w:val="none"/>
              </w:rPr>
              <w:t>，投资</w:t>
            </w:r>
            <w:r>
              <w:rPr>
                <w:rFonts w:hint="default" w:ascii="Times New Roman" w:hAnsi="Times New Roman" w:cs="Times New Roman"/>
                <w:color w:val="auto"/>
                <w:highlight w:val="none"/>
              </w:rPr>
              <w:t>建设“</w:t>
            </w:r>
            <w:r>
              <w:rPr>
                <w:rFonts w:hint="eastAsia" w:cs="Times New Roman"/>
                <w:color w:val="auto"/>
                <w:highlight w:val="none"/>
                <w:u w:val="none"/>
              </w:rPr>
              <w:t>一般固废贮存收集分拣项目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以下简称“本项目”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p>
          <w:p w14:paraId="2D26D381">
            <w:pPr>
              <w:widowControl/>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本项目总占地面积约</w:t>
            </w:r>
            <w:r>
              <w:rPr>
                <w:rFonts w:hint="eastAsia" w:cs="Times New Roman"/>
                <w:color w:val="auto"/>
                <w:kern w:val="24"/>
                <w:highlight w:val="none"/>
                <w:lang w:val="en-US" w:eastAsia="zh-CN"/>
              </w:rPr>
              <w:t>3420</w:t>
            </w:r>
            <w:r>
              <w:rPr>
                <w:rFonts w:hint="default" w:ascii="Times New Roman" w:hAnsi="Times New Roman" w:cs="Times New Roman"/>
                <w:color w:val="auto"/>
                <w:kern w:val="24"/>
                <w:highlight w:val="none"/>
              </w:rPr>
              <w:t>m</w:t>
            </w:r>
            <w:r>
              <w:rPr>
                <w:rFonts w:hint="default" w:ascii="Times New Roman" w:hAnsi="Times New Roman" w:cs="Times New Roman"/>
                <w:color w:val="auto"/>
                <w:kern w:val="24"/>
                <w:highlight w:val="none"/>
                <w:vertAlign w:val="superscript"/>
                <w:lang w:val="en-US" w:eastAsia="zh-CN"/>
              </w:rPr>
              <w:t>2</w:t>
            </w:r>
            <w:r>
              <w:rPr>
                <w:rFonts w:hint="default" w:ascii="Times New Roman" w:hAnsi="Times New Roman" w:cs="Times New Roman"/>
                <w:color w:val="auto"/>
                <w:highlight w:val="none"/>
              </w:rPr>
              <w:t>，总建筑面积</w:t>
            </w:r>
            <w:r>
              <w:rPr>
                <w:rFonts w:hint="eastAsia" w:cs="Times New Roman"/>
                <w:color w:val="auto"/>
                <w:kern w:val="24"/>
                <w:highlight w:val="none"/>
                <w:lang w:val="en-US" w:eastAsia="zh-CN"/>
              </w:rPr>
              <w:t>3420</w:t>
            </w:r>
            <w:r>
              <w:rPr>
                <w:rFonts w:hint="default" w:ascii="Times New Roman" w:hAnsi="Times New Roman" w:cs="Times New Roman"/>
                <w:color w:val="auto"/>
                <w:kern w:val="24"/>
                <w:highlight w:val="none"/>
              </w:rPr>
              <w:t>m</w:t>
            </w:r>
            <w:r>
              <w:rPr>
                <w:rFonts w:hint="default" w:ascii="Times New Roman" w:hAnsi="Times New Roman" w:cs="Times New Roman"/>
                <w:color w:val="auto"/>
                <w:kern w:val="24"/>
                <w:highlight w:val="none"/>
                <w:vertAlign w:val="superscript"/>
                <w:lang w:val="en-US" w:eastAsia="zh-CN"/>
              </w:rPr>
              <w:t>2</w:t>
            </w:r>
            <w:r>
              <w:rPr>
                <w:rFonts w:hint="default" w:ascii="Times New Roman" w:hAnsi="Times New Roman" w:cs="Times New Roman"/>
                <w:color w:val="auto"/>
                <w:highlight w:val="none"/>
              </w:rPr>
              <w:t>。项目总投资</w:t>
            </w:r>
            <w:r>
              <w:rPr>
                <w:rFonts w:hint="eastAsia" w:cs="Times New Roman"/>
                <w:color w:val="auto"/>
                <w:highlight w:val="none"/>
                <w:lang w:val="en-US" w:eastAsia="zh-CN"/>
              </w:rPr>
              <w:t>100</w:t>
            </w:r>
            <w:r>
              <w:rPr>
                <w:rFonts w:hint="default" w:ascii="Times New Roman" w:hAnsi="Times New Roman" w:cs="Times New Roman"/>
                <w:color w:val="auto"/>
                <w:highlight w:val="none"/>
              </w:rPr>
              <w:t>万元，其中环保投资</w:t>
            </w:r>
            <w:r>
              <w:rPr>
                <w:rFonts w:hint="eastAsia" w:cs="Times New Roman"/>
                <w:color w:val="auto"/>
                <w:highlight w:val="none"/>
                <w:lang w:val="en-US" w:eastAsia="zh-CN"/>
              </w:rPr>
              <w:t>5</w:t>
            </w:r>
            <w:r>
              <w:rPr>
                <w:rFonts w:hint="default" w:ascii="Times New Roman" w:hAnsi="Times New Roman" w:cs="Times New Roman"/>
                <w:color w:val="auto"/>
                <w:highlight w:val="none"/>
              </w:rPr>
              <w:t>万元。项目</w:t>
            </w:r>
            <w:r>
              <w:rPr>
                <w:rFonts w:hint="eastAsia" w:cs="Times New Roman"/>
                <w:color w:val="auto"/>
                <w:highlight w:val="none"/>
                <w:lang w:val="en-US" w:eastAsia="zh-CN"/>
              </w:rPr>
              <w:t>租赁</w:t>
            </w:r>
            <w:r>
              <w:rPr>
                <w:rFonts w:hint="default" w:ascii="Times New Roman" w:hAnsi="Times New Roman" w:cs="Times New Roman"/>
                <w:color w:val="auto"/>
                <w:highlight w:val="none"/>
                <w:lang w:val="en-US" w:eastAsia="zh-CN"/>
              </w:rPr>
              <w:t>乐昌市华轩针织制衣有限公司位于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bCs/>
                <w:color w:val="auto"/>
                <w:sz w:val="24"/>
                <w:highlight w:val="none"/>
                <w:lang w:val="en-US" w:eastAsia="zh-CN"/>
              </w:rPr>
              <w:t>进行生产</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本项目的运营不影响</w:t>
            </w:r>
            <w:r>
              <w:rPr>
                <w:rFonts w:hint="default" w:ascii="Times New Roman" w:hAnsi="Times New Roman" w:cs="Times New Roman"/>
                <w:color w:val="auto"/>
                <w:highlight w:val="none"/>
                <w:lang w:val="en-US" w:eastAsia="zh-CN"/>
              </w:rPr>
              <w:t>乐昌市华轩针织制衣有限公司</w:t>
            </w:r>
            <w:r>
              <w:rPr>
                <w:rFonts w:hint="eastAsia" w:cs="Times New Roman"/>
                <w:color w:val="auto"/>
                <w:highlight w:val="none"/>
                <w:lang w:val="en-US" w:eastAsia="zh-CN"/>
              </w:rPr>
              <w:t>的正常生产。</w:t>
            </w:r>
          </w:p>
          <w:p w14:paraId="224C3795">
            <w:pPr>
              <w:widowControl/>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本项目</w:t>
            </w:r>
            <w:r>
              <w:rPr>
                <w:rFonts w:hint="default" w:ascii="Times New Roman" w:hAnsi="Times New Roman" w:cs="Times New Roman"/>
                <w:color w:val="auto"/>
                <w:highlight w:val="none"/>
                <w:lang w:val="en-US" w:eastAsia="zh-CN"/>
              </w:rPr>
              <w:t>主要从事</w:t>
            </w:r>
            <w:r>
              <w:rPr>
                <w:rFonts w:hint="eastAsia" w:cs="Times New Roman"/>
                <w:color w:val="auto"/>
                <w:highlight w:val="none"/>
                <w:lang w:val="en-US" w:eastAsia="zh-CN"/>
              </w:rPr>
              <w:t>一般工业固体废物分拣、压实</w:t>
            </w:r>
            <w:r>
              <w:rPr>
                <w:rFonts w:hint="default" w:ascii="Times New Roman" w:hAnsi="Times New Roman" w:cs="Times New Roman"/>
                <w:color w:val="auto"/>
                <w:highlight w:val="none"/>
                <w:lang w:val="en-US" w:eastAsia="zh-CN"/>
              </w:rPr>
              <w:t>，预计年</w:t>
            </w:r>
            <w:r>
              <w:rPr>
                <w:rFonts w:hint="eastAsia" w:cs="Times New Roman"/>
                <w:color w:val="auto"/>
                <w:highlight w:val="none"/>
                <w:lang w:val="en-US" w:eastAsia="zh-CN"/>
              </w:rPr>
              <w:t>处理8万吨一般工业固体废物</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szCs w:val="24"/>
                <w:highlight w:val="none"/>
              </w:rPr>
              <w:t>行业类别为N7723 固体废物治理，根据《中华人民共和国环境影响评价法》、国务院令第682号《国务院关于修改〈建设项目环境保护管理条例〉的决定》及《建设项目环境影响评价分类管理名录》(2021年版)，本项目属于四十七、生态保护和环境治理业-103一般工业固体废物（含污水处理污泥）、建筑施工废弃物处置及综合利用-其他，应当编制环境影响报告表。评价单位在建设单位大力支持下，立即开展了详细的现场调查、资料收集工作，在对本项目的环境现状和可能造成的环境影响进行分析后，依照《建设项目环境影响报告表编制技术指南(污染影响类)</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试行</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》的要求编制了本项目环境影响报告表。</w:t>
            </w:r>
          </w:p>
          <w:p w14:paraId="14A14F00">
            <w:pPr>
              <w:pStyle w:val="9"/>
              <w:numPr>
                <w:ilvl w:val="0"/>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二、项目内容及规模</w:t>
            </w:r>
            <w:bookmarkStart w:id="158" w:name="_GoBack"/>
            <w:bookmarkEnd w:id="158"/>
          </w:p>
          <w:p w14:paraId="4F2772D2">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1、</w:t>
            </w:r>
            <w:r>
              <w:rPr>
                <w:rFonts w:hint="default" w:ascii="Times New Roman" w:hAnsi="Times New Roman" w:cs="Times New Roman"/>
                <w:color w:val="auto"/>
                <w:highlight w:val="none"/>
              </w:rPr>
              <w:t>工程规模</w:t>
            </w:r>
          </w:p>
          <w:p w14:paraId="5CA75543">
            <w:pPr>
              <w:ind w:firstLine="480" w:firstLineChars="200"/>
              <w:rPr>
                <w:rFonts w:hint="default" w:ascii="Times New Roman" w:hAnsi="Times New Roman" w:cs="Times New Roman"/>
                <w:color w:val="auto"/>
                <w:highlight w:val="none"/>
              </w:rPr>
            </w:pPr>
            <w:r>
              <w:rPr>
                <w:rFonts w:hint="default" w:ascii="Times New Roman" w:hAnsi="Times New Roman" w:cs="Times New Roman"/>
                <w:bCs/>
                <w:color w:val="auto"/>
                <w:sz w:val="24"/>
                <w:highlight w:val="none"/>
                <w:lang w:val="en-US" w:eastAsia="zh-CN"/>
              </w:rPr>
              <w:t>本项目</w:t>
            </w:r>
            <w:r>
              <w:rPr>
                <w:rFonts w:hint="eastAsia" w:cs="Times New Roman"/>
                <w:bCs/>
                <w:color w:val="auto"/>
                <w:sz w:val="24"/>
                <w:highlight w:val="none"/>
                <w:lang w:val="en-US" w:eastAsia="zh-CN"/>
              </w:rPr>
              <w:t>租赁</w:t>
            </w:r>
            <w:r>
              <w:rPr>
                <w:rFonts w:hint="default" w:ascii="Times New Roman" w:hAnsi="Times New Roman" w:cs="Times New Roman"/>
                <w:bCs/>
                <w:color w:val="auto"/>
                <w:sz w:val="24"/>
                <w:highlight w:val="none"/>
                <w:lang w:val="en-US" w:eastAsia="zh-CN"/>
              </w:rPr>
              <w:t>位于</w:t>
            </w:r>
            <w:r>
              <w:rPr>
                <w:rFonts w:hint="default" w:ascii="Times New Roman" w:hAnsi="Times New Roman" w:cs="Times New Roman"/>
                <w:bCs/>
                <w:color w:val="auto"/>
                <w:sz w:val="24"/>
                <w:highlight w:val="none"/>
                <w:lang w:eastAsia="zh-CN"/>
              </w:rPr>
              <w:t>广东省乐昌市乐廊路六公里乐昌市产业转移园鸿图工艺厂房A2</w:t>
            </w:r>
            <w:r>
              <w:rPr>
                <w:rFonts w:hint="default" w:ascii="Times New Roman" w:hAnsi="Times New Roman" w:cs="Times New Roman"/>
                <w:color w:val="auto"/>
                <w:highlight w:val="none"/>
                <w:lang w:val="en-US" w:eastAsia="zh-CN"/>
              </w:rPr>
              <w:t>进行生产活动。厂区</w:t>
            </w:r>
            <w:r>
              <w:rPr>
                <w:rFonts w:hint="default" w:ascii="Times New Roman" w:hAnsi="Times New Roman" w:cs="Times New Roman"/>
                <w:color w:val="auto"/>
                <w:highlight w:val="none"/>
              </w:rPr>
              <w:t>面布置图见附图</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zh-CN"/>
              </w:rPr>
              <w:t>工程组成见表</w:t>
            </w: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zh-CN"/>
              </w:rPr>
              <w:t>。</w:t>
            </w:r>
          </w:p>
          <w:p w14:paraId="6F816D30">
            <w:pPr>
              <w:spacing w:line="360" w:lineRule="auto"/>
              <w:jc w:val="center"/>
              <w:rPr>
                <w:rFonts w:hint="default" w:ascii="Times New Roman" w:hAnsi="Times New Roman" w:cs="Times New Roman"/>
                <w:b/>
                <w:bCs/>
                <w:color w:val="auto"/>
                <w:sz w:val="21"/>
                <w:szCs w:val="21"/>
                <w:highlight w:val="none"/>
              </w:rPr>
            </w:pPr>
          </w:p>
          <w:p w14:paraId="69E57A29">
            <w:pPr>
              <w:spacing w:line="360" w:lineRule="auto"/>
              <w:jc w:val="center"/>
              <w:rPr>
                <w:rFonts w:hint="default" w:ascii="Times New Roman" w:hAnsi="Times New Roman" w:cs="Times New Roman"/>
                <w:b/>
                <w:bCs/>
                <w:color w:val="auto"/>
                <w:sz w:val="21"/>
                <w:szCs w:val="21"/>
                <w:highlight w:val="none"/>
              </w:rPr>
            </w:pPr>
          </w:p>
          <w:p w14:paraId="53A1CC5C">
            <w:pPr>
              <w:spacing w:line="360" w:lineRule="auto"/>
              <w:jc w:val="center"/>
              <w:rPr>
                <w:rFonts w:hint="default" w:ascii="Times New Roman" w:hAnsi="Times New Roman" w:cs="Times New Roman"/>
                <w:b/>
                <w:bCs/>
                <w:color w:val="auto"/>
                <w:sz w:val="21"/>
                <w:szCs w:val="21"/>
                <w:highlight w:val="none"/>
              </w:rPr>
            </w:pPr>
          </w:p>
          <w:p w14:paraId="75B02A5B">
            <w:pPr>
              <w:spacing w:line="36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1</w:t>
            </w:r>
            <w:r>
              <w:rPr>
                <w:rFonts w:hint="default" w:ascii="Times New Roman" w:hAnsi="Times New Roman" w:cs="Times New Roman"/>
                <w:b/>
                <w:bCs/>
                <w:color w:val="auto"/>
                <w:sz w:val="21"/>
                <w:szCs w:val="21"/>
                <w:highlight w:val="none"/>
              </w:rPr>
              <w:t>工程组成一览表</w:t>
            </w:r>
          </w:p>
          <w:tbl>
            <w:tblPr>
              <w:tblStyle w:val="45"/>
              <w:tblW w:w="8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603"/>
              <w:gridCol w:w="1116"/>
              <w:gridCol w:w="4464"/>
              <w:gridCol w:w="236"/>
            </w:tblGrid>
            <w:tr w14:paraId="7C1D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2268" w:type="dxa"/>
                  <w:gridSpan w:val="2"/>
                  <w:vAlign w:val="center"/>
                </w:tcPr>
                <w:p w14:paraId="4D1F919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工程类别</w:t>
                  </w:r>
                </w:p>
              </w:tc>
              <w:tc>
                <w:tcPr>
                  <w:tcW w:w="1116" w:type="dxa"/>
                  <w:vAlign w:val="center"/>
                </w:tcPr>
                <w:p w14:paraId="0858CD0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工程组成</w:t>
                  </w:r>
                </w:p>
              </w:tc>
              <w:tc>
                <w:tcPr>
                  <w:tcW w:w="4700" w:type="dxa"/>
                  <w:gridSpan w:val="2"/>
                  <w:vAlign w:val="center"/>
                </w:tcPr>
                <w:p w14:paraId="2A0B3F9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工程建设规模及内容</w:t>
                  </w:r>
                </w:p>
              </w:tc>
            </w:tr>
            <w:tr w14:paraId="16F8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5" w:type="dxa"/>
                  <w:vAlign w:val="center"/>
                </w:tcPr>
                <w:p w14:paraId="2C408CE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主体工程</w:t>
                  </w:r>
                </w:p>
              </w:tc>
              <w:tc>
                <w:tcPr>
                  <w:tcW w:w="1603" w:type="dxa"/>
                  <w:vAlign w:val="center"/>
                </w:tcPr>
                <w:p w14:paraId="2D4220FF">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厂房</w:t>
                  </w:r>
                </w:p>
              </w:tc>
              <w:tc>
                <w:tcPr>
                  <w:tcW w:w="1116" w:type="dxa"/>
                  <w:vAlign w:val="center"/>
                </w:tcPr>
                <w:p w14:paraId="5B5F8FE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F</w:t>
                  </w:r>
                </w:p>
              </w:tc>
              <w:tc>
                <w:tcPr>
                  <w:tcW w:w="4700" w:type="dxa"/>
                  <w:gridSpan w:val="2"/>
                  <w:vAlign w:val="center"/>
                </w:tcPr>
                <w:p w14:paraId="37186BC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建筑面积</w:t>
                  </w:r>
                  <w:r>
                    <w:rPr>
                      <w:rFonts w:hint="eastAsia" w:cs="Times New Roman"/>
                      <w:color w:val="auto"/>
                      <w:sz w:val="21"/>
                      <w:szCs w:val="21"/>
                      <w:highlight w:val="none"/>
                      <w:lang w:val="en-US" w:eastAsia="zh-CN"/>
                    </w:rPr>
                    <w:t>3420</w:t>
                  </w:r>
                  <w:r>
                    <w:rPr>
                      <w:rFonts w:hint="default" w:ascii="Times New Roman" w:hAnsi="Times New Roman" w:cs="Times New Roman"/>
                      <w:color w:val="auto"/>
                      <w:sz w:val="21"/>
                      <w:szCs w:val="21"/>
                      <w:highlight w:val="none"/>
                      <w:lang w:val="en-US" w:eastAsia="zh-CN"/>
                    </w:rPr>
                    <w:t>平方米，层高</w:t>
                  </w:r>
                  <w:r>
                    <w:rPr>
                      <w:rFonts w:hint="eastAsia" w:cs="Times New Roman"/>
                      <w:color w:val="auto"/>
                      <w:sz w:val="21"/>
                      <w:szCs w:val="21"/>
                      <w:highlight w:val="none"/>
                      <w:lang w:val="en-US" w:eastAsia="zh-CN"/>
                    </w:rPr>
                    <w:t>8</w:t>
                  </w:r>
                  <w:r>
                    <w:rPr>
                      <w:rFonts w:hint="default" w:ascii="Times New Roman" w:hAnsi="Times New Roman" w:cs="Times New Roman"/>
                      <w:color w:val="auto"/>
                      <w:sz w:val="21"/>
                      <w:szCs w:val="21"/>
                      <w:highlight w:val="none"/>
                      <w:lang w:val="en-US" w:eastAsia="zh-CN"/>
                    </w:rPr>
                    <w:t>m，</w:t>
                  </w:r>
                  <w:r>
                    <w:rPr>
                      <w:rFonts w:hint="eastAsia" w:cs="Times New Roman"/>
                      <w:color w:val="auto"/>
                      <w:sz w:val="21"/>
                      <w:szCs w:val="21"/>
                      <w:highlight w:val="none"/>
                      <w:lang w:val="en-US" w:eastAsia="zh-CN"/>
                    </w:rPr>
                    <w:t>为人工分拣区、堆放点、贮存区，有一台立式液压打包机</w:t>
                  </w:r>
                </w:p>
              </w:tc>
            </w:tr>
            <w:tr w14:paraId="7A99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5" w:type="dxa"/>
                  <w:vAlign w:val="center"/>
                </w:tcPr>
                <w:p w14:paraId="15C9C28B">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辅助工程</w:t>
                  </w:r>
                </w:p>
              </w:tc>
              <w:tc>
                <w:tcPr>
                  <w:tcW w:w="1603" w:type="dxa"/>
                  <w:vAlign w:val="center"/>
                </w:tcPr>
                <w:p w14:paraId="2575F55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办公区</w:t>
                  </w:r>
                </w:p>
              </w:tc>
              <w:tc>
                <w:tcPr>
                  <w:tcW w:w="5816" w:type="dxa"/>
                  <w:gridSpan w:val="3"/>
                  <w:vAlign w:val="center"/>
                </w:tcPr>
                <w:p w14:paraId="74A44055">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sz w:val="21"/>
                      <w:szCs w:val="21"/>
                      <w:highlight w:val="none"/>
                      <w:lang w:val="en-US" w:eastAsia="zh-CN"/>
                    </w:rPr>
                  </w:pPr>
                  <w:r>
                    <w:rPr>
                      <w:rFonts w:hint="default"/>
                      <w:color w:val="auto"/>
                      <w:highlight w:val="none"/>
                    </w:rPr>
                    <w:t>员工办公区，位于厂房内</w:t>
                  </w:r>
                  <w:r>
                    <w:rPr>
                      <w:rFonts w:hint="eastAsia"/>
                      <w:color w:val="auto"/>
                      <w:highlight w:val="none"/>
                      <w:lang w:eastAsia="zh-CN"/>
                    </w:rPr>
                    <w:t>西</w:t>
                  </w:r>
                  <w:r>
                    <w:rPr>
                      <w:rFonts w:hint="default"/>
                      <w:color w:val="auto"/>
                      <w:highlight w:val="none"/>
                    </w:rPr>
                    <w:t>南角</w:t>
                  </w:r>
                </w:p>
              </w:tc>
            </w:tr>
            <w:tr w14:paraId="729F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83" w:hRule="atLeast"/>
              </w:trPr>
              <w:tc>
                <w:tcPr>
                  <w:tcW w:w="665" w:type="dxa"/>
                  <w:vMerge w:val="restart"/>
                  <w:vAlign w:val="center"/>
                </w:tcPr>
                <w:p w14:paraId="2708699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公用工程</w:t>
                  </w:r>
                </w:p>
              </w:tc>
              <w:tc>
                <w:tcPr>
                  <w:tcW w:w="1603" w:type="dxa"/>
                  <w:vAlign w:val="center"/>
                </w:tcPr>
                <w:p w14:paraId="502AECA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给排水</w:t>
                  </w:r>
                </w:p>
              </w:tc>
              <w:tc>
                <w:tcPr>
                  <w:tcW w:w="5580" w:type="dxa"/>
                  <w:gridSpan w:val="2"/>
                  <w:vAlign w:val="center"/>
                </w:tcPr>
                <w:p w14:paraId="63963E4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市政给水</w:t>
                  </w:r>
                </w:p>
              </w:tc>
            </w:tr>
            <w:tr w14:paraId="455A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83" w:hRule="atLeast"/>
              </w:trPr>
              <w:tc>
                <w:tcPr>
                  <w:tcW w:w="665" w:type="dxa"/>
                  <w:vMerge w:val="continue"/>
                  <w:vAlign w:val="center"/>
                </w:tcPr>
                <w:p w14:paraId="1CC06EA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16A8F74B">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zh-CN" w:eastAsia="zh-CN" w:bidi="ar-SA"/>
                    </w:rPr>
                  </w:pPr>
                  <w:r>
                    <w:rPr>
                      <w:rFonts w:hint="default" w:ascii="Times New Roman" w:hAnsi="Times New Roman" w:cs="Times New Roman"/>
                      <w:color w:val="auto"/>
                      <w:highlight w:val="none"/>
                    </w:rPr>
                    <w:t>供电</w:t>
                  </w:r>
                </w:p>
              </w:tc>
              <w:tc>
                <w:tcPr>
                  <w:tcW w:w="5580" w:type="dxa"/>
                  <w:gridSpan w:val="2"/>
                  <w:vAlign w:val="center"/>
                </w:tcPr>
                <w:p w14:paraId="2275BA8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en-US" w:eastAsia="zh-CN" w:bidi="ar-SA"/>
                    </w:rPr>
                  </w:pPr>
                  <w:r>
                    <w:rPr>
                      <w:rFonts w:hint="default" w:ascii="Times New Roman" w:hAnsi="Times New Roman" w:cs="Times New Roman"/>
                      <w:color w:val="auto"/>
                      <w:highlight w:val="none"/>
                    </w:rPr>
                    <w:t>市政供电</w:t>
                  </w:r>
                </w:p>
              </w:tc>
            </w:tr>
            <w:tr w14:paraId="725C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41" w:hRule="atLeast"/>
              </w:trPr>
              <w:tc>
                <w:tcPr>
                  <w:tcW w:w="665" w:type="dxa"/>
                  <w:vMerge w:val="restart"/>
                  <w:vAlign w:val="center"/>
                </w:tcPr>
                <w:p w14:paraId="179E87C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环保工程</w:t>
                  </w:r>
                </w:p>
              </w:tc>
              <w:tc>
                <w:tcPr>
                  <w:tcW w:w="1603" w:type="dxa"/>
                  <w:vAlign w:val="center"/>
                </w:tcPr>
                <w:p w14:paraId="006FAD0F">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废气处理设施</w:t>
                  </w:r>
                </w:p>
              </w:tc>
              <w:tc>
                <w:tcPr>
                  <w:tcW w:w="5580" w:type="dxa"/>
                  <w:gridSpan w:val="2"/>
                  <w:vAlign w:val="center"/>
                </w:tcPr>
                <w:p w14:paraId="1C9F8C10">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bCs/>
                      <w:color w:val="auto"/>
                      <w:kern w:val="2"/>
                      <w:sz w:val="21"/>
                      <w:szCs w:val="24"/>
                      <w:highlight w:val="none"/>
                      <w:lang w:val="en-US" w:eastAsia="zh-CN" w:bidi="ar-SA"/>
                    </w:rPr>
                  </w:pPr>
                  <w:r>
                    <w:rPr>
                      <w:rFonts w:hint="eastAsia" w:cs="Times New Roman"/>
                      <w:color w:val="auto"/>
                      <w:highlight w:val="none"/>
                      <w:lang w:val="en-US" w:eastAsia="zh-CN"/>
                    </w:rPr>
                    <w:t>分拣、压实工序产生的少量颗粒物与臭气浓度，通过加强厂房通风，减少无组织排放产生的污染</w:t>
                  </w:r>
                </w:p>
              </w:tc>
            </w:tr>
            <w:tr w14:paraId="3459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541" w:hRule="atLeast"/>
              </w:trPr>
              <w:tc>
                <w:tcPr>
                  <w:tcW w:w="665" w:type="dxa"/>
                  <w:vMerge w:val="continue"/>
                  <w:vAlign w:val="center"/>
                </w:tcPr>
                <w:p w14:paraId="4E95916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35A7AF91">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废水处理设施</w:t>
                  </w:r>
                </w:p>
              </w:tc>
              <w:tc>
                <w:tcPr>
                  <w:tcW w:w="5580" w:type="dxa"/>
                  <w:gridSpan w:val="2"/>
                  <w:vAlign w:val="center"/>
                </w:tcPr>
                <w:p w14:paraId="21F65FB6">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cs="Times New Roman"/>
                      <w:color w:val="auto"/>
                      <w:highlight w:val="none"/>
                      <w:lang w:val="en-US" w:eastAsia="zh-CN"/>
                    </w:rPr>
                  </w:pPr>
                  <w:r>
                    <w:rPr>
                      <w:rFonts w:hint="eastAsia" w:cs="Times New Roman"/>
                      <w:color w:val="auto"/>
                      <w:highlight w:val="none"/>
                      <w:lang w:val="en-US" w:eastAsia="zh-CN"/>
                    </w:rPr>
                    <w:t>生活污水经三级化粪池（依托乐昌市华轩针织制衣有限公司）预处理后，</w:t>
                  </w:r>
                  <w:r>
                    <w:rPr>
                      <w:rFonts w:hint="default" w:ascii="Times New Roman" w:hAnsi="Times New Roman" w:cs="Times New Roman"/>
                      <w:color w:val="auto"/>
                      <w:sz w:val="21"/>
                      <w:szCs w:val="21"/>
                      <w:highlight w:val="none"/>
                    </w:rPr>
                    <w:t>排入园区污水处理厂进一步处理</w:t>
                  </w:r>
                </w:p>
              </w:tc>
            </w:tr>
            <w:tr w14:paraId="5F0D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76" w:hRule="atLeast"/>
              </w:trPr>
              <w:tc>
                <w:tcPr>
                  <w:tcW w:w="665" w:type="dxa"/>
                  <w:vMerge w:val="continue"/>
                  <w:vAlign w:val="center"/>
                </w:tcPr>
                <w:p w14:paraId="04C287B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1DCFD4DC">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噪声处理设施</w:t>
                  </w:r>
                </w:p>
              </w:tc>
              <w:tc>
                <w:tcPr>
                  <w:tcW w:w="5580" w:type="dxa"/>
                  <w:gridSpan w:val="2"/>
                  <w:vAlign w:val="center"/>
                </w:tcPr>
                <w:p w14:paraId="649DD08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减震、隔声措施</w:t>
                  </w:r>
                </w:p>
              </w:tc>
            </w:tr>
            <w:tr w14:paraId="5036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279" w:hRule="atLeast"/>
              </w:trPr>
              <w:tc>
                <w:tcPr>
                  <w:tcW w:w="665" w:type="dxa"/>
                  <w:vMerge w:val="continue"/>
                  <w:vAlign w:val="center"/>
                </w:tcPr>
                <w:p w14:paraId="1E3E28E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Merge w:val="restart"/>
                  <w:vAlign w:val="center"/>
                </w:tcPr>
                <w:p w14:paraId="39F45062">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固废处理设施</w:t>
                  </w:r>
                </w:p>
              </w:tc>
              <w:tc>
                <w:tcPr>
                  <w:tcW w:w="5580" w:type="dxa"/>
                  <w:gridSpan w:val="2"/>
                  <w:vAlign w:val="center"/>
                </w:tcPr>
                <w:p w14:paraId="0B8629ED">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设</w:t>
                  </w:r>
                  <w:r>
                    <w:rPr>
                      <w:rFonts w:hint="default" w:ascii="Times New Roman" w:hAnsi="Times New Roman" w:cs="Times New Roman"/>
                      <w:color w:val="auto"/>
                      <w:highlight w:val="none"/>
                      <w:lang w:eastAsia="zh-CN"/>
                    </w:rPr>
                    <w:t>一般固废暂存</w:t>
                  </w:r>
                  <w:r>
                    <w:rPr>
                      <w:rFonts w:hint="eastAsia" w:cs="Times New Roman"/>
                      <w:color w:val="auto"/>
                      <w:highlight w:val="none"/>
                      <w:lang w:val="en-US" w:eastAsia="zh-CN"/>
                    </w:rPr>
                    <w:t>区</w:t>
                  </w:r>
                  <w:r>
                    <w:rPr>
                      <w:rFonts w:hint="default" w:ascii="Times New Roman" w:hAnsi="Times New Roman" w:cs="Times New Roman"/>
                      <w:color w:val="auto"/>
                      <w:highlight w:val="none"/>
                      <w:lang w:eastAsia="zh-CN"/>
                    </w:rPr>
                    <w:t>，一般固废收集后交由专业公司回收处理</w:t>
                  </w:r>
                </w:p>
              </w:tc>
            </w:tr>
            <w:tr w14:paraId="1341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7" w:hRule="atLeast"/>
              </w:trPr>
              <w:tc>
                <w:tcPr>
                  <w:tcW w:w="665" w:type="dxa"/>
                  <w:vMerge w:val="continue"/>
                  <w:vAlign w:val="center"/>
                </w:tcPr>
                <w:p w14:paraId="13DE0613">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Merge w:val="continue"/>
                  <w:vAlign w:val="center"/>
                </w:tcPr>
                <w:p w14:paraId="4FA5F404">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5580" w:type="dxa"/>
                  <w:gridSpan w:val="2"/>
                  <w:vAlign w:val="center"/>
                </w:tcPr>
                <w:p w14:paraId="1E841557">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val="en-US"/>
                    </w:rPr>
                  </w:pPr>
                  <w:r>
                    <w:rPr>
                      <w:rFonts w:hint="eastAsia" w:cs="Times New Roman"/>
                      <w:color w:val="auto"/>
                      <w:highlight w:val="none"/>
                      <w:lang w:val="en-US" w:eastAsia="zh-CN"/>
                    </w:rPr>
                    <w:t>危废</w:t>
                  </w:r>
                  <w:r>
                    <w:rPr>
                      <w:rFonts w:hint="default" w:ascii="Times New Roman" w:hAnsi="Times New Roman" w:cs="Times New Roman"/>
                      <w:color w:val="auto"/>
                      <w:highlight w:val="none"/>
                      <w:lang w:eastAsia="zh-CN"/>
                    </w:rPr>
                    <w:t>暂存间位</w:t>
                  </w:r>
                  <w:r>
                    <w:rPr>
                      <w:rFonts w:hint="default" w:ascii="Times New Roman" w:hAnsi="Times New Roman" w:cs="Times New Roman"/>
                      <w:color w:val="auto"/>
                      <w:highlight w:val="none"/>
                      <w:lang w:val="en-US" w:eastAsia="zh-CN"/>
                    </w:rPr>
                    <w:t>于厂房</w:t>
                  </w:r>
                  <w:r>
                    <w:rPr>
                      <w:rFonts w:hint="eastAsia" w:cs="Times New Roman"/>
                      <w:color w:val="auto"/>
                      <w:highlight w:val="none"/>
                      <w:lang w:val="en-US" w:eastAsia="zh-CN"/>
                    </w:rPr>
                    <w:t>东</w:t>
                  </w:r>
                  <w:r>
                    <w:rPr>
                      <w:rFonts w:hint="default" w:ascii="Times New Roman" w:hAnsi="Times New Roman" w:cs="Times New Roman"/>
                      <w:color w:val="auto"/>
                      <w:highlight w:val="none"/>
                      <w:lang w:val="en-US" w:eastAsia="zh-CN"/>
                    </w:rPr>
                    <w:t>侧</w:t>
                  </w:r>
                  <w:r>
                    <w:rPr>
                      <w:rFonts w:hint="default" w:ascii="Times New Roman" w:hAnsi="Times New Roman" w:cs="Times New Roman"/>
                      <w:color w:val="auto"/>
                      <w:highlight w:val="none"/>
                      <w:lang w:eastAsia="zh-CN"/>
                    </w:rPr>
                    <w:t>，占地面积约</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，危险废物收集后交由有危险废物处理资质单位处置</w:t>
                  </w:r>
                </w:p>
              </w:tc>
            </w:tr>
            <w:tr w14:paraId="422D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6" w:type="dxa"/>
                <w:trHeight w:val="807" w:hRule="atLeast"/>
              </w:trPr>
              <w:tc>
                <w:tcPr>
                  <w:tcW w:w="665" w:type="dxa"/>
                  <w:vMerge w:val="continue"/>
                  <w:vAlign w:val="center"/>
                </w:tcPr>
                <w:p w14:paraId="3E8E696A">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p>
              </w:tc>
              <w:tc>
                <w:tcPr>
                  <w:tcW w:w="1603" w:type="dxa"/>
                  <w:vAlign w:val="center"/>
                </w:tcPr>
                <w:p w14:paraId="7273D89E">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rPr>
                  </w:pPr>
                  <w:r>
                    <w:rPr>
                      <w:rFonts w:hint="eastAsia" w:cs="Times New Roman"/>
                      <w:color w:val="auto"/>
                      <w:highlight w:val="none"/>
                      <w:lang w:val="en-US" w:eastAsia="zh-CN"/>
                    </w:rPr>
                    <w:t>风险防范应急措施</w:t>
                  </w:r>
                </w:p>
              </w:tc>
              <w:tc>
                <w:tcPr>
                  <w:tcW w:w="5580" w:type="dxa"/>
                  <w:gridSpan w:val="2"/>
                  <w:vAlign w:val="center"/>
                </w:tcPr>
                <w:p w14:paraId="1913F447">
                  <w:pPr>
                    <w:pStyle w:val="95"/>
                    <w:keepNext w:val="0"/>
                    <w:keepLines w:val="0"/>
                    <w:pageBreakBefore w:val="0"/>
                    <w:widowControl w:val="0"/>
                    <w:kinsoku/>
                    <w:wordWrap/>
                    <w:overflowPunct/>
                    <w:topLinePunct w:val="0"/>
                    <w:autoSpaceDE/>
                    <w:autoSpaceDN/>
                    <w:bidi w:val="0"/>
                    <w:adjustRightInd w:val="0"/>
                    <w:snapToGrid w:val="0"/>
                    <w:textAlignment w:val="auto"/>
                    <w:rPr>
                      <w:rFonts w:hint="default" w:cs="Times New Roman"/>
                      <w:color w:val="auto"/>
                      <w:highlight w:val="none"/>
                      <w:lang w:val="en-US" w:eastAsia="zh-CN"/>
                    </w:rPr>
                  </w:pPr>
                  <w:r>
                    <w:rPr>
                      <w:rFonts w:hint="eastAsia" w:cs="Times New Roman"/>
                      <w:color w:val="auto"/>
                      <w:highlight w:val="none"/>
                      <w:lang w:val="en-US" w:eastAsia="zh-CN"/>
                    </w:rPr>
                    <w:t>设事故应急池：220m</w:t>
                  </w:r>
                  <w:r>
                    <w:rPr>
                      <w:rFonts w:hint="eastAsia" w:cs="Times New Roman"/>
                      <w:color w:val="auto"/>
                      <w:highlight w:val="none"/>
                      <w:vertAlign w:val="superscript"/>
                      <w:lang w:val="en-US" w:eastAsia="zh-CN"/>
                    </w:rPr>
                    <w:t>3</w:t>
                  </w:r>
                </w:p>
              </w:tc>
            </w:tr>
          </w:tbl>
          <w:p w14:paraId="30611F11">
            <w:pPr>
              <w:pStyle w:val="10"/>
              <w:numPr>
                <w:ilvl w:val="3"/>
                <w:numId w:val="0"/>
              </w:numPr>
              <w:ind w:left="-960" w:firstLine="144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szCs w:val="24"/>
                <w:highlight w:val="none"/>
              </w:rPr>
              <w:t>2、</w:t>
            </w:r>
            <w:r>
              <w:rPr>
                <w:rFonts w:hint="eastAsia" w:cs="Times New Roman"/>
                <w:color w:val="auto"/>
                <w:szCs w:val="24"/>
                <w:highlight w:val="none"/>
                <w:lang w:val="en-US" w:eastAsia="zh-CN"/>
              </w:rPr>
              <w:t>建设规模</w:t>
            </w:r>
          </w:p>
          <w:p w14:paraId="4762F18F">
            <w:pPr>
              <w:tabs>
                <w:tab w:val="left" w:pos="6960"/>
              </w:tabs>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eastAsia" w:cs="Times New Roman"/>
                <w:color w:val="auto"/>
                <w:highlight w:val="none"/>
                <w:lang w:val="en-US" w:eastAsia="zh-CN"/>
              </w:rPr>
              <w:t>建设规模</w:t>
            </w:r>
            <w:r>
              <w:rPr>
                <w:rFonts w:hint="default" w:ascii="Times New Roman" w:hAnsi="Times New Roman" w:cs="Times New Roman"/>
                <w:color w:val="auto"/>
                <w:highlight w:val="none"/>
              </w:rPr>
              <w:t>见下表。</w:t>
            </w:r>
          </w:p>
          <w:p w14:paraId="42B386E0">
            <w:pPr>
              <w:widowControl/>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2</w:t>
            </w:r>
            <w:r>
              <w:rPr>
                <w:rFonts w:hint="eastAsia" w:cs="Times New Roman"/>
                <w:b/>
                <w:bCs/>
                <w:color w:val="auto"/>
                <w:sz w:val="21"/>
                <w:szCs w:val="21"/>
                <w:highlight w:val="none"/>
                <w:lang w:val="en-US" w:eastAsia="zh-CN"/>
              </w:rPr>
              <w:t>项目方</w:t>
            </w:r>
            <w:r>
              <w:rPr>
                <w:rFonts w:hint="eastAsia" w:cs="Times New Roman"/>
                <w:b/>
                <w:color w:val="auto"/>
                <w:sz w:val="21"/>
                <w:szCs w:val="21"/>
                <w:highlight w:val="none"/>
                <w:lang w:val="en-US" w:eastAsia="zh-CN"/>
              </w:rPr>
              <w:t>案</w:t>
            </w:r>
            <w:r>
              <w:rPr>
                <w:rFonts w:hint="default" w:ascii="Times New Roman" w:hAnsi="Times New Roman" w:cs="Times New Roman"/>
                <w:b/>
                <w:color w:val="auto"/>
                <w:sz w:val="21"/>
                <w:szCs w:val="21"/>
                <w:highlight w:val="none"/>
              </w:rPr>
              <w:t>一览表</w:t>
            </w:r>
          </w:p>
          <w:tbl>
            <w:tblPr>
              <w:tblStyle w:val="44"/>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246"/>
              <w:gridCol w:w="3812"/>
              <w:gridCol w:w="2797"/>
            </w:tblGrid>
            <w:tr w14:paraId="050A656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59E4817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color w:val="auto"/>
                      <w:sz w:val="21"/>
                      <w:szCs w:val="21"/>
                    </w:rPr>
                  </w:pPr>
                  <w:r>
                    <w:rPr>
                      <w:rFonts w:hint="eastAsia"/>
                      <w:b/>
                      <w:bCs/>
                      <w:color w:val="auto"/>
                      <w:sz w:val="21"/>
                      <w:szCs w:val="21"/>
                    </w:rPr>
                    <w:t>序号</w:t>
                  </w:r>
                </w:p>
              </w:tc>
              <w:tc>
                <w:tcPr>
                  <w:tcW w:w="2426" w:type="pct"/>
                  <w:vAlign w:val="center"/>
                </w:tcPr>
                <w:p w14:paraId="2F23FCC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b/>
                      <w:bCs/>
                      <w:color w:val="auto"/>
                      <w:sz w:val="21"/>
                      <w:szCs w:val="21"/>
                    </w:rPr>
                  </w:pPr>
                  <w:r>
                    <w:rPr>
                      <w:rFonts w:hint="eastAsia"/>
                      <w:b/>
                      <w:bCs/>
                      <w:color w:val="auto"/>
                      <w:sz w:val="21"/>
                      <w:szCs w:val="21"/>
                    </w:rPr>
                    <w:t>产品名称</w:t>
                  </w:r>
                </w:p>
              </w:tc>
              <w:tc>
                <w:tcPr>
                  <w:tcW w:w="1780" w:type="pct"/>
                  <w:tcBorders>
                    <w:left w:val="single" w:color="auto" w:sz="4" w:space="0"/>
                  </w:tcBorders>
                  <w:vAlign w:val="center"/>
                </w:tcPr>
                <w:p w14:paraId="7D4F557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b/>
                      <w:bCs/>
                      <w:color w:val="auto"/>
                      <w:sz w:val="21"/>
                      <w:szCs w:val="21"/>
                      <w:lang w:val="en-US" w:eastAsia="zh-CN"/>
                    </w:rPr>
                  </w:pPr>
                  <w:r>
                    <w:rPr>
                      <w:rFonts w:hint="eastAsia"/>
                      <w:b/>
                      <w:bCs/>
                      <w:color w:val="auto"/>
                      <w:sz w:val="21"/>
                      <w:szCs w:val="21"/>
                      <w:lang w:val="en-US" w:eastAsia="zh-CN"/>
                    </w:rPr>
                    <w:t>年分拣量 t/a</w:t>
                  </w:r>
                </w:p>
              </w:tc>
            </w:tr>
            <w:tr w14:paraId="4E6632B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7DCAB71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1</w:t>
                  </w:r>
                </w:p>
              </w:tc>
              <w:tc>
                <w:tcPr>
                  <w:tcW w:w="2426" w:type="pct"/>
                  <w:vAlign w:val="center"/>
                </w:tcPr>
                <w:p w14:paraId="62F809B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21"/>
                      <w:sz w:val="21"/>
                      <w:szCs w:val="21"/>
                      <w:lang w:val="en-US" w:eastAsia="zh-CN"/>
                    </w:rPr>
                  </w:pPr>
                  <w:r>
                    <w:rPr>
                      <w:rFonts w:hint="eastAsia" w:eastAsia="宋体"/>
                      <w:color w:val="auto"/>
                      <w:kern w:val="21"/>
                      <w:sz w:val="21"/>
                      <w:szCs w:val="21"/>
                      <w:lang w:val="en-US" w:eastAsia="zh-CN"/>
                    </w:rPr>
                    <w:t>废钢铁</w:t>
                  </w:r>
                </w:p>
              </w:tc>
              <w:tc>
                <w:tcPr>
                  <w:tcW w:w="1780" w:type="pct"/>
                  <w:tcBorders>
                    <w:left w:val="single" w:color="auto" w:sz="4" w:space="0"/>
                  </w:tcBorders>
                  <w:vAlign w:val="center"/>
                </w:tcPr>
                <w:p w14:paraId="40C4AF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5000</w:t>
                  </w:r>
                </w:p>
              </w:tc>
            </w:tr>
            <w:tr w14:paraId="75411E4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04C0F6F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2</w:t>
                  </w:r>
                </w:p>
              </w:tc>
              <w:tc>
                <w:tcPr>
                  <w:tcW w:w="2426" w:type="pct"/>
                  <w:vAlign w:val="center"/>
                </w:tcPr>
                <w:p w14:paraId="51356C8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废有色金属</w:t>
                  </w:r>
                </w:p>
              </w:tc>
              <w:tc>
                <w:tcPr>
                  <w:tcW w:w="1780" w:type="pct"/>
                  <w:tcBorders>
                    <w:left w:val="single" w:color="auto" w:sz="4" w:space="0"/>
                  </w:tcBorders>
                  <w:vAlign w:val="center"/>
                </w:tcPr>
                <w:p w14:paraId="3A83BEA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2000</w:t>
                  </w:r>
                </w:p>
              </w:tc>
            </w:tr>
            <w:tr w14:paraId="0693D6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612B2E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3</w:t>
                  </w:r>
                </w:p>
              </w:tc>
              <w:tc>
                <w:tcPr>
                  <w:tcW w:w="2426" w:type="pct"/>
                  <w:vAlign w:val="center"/>
                </w:tcPr>
                <w:p w14:paraId="03E123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废塑料</w:t>
                  </w:r>
                </w:p>
              </w:tc>
              <w:tc>
                <w:tcPr>
                  <w:tcW w:w="1780" w:type="pct"/>
                  <w:tcBorders>
                    <w:left w:val="single" w:color="auto" w:sz="4" w:space="0"/>
                  </w:tcBorders>
                  <w:vAlign w:val="center"/>
                </w:tcPr>
                <w:p w14:paraId="16034F2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355F254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4FC4F6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0"/>
                      <w:sz w:val="21"/>
                      <w:szCs w:val="21"/>
                    </w:rPr>
                  </w:pPr>
                  <w:r>
                    <w:rPr>
                      <w:rFonts w:hint="eastAsia"/>
                      <w:color w:val="auto"/>
                      <w:kern w:val="0"/>
                      <w:sz w:val="21"/>
                      <w:szCs w:val="21"/>
                    </w:rPr>
                    <w:t>4</w:t>
                  </w:r>
                </w:p>
              </w:tc>
              <w:tc>
                <w:tcPr>
                  <w:tcW w:w="2426" w:type="pct"/>
                  <w:vAlign w:val="center"/>
                </w:tcPr>
                <w:p w14:paraId="74E9E1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废玻璃</w:t>
                  </w:r>
                </w:p>
              </w:tc>
              <w:tc>
                <w:tcPr>
                  <w:tcW w:w="1780" w:type="pct"/>
                  <w:tcBorders>
                    <w:left w:val="single" w:color="auto" w:sz="4" w:space="0"/>
                  </w:tcBorders>
                  <w:vAlign w:val="center"/>
                </w:tcPr>
                <w:p w14:paraId="5855784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4000</w:t>
                  </w:r>
                </w:p>
              </w:tc>
            </w:tr>
            <w:tr w14:paraId="35E2D3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5CA47C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5</w:t>
                  </w:r>
                </w:p>
              </w:tc>
              <w:tc>
                <w:tcPr>
                  <w:tcW w:w="2426" w:type="pct"/>
                  <w:vAlign w:val="center"/>
                </w:tcPr>
                <w:p w14:paraId="4328114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废纸</w:t>
                  </w:r>
                </w:p>
              </w:tc>
              <w:tc>
                <w:tcPr>
                  <w:tcW w:w="1780" w:type="pct"/>
                  <w:tcBorders>
                    <w:left w:val="single" w:color="auto" w:sz="4" w:space="0"/>
                  </w:tcBorders>
                  <w:vAlign w:val="center"/>
                </w:tcPr>
                <w:p w14:paraId="7D35FFD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1892789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358EB7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6</w:t>
                  </w:r>
                </w:p>
              </w:tc>
              <w:tc>
                <w:tcPr>
                  <w:tcW w:w="2426" w:type="pct"/>
                  <w:vAlign w:val="center"/>
                </w:tcPr>
                <w:p w14:paraId="764B328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废橡胶</w:t>
                  </w:r>
                </w:p>
              </w:tc>
              <w:tc>
                <w:tcPr>
                  <w:tcW w:w="1780" w:type="pct"/>
                  <w:tcBorders>
                    <w:left w:val="single" w:color="auto" w:sz="4" w:space="0"/>
                  </w:tcBorders>
                  <w:vAlign w:val="center"/>
                </w:tcPr>
                <w:p w14:paraId="658C047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3000</w:t>
                  </w:r>
                </w:p>
              </w:tc>
            </w:tr>
            <w:tr w14:paraId="2EAD76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C1E456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7</w:t>
                  </w:r>
                </w:p>
              </w:tc>
              <w:tc>
                <w:tcPr>
                  <w:tcW w:w="2426" w:type="pct"/>
                  <w:vAlign w:val="center"/>
                </w:tcPr>
                <w:p w14:paraId="263C01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废纺织品</w:t>
                  </w:r>
                </w:p>
              </w:tc>
              <w:tc>
                <w:tcPr>
                  <w:tcW w:w="1780" w:type="pct"/>
                  <w:tcBorders>
                    <w:left w:val="single" w:color="auto" w:sz="4" w:space="0"/>
                  </w:tcBorders>
                  <w:vAlign w:val="center"/>
                </w:tcPr>
                <w:p w14:paraId="28F582C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2000</w:t>
                  </w:r>
                </w:p>
              </w:tc>
            </w:tr>
            <w:tr w14:paraId="2EEE931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135273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8</w:t>
                  </w:r>
                </w:p>
              </w:tc>
              <w:tc>
                <w:tcPr>
                  <w:tcW w:w="2426" w:type="pct"/>
                  <w:vAlign w:val="center"/>
                </w:tcPr>
                <w:p w14:paraId="0CDDC22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废木材</w:t>
                  </w:r>
                </w:p>
              </w:tc>
              <w:tc>
                <w:tcPr>
                  <w:tcW w:w="1780" w:type="pct"/>
                  <w:tcBorders>
                    <w:left w:val="single" w:color="auto" w:sz="4" w:space="0"/>
                  </w:tcBorders>
                  <w:vAlign w:val="center"/>
                </w:tcPr>
                <w:p w14:paraId="5B64631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1000</w:t>
                  </w:r>
                </w:p>
              </w:tc>
            </w:tr>
            <w:tr w14:paraId="4F67888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793" w:type="pct"/>
                  <w:vAlign w:val="center"/>
                </w:tcPr>
                <w:p w14:paraId="202946D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w:t>
                  </w:r>
                </w:p>
              </w:tc>
              <w:tc>
                <w:tcPr>
                  <w:tcW w:w="2426" w:type="pct"/>
                  <w:vAlign w:val="center"/>
                </w:tcPr>
                <w:p w14:paraId="567304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其他固体废物</w:t>
                  </w:r>
                </w:p>
              </w:tc>
              <w:tc>
                <w:tcPr>
                  <w:tcW w:w="1780" w:type="pct"/>
                  <w:tcBorders>
                    <w:left w:val="single" w:color="auto" w:sz="4" w:space="0"/>
                  </w:tcBorders>
                  <w:vAlign w:val="center"/>
                </w:tcPr>
                <w:p w14:paraId="140CD2B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r>
            <w:tr w14:paraId="3DCCB7C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99" w:hRule="atLeast"/>
                <w:jc w:val="center"/>
              </w:trPr>
              <w:tc>
                <w:tcPr>
                  <w:tcW w:w="3219" w:type="pct"/>
                  <w:gridSpan w:val="2"/>
                  <w:vAlign w:val="center"/>
                </w:tcPr>
                <w:p w14:paraId="514A50D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lang w:val="en-US" w:eastAsia="zh-CN"/>
                    </w:rPr>
                  </w:pPr>
                  <w:r>
                    <w:rPr>
                      <w:rFonts w:hint="eastAsia" w:eastAsia="宋体"/>
                      <w:color w:val="auto"/>
                      <w:sz w:val="21"/>
                      <w:szCs w:val="21"/>
                      <w:lang w:val="en-US" w:eastAsia="zh-CN"/>
                    </w:rPr>
                    <w:t>收集分拣一般固体废物</w:t>
                  </w:r>
                </w:p>
              </w:tc>
              <w:tc>
                <w:tcPr>
                  <w:tcW w:w="1780" w:type="pct"/>
                  <w:tcBorders>
                    <w:left w:val="single" w:color="auto" w:sz="4" w:space="0"/>
                  </w:tcBorders>
                  <w:vAlign w:val="center"/>
                </w:tcPr>
                <w:p w14:paraId="0BF206F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eastAsia="宋体"/>
                      <w:color w:val="auto"/>
                      <w:kern w:val="0"/>
                      <w:sz w:val="21"/>
                      <w:szCs w:val="21"/>
                      <w:lang w:val="en-US" w:eastAsia="zh-CN"/>
                    </w:rPr>
                    <w:t>80000</w:t>
                  </w:r>
                </w:p>
              </w:tc>
            </w:tr>
          </w:tbl>
          <w:p w14:paraId="1C8515D1">
            <w:pPr>
              <w:pStyle w:val="4"/>
              <w:ind w:left="0" w:leftChars="0" w:firstLine="0" w:firstLineChars="0"/>
              <w:jc w:val="center"/>
              <w:rPr>
                <w:rFonts w:hint="default"/>
                <w:color w:val="auto"/>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hAnsi="Times New Roman" w:cs="Times New Roman"/>
                <w:b/>
                <w:bCs/>
                <w:color w:val="auto"/>
                <w:sz w:val="21"/>
                <w:szCs w:val="21"/>
                <w:highlight w:val="none"/>
                <w:lang w:val="en-US" w:eastAsia="zh-CN"/>
              </w:rPr>
              <w:t>3</w:t>
            </w:r>
            <w:r>
              <w:rPr>
                <w:rFonts w:hint="eastAsia" w:ascii="Times New Roman" w:cs="Times New Roman"/>
                <w:b/>
                <w:color w:val="auto"/>
                <w:sz w:val="21"/>
                <w:szCs w:val="21"/>
                <w:highlight w:val="none"/>
                <w:lang w:val="en-US" w:eastAsia="zh-CN"/>
              </w:rPr>
              <w:t>原料来源</w:t>
            </w:r>
            <w:r>
              <w:rPr>
                <w:rFonts w:hint="default" w:ascii="Times New Roman" w:hAnsi="Times New Roman" w:cs="Times New Roman"/>
                <w:b/>
                <w:color w:val="auto"/>
                <w:sz w:val="21"/>
                <w:szCs w:val="21"/>
                <w:highlight w:val="none"/>
              </w:rPr>
              <w:t>一览表</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311"/>
              <w:gridCol w:w="718"/>
              <w:gridCol w:w="466"/>
              <w:gridCol w:w="825"/>
              <w:gridCol w:w="4063"/>
            </w:tblGrid>
            <w:tr w14:paraId="2747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3885D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序号</w:t>
                  </w:r>
                </w:p>
              </w:tc>
              <w:tc>
                <w:tcPr>
                  <w:tcW w:w="835" w:type="pct"/>
                  <w:vAlign w:val="center"/>
                </w:tcPr>
                <w:p w14:paraId="610B24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废物代码</w:t>
                  </w:r>
                </w:p>
              </w:tc>
              <w:tc>
                <w:tcPr>
                  <w:tcW w:w="457" w:type="pct"/>
                  <w:vAlign w:val="center"/>
                </w:tcPr>
                <w:p w14:paraId="0D3AA9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废物名称</w:t>
                  </w:r>
                </w:p>
              </w:tc>
              <w:tc>
                <w:tcPr>
                  <w:tcW w:w="297" w:type="pct"/>
                  <w:vAlign w:val="center"/>
                </w:tcPr>
                <w:p w14:paraId="2B2C74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形态</w:t>
                  </w:r>
                </w:p>
              </w:tc>
              <w:tc>
                <w:tcPr>
                  <w:tcW w:w="525" w:type="pct"/>
                  <w:vAlign w:val="center"/>
                </w:tcPr>
                <w:p w14:paraId="2F7545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接收量 t/a</w:t>
                  </w:r>
                </w:p>
              </w:tc>
              <w:tc>
                <w:tcPr>
                  <w:tcW w:w="2587" w:type="pct"/>
                  <w:vAlign w:val="center"/>
                </w:tcPr>
                <w:p w14:paraId="6BD43E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备注</w:t>
                  </w:r>
                </w:p>
              </w:tc>
            </w:tr>
            <w:tr w14:paraId="3EFD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885BE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835" w:type="pct"/>
                  <w:vAlign w:val="center"/>
                </w:tcPr>
                <w:p w14:paraId="39CEDB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900-001-S17</w:t>
                  </w:r>
                </w:p>
              </w:tc>
              <w:tc>
                <w:tcPr>
                  <w:tcW w:w="457" w:type="pct"/>
                  <w:vAlign w:val="center"/>
                </w:tcPr>
                <w:p w14:paraId="4069DC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21"/>
                      <w:sz w:val="21"/>
                      <w:szCs w:val="21"/>
                      <w:lang w:val="en-US" w:eastAsia="zh-CN"/>
                    </w:rPr>
                    <w:t>废钢铁</w:t>
                  </w:r>
                </w:p>
              </w:tc>
              <w:tc>
                <w:tcPr>
                  <w:tcW w:w="297" w:type="pct"/>
                  <w:vAlign w:val="center"/>
                </w:tcPr>
                <w:p w14:paraId="6EF856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固态</w:t>
                  </w:r>
                </w:p>
              </w:tc>
              <w:tc>
                <w:tcPr>
                  <w:tcW w:w="525" w:type="pct"/>
                  <w:vAlign w:val="center"/>
                </w:tcPr>
                <w:p w14:paraId="17C6B6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5000</w:t>
                  </w:r>
                </w:p>
              </w:tc>
              <w:tc>
                <w:tcPr>
                  <w:tcW w:w="2587" w:type="pct"/>
                  <w:vAlign w:val="center"/>
                </w:tcPr>
                <w:p w14:paraId="3C4B0E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工业生产活动中产生的以钢铁为主要成分的边角料、残次品，以及报废机动车、报废机械设备拆解产生的以钢铁为主要成分的零部件等。</w:t>
                  </w:r>
                </w:p>
              </w:tc>
            </w:tr>
            <w:tr w14:paraId="4D34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73C03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835" w:type="pct"/>
                  <w:vAlign w:val="center"/>
                </w:tcPr>
                <w:p w14:paraId="71453E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900-002-S17</w:t>
                  </w:r>
                </w:p>
              </w:tc>
              <w:tc>
                <w:tcPr>
                  <w:tcW w:w="457" w:type="pct"/>
                  <w:vAlign w:val="center"/>
                </w:tcPr>
                <w:p w14:paraId="754D9C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废有色金属</w:t>
                  </w:r>
                </w:p>
              </w:tc>
              <w:tc>
                <w:tcPr>
                  <w:tcW w:w="297" w:type="pct"/>
                  <w:vAlign w:val="center"/>
                </w:tcPr>
                <w:p w14:paraId="7EB670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5FE8CB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2587" w:type="pct"/>
                  <w:vAlign w:val="center"/>
                </w:tcPr>
                <w:p w14:paraId="5B9BE0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工业生产活动中产生的以有色金属(铜、铅、锌、</w:t>
                  </w:r>
                  <w:r>
                    <w:rPr>
                      <w:rFonts w:hint="eastAsia"/>
                      <w:color w:val="auto"/>
                      <w:sz w:val="21"/>
                      <w:szCs w:val="21"/>
                      <w:vertAlign w:val="baseline"/>
                      <w:lang w:val="en-US" w:eastAsia="zh-CN"/>
                    </w:rPr>
                    <w:t>镍</w:t>
                  </w:r>
                  <w:r>
                    <w:rPr>
                      <w:rFonts w:hint="default"/>
                      <w:color w:val="auto"/>
                      <w:sz w:val="21"/>
                      <w:szCs w:val="21"/>
                      <w:vertAlign w:val="baseline"/>
                    </w:rPr>
                    <w:t>、</w:t>
                  </w:r>
                  <w:r>
                    <w:rPr>
                      <w:rFonts w:hint="eastAsia"/>
                      <w:color w:val="auto"/>
                      <w:sz w:val="21"/>
                      <w:szCs w:val="21"/>
                      <w:vertAlign w:val="baseline"/>
                      <w:lang w:val="en-US" w:eastAsia="zh-CN"/>
                    </w:rPr>
                    <w:t>钴</w:t>
                  </w:r>
                  <w:r>
                    <w:rPr>
                      <w:rFonts w:hint="default"/>
                      <w:color w:val="auto"/>
                      <w:sz w:val="21"/>
                      <w:szCs w:val="21"/>
                      <w:vertAlign w:val="baseline"/>
                    </w:rPr>
                    <w:t>、锡、锑、铝、镁等)为主要成分的边角料、残次品，以及报废机动车和报废机械设备拆解产生的以有色金属为主要成分的零部件等。</w:t>
                  </w:r>
                </w:p>
              </w:tc>
            </w:tr>
            <w:tr w14:paraId="0A89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0D5E6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3</w:t>
                  </w:r>
                </w:p>
              </w:tc>
              <w:tc>
                <w:tcPr>
                  <w:tcW w:w="835" w:type="pct"/>
                  <w:vAlign w:val="center"/>
                </w:tcPr>
                <w:p w14:paraId="335B3A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900-003-S17</w:t>
                  </w:r>
                </w:p>
              </w:tc>
              <w:tc>
                <w:tcPr>
                  <w:tcW w:w="457" w:type="pct"/>
                  <w:vAlign w:val="center"/>
                </w:tcPr>
                <w:p w14:paraId="1C8C0C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废塑料</w:t>
                  </w:r>
                </w:p>
              </w:tc>
              <w:tc>
                <w:tcPr>
                  <w:tcW w:w="297" w:type="pct"/>
                  <w:vAlign w:val="center"/>
                </w:tcPr>
                <w:p w14:paraId="1F7A32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522009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49F7DB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工业生产活动中产生的塑料废弃边角料、废弃塑料包装等废物。</w:t>
                  </w:r>
                </w:p>
              </w:tc>
            </w:tr>
            <w:tr w14:paraId="78C9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7E310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4</w:t>
                  </w:r>
                </w:p>
              </w:tc>
              <w:tc>
                <w:tcPr>
                  <w:tcW w:w="835" w:type="pct"/>
                  <w:vAlign w:val="center"/>
                </w:tcPr>
                <w:p w14:paraId="5CB7E9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900-004-S17</w:t>
                  </w:r>
                </w:p>
              </w:tc>
              <w:tc>
                <w:tcPr>
                  <w:tcW w:w="457" w:type="pct"/>
                  <w:vAlign w:val="center"/>
                </w:tcPr>
                <w:p w14:paraId="27483B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废玻璃</w:t>
                  </w:r>
                </w:p>
              </w:tc>
              <w:tc>
                <w:tcPr>
                  <w:tcW w:w="297" w:type="pct"/>
                  <w:vAlign w:val="center"/>
                </w:tcPr>
                <w:p w14:paraId="20D9B5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0A875B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4000</w:t>
                  </w:r>
                </w:p>
              </w:tc>
              <w:tc>
                <w:tcPr>
                  <w:tcW w:w="2587" w:type="pct"/>
                  <w:vAlign w:val="center"/>
                </w:tcPr>
                <w:p w14:paraId="7B7356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工业生产活动中产生的废玻璃边角料、残次品等废物。</w:t>
                  </w:r>
                </w:p>
              </w:tc>
            </w:tr>
            <w:tr w14:paraId="0056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5E19C8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5</w:t>
                  </w:r>
                </w:p>
              </w:tc>
              <w:tc>
                <w:tcPr>
                  <w:tcW w:w="835" w:type="pct"/>
                  <w:vAlign w:val="center"/>
                </w:tcPr>
                <w:p w14:paraId="198CFB6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900-005-S17</w:t>
                  </w:r>
                </w:p>
              </w:tc>
              <w:tc>
                <w:tcPr>
                  <w:tcW w:w="457" w:type="pct"/>
                  <w:vAlign w:val="center"/>
                </w:tcPr>
                <w:p w14:paraId="27C5C7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废纸</w:t>
                  </w:r>
                </w:p>
              </w:tc>
              <w:tc>
                <w:tcPr>
                  <w:tcW w:w="297" w:type="pct"/>
                  <w:vAlign w:val="center"/>
                </w:tcPr>
                <w:p w14:paraId="4C25DD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88E0C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1CF299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工业生产活动中产生的废纸、废纸质包装、废边角料、残次品等废物。</w:t>
                  </w:r>
                </w:p>
              </w:tc>
            </w:tr>
            <w:tr w14:paraId="679A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60C306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6</w:t>
                  </w:r>
                </w:p>
              </w:tc>
              <w:tc>
                <w:tcPr>
                  <w:tcW w:w="835" w:type="pct"/>
                  <w:vAlign w:val="center"/>
                </w:tcPr>
                <w:p w14:paraId="0DB1D0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900-006-S17</w:t>
                  </w:r>
                </w:p>
              </w:tc>
              <w:tc>
                <w:tcPr>
                  <w:tcW w:w="457" w:type="pct"/>
                  <w:vAlign w:val="center"/>
                </w:tcPr>
                <w:p w14:paraId="1BF800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废橡胶</w:t>
                  </w:r>
                </w:p>
              </w:tc>
              <w:tc>
                <w:tcPr>
                  <w:tcW w:w="297" w:type="pct"/>
                  <w:vAlign w:val="center"/>
                </w:tcPr>
                <w:p w14:paraId="57213E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75C60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2587" w:type="pct"/>
                  <w:vAlign w:val="center"/>
                </w:tcPr>
                <w:p w14:paraId="528AAF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工业生产活动中产生的包括废轮胎在内的废橡胶制品以及机动车拆解过程中产生的废轮胎和其他废橡胶制品。</w:t>
                  </w:r>
                </w:p>
              </w:tc>
            </w:tr>
            <w:tr w14:paraId="5B2D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25148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7</w:t>
                  </w:r>
                </w:p>
              </w:tc>
              <w:tc>
                <w:tcPr>
                  <w:tcW w:w="835" w:type="pct"/>
                  <w:vAlign w:val="center"/>
                </w:tcPr>
                <w:p w14:paraId="0C30C7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900-007-S17</w:t>
                  </w:r>
                </w:p>
              </w:tc>
              <w:tc>
                <w:tcPr>
                  <w:tcW w:w="457" w:type="pct"/>
                  <w:vAlign w:val="center"/>
                </w:tcPr>
                <w:p w14:paraId="40E6E4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废纺织品</w:t>
                  </w:r>
                </w:p>
              </w:tc>
              <w:tc>
                <w:tcPr>
                  <w:tcW w:w="297" w:type="pct"/>
                  <w:vAlign w:val="center"/>
                </w:tcPr>
                <w:p w14:paraId="43CB91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26647A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2587" w:type="pct"/>
                  <w:vAlign w:val="center"/>
                </w:tcPr>
                <w:p w14:paraId="001EC1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工业生产活动中产生的废纺织品边角料、残次品等废物。</w:t>
                  </w:r>
                </w:p>
              </w:tc>
            </w:tr>
            <w:tr w14:paraId="0062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0DC4C0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8</w:t>
                  </w:r>
                </w:p>
              </w:tc>
              <w:tc>
                <w:tcPr>
                  <w:tcW w:w="835" w:type="pct"/>
                  <w:vAlign w:val="center"/>
                </w:tcPr>
                <w:p w14:paraId="2C509F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900-009-S17</w:t>
                  </w:r>
                </w:p>
              </w:tc>
              <w:tc>
                <w:tcPr>
                  <w:tcW w:w="457" w:type="pct"/>
                  <w:vAlign w:val="center"/>
                </w:tcPr>
                <w:p w14:paraId="1AE5F0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废木材</w:t>
                  </w:r>
                </w:p>
              </w:tc>
              <w:tc>
                <w:tcPr>
                  <w:tcW w:w="297" w:type="pct"/>
                  <w:vAlign w:val="center"/>
                </w:tcPr>
                <w:p w14:paraId="62BE25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362B13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1000</w:t>
                  </w:r>
                </w:p>
              </w:tc>
              <w:tc>
                <w:tcPr>
                  <w:tcW w:w="2587" w:type="pct"/>
                  <w:vAlign w:val="center"/>
                </w:tcPr>
                <w:p w14:paraId="052377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default"/>
                      <w:color w:val="auto"/>
                      <w:sz w:val="21"/>
                      <w:szCs w:val="21"/>
                      <w:vertAlign w:val="baseline"/>
                    </w:rPr>
                    <w:t>工业生产活动中产生的废木材类边角料、废包装、残次品等废物</w:t>
                  </w:r>
                </w:p>
              </w:tc>
            </w:tr>
            <w:tr w14:paraId="7CF1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6" w:type="pct"/>
                  <w:vAlign w:val="center"/>
                </w:tcPr>
                <w:p w14:paraId="49F87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w:t>
                  </w:r>
                </w:p>
              </w:tc>
              <w:tc>
                <w:tcPr>
                  <w:tcW w:w="835" w:type="pct"/>
                  <w:vAlign w:val="center"/>
                </w:tcPr>
                <w:p w14:paraId="73B0B3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rPr>
                  </w:pPr>
                  <w:r>
                    <w:rPr>
                      <w:rFonts w:hint="eastAsia"/>
                      <w:color w:val="auto"/>
                      <w:sz w:val="21"/>
                      <w:szCs w:val="21"/>
                      <w:vertAlign w:val="baseline"/>
                      <w:lang w:val="en-US" w:eastAsia="zh-CN"/>
                    </w:rPr>
                    <w:t>900-099-S59</w:t>
                  </w:r>
                </w:p>
              </w:tc>
              <w:tc>
                <w:tcPr>
                  <w:tcW w:w="457" w:type="pct"/>
                  <w:vAlign w:val="center"/>
                </w:tcPr>
                <w:p w14:paraId="3D8BB1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其他固体废物</w:t>
                  </w:r>
                </w:p>
              </w:tc>
              <w:tc>
                <w:tcPr>
                  <w:tcW w:w="297" w:type="pct"/>
                  <w:vAlign w:val="center"/>
                </w:tcPr>
                <w:p w14:paraId="3A721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固态</w:t>
                  </w:r>
                </w:p>
              </w:tc>
              <w:tc>
                <w:tcPr>
                  <w:tcW w:w="525" w:type="pct"/>
                  <w:vAlign w:val="center"/>
                </w:tcPr>
                <w:p w14:paraId="662F3D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2587" w:type="pct"/>
                  <w:vAlign w:val="center"/>
                </w:tcPr>
                <w:p w14:paraId="4896C1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其</w:t>
                  </w:r>
                  <w:r>
                    <w:rPr>
                      <w:rFonts w:hint="default"/>
                      <w:color w:val="auto"/>
                      <w:sz w:val="21"/>
                      <w:szCs w:val="21"/>
                      <w:vertAlign w:val="baseline"/>
                    </w:rPr>
                    <w:t>他工业生产过程中产生的固体废物</w:t>
                  </w:r>
                  <w:r>
                    <w:rPr>
                      <w:rFonts w:hint="default"/>
                      <w:color w:val="auto"/>
                      <w:sz w:val="21"/>
                      <w:szCs w:val="21"/>
                      <w:lang w:eastAsia="zh-CN"/>
                    </w:rPr>
                    <w:t>，</w:t>
                  </w:r>
                  <w:r>
                    <w:rPr>
                      <w:rFonts w:hint="default"/>
                      <w:color w:val="auto"/>
                      <w:sz w:val="21"/>
                      <w:szCs w:val="21"/>
                      <w:lang w:val="en-US" w:eastAsia="zh-CN"/>
                    </w:rPr>
                    <w:t>其中不包括建筑垃圾</w:t>
                  </w:r>
                </w:p>
              </w:tc>
            </w:tr>
          </w:tbl>
          <w:p w14:paraId="02010943">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3、</w:t>
            </w:r>
            <w:r>
              <w:rPr>
                <w:rFonts w:hint="default" w:ascii="Times New Roman" w:hAnsi="Times New Roman" w:cs="Times New Roman"/>
                <w:color w:val="auto"/>
                <w:highlight w:val="none"/>
              </w:rPr>
              <w:t>原辅材料及用量</w:t>
            </w:r>
          </w:p>
          <w:p w14:paraId="30870EFB">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（1）原辅材料用量</w:t>
            </w:r>
          </w:p>
          <w:p w14:paraId="1769FD75">
            <w:pPr>
              <w:pStyle w:val="21"/>
              <w:ind w:firstLine="480"/>
              <w:rPr>
                <w:rFonts w:hint="default" w:eastAsia="宋体"/>
                <w:color w:val="auto"/>
                <w:highlight w:val="none"/>
                <w:lang w:val="en-US" w:eastAsia="zh-CN"/>
              </w:rPr>
            </w:pPr>
            <w:r>
              <w:rPr>
                <w:rFonts w:hint="default"/>
                <w:color w:val="auto"/>
                <w:highlight w:val="none"/>
              </w:rPr>
              <w:t>项目接收的一般固废在进厂前已进行严格筛选</w:t>
            </w:r>
            <w:r>
              <w:rPr>
                <w:rFonts w:hint="eastAsia"/>
                <w:color w:val="auto"/>
                <w:highlight w:val="none"/>
                <w:lang w:eastAsia="zh-CN"/>
              </w:rPr>
              <w:t>、</w:t>
            </w:r>
            <w:r>
              <w:rPr>
                <w:rFonts w:hint="eastAsia"/>
                <w:color w:val="auto"/>
                <w:highlight w:val="none"/>
                <w:lang w:val="en-US" w:eastAsia="zh-CN"/>
              </w:rPr>
              <w:t>初步分类</w:t>
            </w:r>
            <w:r>
              <w:rPr>
                <w:rFonts w:hint="eastAsia"/>
                <w:color w:val="auto"/>
                <w:highlight w:val="none"/>
                <w:lang w:eastAsia="zh-CN"/>
              </w:rPr>
              <w:t>，</w:t>
            </w:r>
            <w:r>
              <w:rPr>
                <w:rFonts w:hint="eastAsia"/>
                <w:color w:val="auto"/>
                <w:highlight w:val="none"/>
              </w:rPr>
              <w:t>仅收集干燥、固态状的一般工业固废，且不允许夹带危险废物、医疗废物、液态或半固态废物等</w:t>
            </w:r>
            <w:r>
              <w:rPr>
                <w:rFonts w:hint="eastAsia"/>
                <w:color w:val="auto"/>
                <w:highlight w:val="none"/>
                <w:lang w:eastAsia="zh-CN"/>
              </w:rPr>
              <w:t>，</w:t>
            </w:r>
            <w:r>
              <w:rPr>
                <w:rFonts w:hint="eastAsia"/>
                <w:color w:val="auto"/>
                <w:highlight w:val="none"/>
                <w:lang w:val="en-US" w:eastAsia="zh-CN"/>
              </w:rPr>
              <w:t>且不含建筑垃圾</w:t>
            </w:r>
            <w:r>
              <w:rPr>
                <w:rFonts w:hint="eastAsia"/>
                <w:color w:val="auto"/>
                <w:highlight w:val="none"/>
              </w:rPr>
              <w:t>；禁止收集危险废物或沾着有毒有害物质的固废，无法确认固废属性不得入内</w:t>
            </w:r>
            <w:r>
              <w:rPr>
                <w:rFonts w:hint="eastAsia"/>
                <w:color w:val="auto"/>
                <w:highlight w:val="none"/>
                <w:lang w:eastAsia="zh-CN"/>
              </w:rPr>
              <w:t>，</w:t>
            </w:r>
            <w:r>
              <w:rPr>
                <w:rFonts w:hint="eastAsia"/>
                <w:color w:val="auto"/>
                <w:highlight w:val="none"/>
                <w:lang w:val="en-US" w:eastAsia="zh-CN"/>
              </w:rPr>
              <w:t>不</w:t>
            </w:r>
            <w:r>
              <w:rPr>
                <w:rFonts w:hint="default"/>
                <w:color w:val="auto"/>
                <w:highlight w:val="none"/>
              </w:rPr>
              <w:t>接收不属于本项目接收范围的固废</w:t>
            </w:r>
            <w:r>
              <w:rPr>
                <w:rFonts w:hint="eastAsia"/>
                <w:color w:val="auto"/>
                <w:highlight w:val="none"/>
                <w:lang w:eastAsia="zh-CN"/>
              </w:rPr>
              <w:t>。</w:t>
            </w:r>
            <w:r>
              <w:rPr>
                <w:rFonts w:hint="eastAsia"/>
                <w:color w:val="auto"/>
                <w:lang w:val="en-US" w:eastAsia="zh-CN"/>
              </w:rPr>
              <w:t>项目仅对收集的固体废物进行分拣、压实工序，不涉及切割、拆解、清洗、破碎等其他产污工序。</w:t>
            </w:r>
          </w:p>
          <w:p w14:paraId="7CE6CC27">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主要</w:t>
            </w:r>
            <w:r>
              <w:rPr>
                <w:rFonts w:hint="default" w:ascii="Times New Roman" w:hAnsi="Times New Roman" w:cs="Times New Roman"/>
                <w:color w:val="auto"/>
                <w:highlight w:val="none"/>
              </w:rPr>
              <w:t>原辅材料种类及年用量见下表。</w:t>
            </w:r>
          </w:p>
          <w:p w14:paraId="0109AE92">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主要</w:t>
            </w:r>
            <w:r>
              <w:rPr>
                <w:rFonts w:hint="default" w:ascii="Times New Roman" w:hAnsi="Times New Roman" w:cs="Times New Roman"/>
                <w:b/>
                <w:bCs/>
                <w:color w:val="auto"/>
                <w:sz w:val="21"/>
                <w:szCs w:val="21"/>
                <w:highlight w:val="none"/>
              </w:rPr>
              <w:t>原辅材料一览表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3"/>
              <w:gridCol w:w="2233"/>
              <w:gridCol w:w="1071"/>
              <w:gridCol w:w="889"/>
              <w:gridCol w:w="809"/>
              <w:gridCol w:w="1302"/>
              <w:gridCol w:w="955"/>
            </w:tblGrid>
            <w:tr w14:paraId="1AF2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2" w:type="pct"/>
                  <w:tcBorders>
                    <w:top w:val="single" w:color="000000" w:sz="2" w:space="0"/>
                  </w:tcBorders>
                  <w:vAlign w:val="center"/>
                </w:tcPr>
                <w:p w14:paraId="6EEFF997">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1424" w:type="pct"/>
                  <w:tcBorders>
                    <w:top w:val="single" w:color="000000" w:sz="2" w:space="0"/>
                  </w:tcBorders>
                  <w:vAlign w:val="center"/>
                </w:tcPr>
                <w:p w14:paraId="58F05EC8">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683" w:type="pct"/>
                  <w:tcBorders>
                    <w:top w:val="single" w:color="000000" w:sz="2" w:space="0"/>
                  </w:tcBorders>
                  <w:vAlign w:val="center"/>
                </w:tcPr>
                <w:p w14:paraId="7FC24561">
                  <w:pPr>
                    <w:spacing w:line="240" w:lineRule="auto"/>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年用量</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val="0"/>
                      <w:color w:val="auto"/>
                      <w:sz w:val="21"/>
                      <w:szCs w:val="21"/>
                      <w:highlight w:val="none"/>
                    </w:rPr>
                    <w:t>t/a</w:t>
                  </w:r>
                  <w:r>
                    <w:rPr>
                      <w:rFonts w:hint="default" w:ascii="Times New Roman" w:hAnsi="Times New Roman" w:cs="Times New Roman"/>
                      <w:b/>
                      <w:bCs w:val="0"/>
                      <w:color w:val="auto"/>
                      <w:sz w:val="21"/>
                      <w:szCs w:val="21"/>
                      <w:highlight w:val="none"/>
                      <w:lang w:eastAsia="zh-CN"/>
                    </w:rPr>
                    <w:t>）</w:t>
                  </w:r>
                </w:p>
              </w:tc>
              <w:tc>
                <w:tcPr>
                  <w:tcW w:w="567" w:type="pct"/>
                  <w:tcBorders>
                    <w:top w:val="single" w:color="000000" w:sz="2" w:space="0"/>
                  </w:tcBorders>
                  <w:vAlign w:val="center"/>
                </w:tcPr>
                <w:p w14:paraId="7EA85ED3">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最大贮存量</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t</w:t>
                  </w:r>
                  <w:r>
                    <w:rPr>
                      <w:rFonts w:hint="default" w:ascii="Times New Roman" w:hAnsi="Times New Roman" w:cs="Times New Roman"/>
                      <w:b/>
                      <w:bCs/>
                      <w:color w:val="auto"/>
                      <w:sz w:val="21"/>
                      <w:szCs w:val="21"/>
                      <w:highlight w:val="none"/>
                      <w:lang w:eastAsia="zh-CN"/>
                    </w:rPr>
                    <w:t>）</w:t>
                  </w:r>
                </w:p>
              </w:tc>
              <w:tc>
                <w:tcPr>
                  <w:tcW w:w="516" w:type="pct"/>
                  <w:tcBorders>
                    <w:top w:val="single" w:color="000000" w:sz="2" w:space="0"/>
                  </w:tcBorders>
                  <w:vAlign w:val="center"/>
                </w:tcPr>
                <w:p w14:paraId="3D754691">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形态</w:t>
                  </w:r>
                </w:p>
              </w:tc>
              <w:tc>
                <w:tcPr>
                  <w:tcW w:w="830" w:type="pct"/>
                  <w:tcBorders>
                    <w:top w:val="single" w:color="000000" w:sz="2" w:space="0"/>
                  </w:tcBorders>
                  <w:vAlign w:val="center"/>
                </w:tcPr>
                <w:p w14:paraId="44478457">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使用环节</w:t>
                  </w:r>
                </w:p>
              </w:tc>
              <w:tc>
                <w:tcPr>
                  <w:tcW w:w="604" w:type="pct"/>
                  <w:tcBorders>
                    <w:top w:val="single" w:color="000000" w:sz="2" w:space="0"/>
                  </w:tcBorders>
                  <w:vAlign w:val="center"/>
                </w:tcPr>
                <w:p w14:paraId="027F4759">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贮存位置</w:t>
                  </w:r>
                </w:p>
              </w:tc>
            </w:tr>
            <w:tr w14:paraId="3136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72" w:type="pct"/>
                  <w:vAlign w:val="center"/>
                </w:tcPr>
                <w:p w14:paraId="16522472">
                  <w:pPr>
                    <w:spacing w:line="24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424" w:type="pct"/>
                  <w:vAlign w:val="center"/>
                </w:tcPr>
                <w:p w14:paraId="5834DCC8">
                  <w:pPr>
                    <w:widowControl/>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编织袋</w:t>
                  </w:r>
                </w:p>
              </w:tc>
              <w:tc>
                <w:tcPr>
                  <w:tcW w:w="683" w:type="pct"/>
                  <w:vAlign w:val="center"/>
                </w:tcPr>
                <w:p w14:paraId="72471687">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67" w:type="pct"/>
                  <w:vAlign w:val="center"/>
                </w:tcPr>
                <w:p w14:paraId="29BC7297">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0.5</w:t>
                  </w:r>
                </w:p>
              </w:tc>
              <w:tc>
                <w:tcPr>
                  <w:tcW w:w="516" w:type="pct"/>
                  <w:vAlign w:val="center"/>
                </w:tcPr>
                <w:p w14:paraId="13FD41A3">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vAlign w:val="center"/>
                </w:tcPr>
                <w:p w14:paraId="08FC57AE">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打包</w:t>
                  </w:r>
                </w:p>
              </w:tc>
              <w:tc>
                <w:tcPr>
                  <w:tcW w:w="604" w:type="pct"/>
                  <w:vAlign w:val="center"/>
                </w:tcPr>
                <w:p w14:paraId="0348C39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1457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6F47216">
                  <w:pPr>
                    <w:spacing w:line="240" w:lineRule="auto"/>
                    <w:jc w:val="center"/>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2</w:t>
                  </w:r>
                </w:p>
              </w:tc>
              <w:tc>
                <w:tcPr>
                  <w:tcW w:w="1424" w:type="pct"/>
                  <w:shd w:val="clear" w:color="auto" w:fill="auto"/>
                  <w:vAlign w:val="center"/>
                </w:tcPr>
                <w:p w14:paraId="4A81B186">
                  <w:pPr>
                    <w:widowControl/>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铁丝</w:t>
                  </w:r>
                </w:p>
              </w:tc>
              <w:tc>
                <w:tcPr>
                  <w:tcW w:w="683" w:type="pct"/>
                  <w:shd w:val="clear" w:color="auto" w:fill="auto"/>
                  <w:vAlign w:val="center"/>
                </w:tcPr>
                <w:p w14:paraId="1E7CEC28">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67" w:type="pct"/>
                  <w:shd w:val="clear" w:color="auto" w:fill="auto"/>
                  <w:vAlign w:val="center"/>
                </w:tcPr>
                <w:p w14:paraId="5DFEF50B">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0.3</w:t>
                  </w:r>
                </w:p>
              </w:tc>
              <w:tc>
                <w:tcPr>
                  <w:tcW w:w="516" w:type="pct"/>
                  <w:shd w:val="clear" w:color="auto" w:fill="auto"/>
                  <w:vAlign w:val="center"/>
                </w:tcPr>
                <w:p w14:paraId="7F4B77C0">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固态</w:t>
                  </w:r>
                </w:p>
              </w:tc>
              <w:tc>
                <w:tcPr>
                  <w:tcW w:w="830" w:type="pct"/>
                  <w:shd w:val="clear" w:color="auto" w:fill="auto"/>
                  <w:vAlign w:val="center"/>
                </w:tcPr>
                <w:p w14:paraId="5E679369">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打包</w:t>
                  </w:r>
                </w:p>
              </w:tc>
              <w:tc>
                <w:tcPr>
                  <w:tcW w:w="604" w:type="pct"/>
                  <w:shd w:val="clear" w:color="auto" w:fill="auto"/>
                  <w:vAlign w:val="center"/>
                </w:tcPr>
                <w:p w14:paraId="00279D31">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D0C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13AEB3DD">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3</w:t>
                  </w:r>
                </w:p>
              </w:tc>
              <w:tc>
                <w:tcPr>
                  <w:tcW w:w="1424" w:type="pct"/>
                  <w:shd w:val="clear" w:color="auto" w:fill="auto"/>
                  <w:vAlign w:val="center"/>
                </w:tcPr>
                <w:p w14:paraId="42BAA8B2">
                  <w:pPr>
                    <w:widowControl/>
                    <w:adjustRightInd w:val="0"/>
                    <w:snapToGrid w:val="0"/>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液压油</w:t>
                  </w:r>
                </w:p>
              </w:tc>
              <w:tc>
                <w:tcPr>
                  <w:tcW w:w="683" w:type="pct"/>
                  <w:shd w:val="clear" w:color="auto" w:fill="auto"/>
                  <w:vAlign w:val="center"/>
                </w:tcPr>
                <w:p w14:paraId="397CD3C4">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567" w:type="pct"/>
                  <w:shd w:val="clear" w:color="auto" w:fill="auto"/>
                  <w:vAlign w:val="center"/>
                </w:tcPr>
                <w:p w14:paraId="05B3985A">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w:t>
                  </w:r>
                </w:p>
              </w:tc>
              <w:tc>
                <w:tcPr>
                  <w:tcW w:w="516" w:type="pct"/>
                  <w:shd w:val="clear" w:color="auto" w:fill="auto"/>
                  <w:vAlign w:val="center"/>
                </w:tcPr>
                <w:p w14:paraId="0A60DA7C">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液态</w:t>
                  </w:r>
                </w:p>
              </w:tc>
              <w:tc>
                <w:tcPr>
                  <w:tcW w:w="830" w:type="pct"/>
                  <w:shd w:val="clear" w:color="auto" w:fill="auto"/>
                  <w:vAlign w:val="center"/>
                </w:tcPr>
                <w:p w14:paraId="02CFAF7D">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压实</w:t>
                  </w:r>
                </w:p>
              </w:tc>
              <w:tc>
                <w:tcPr>
                  <w:tcW w:w="604" w:type="pct"/>
                  <w:shd w:val="clear" w:color="auto" w:fill="auto"/>
                  <w:vAlign w:val="center"/>
                </w:tcPr>
                <w:p w14:paraId="394FE814">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厂房</w:t>
                  </w:r>
                </w:p>
              </w:tc>
            </w:tr>
            <w:tr w14:paraId="044E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1EBC1708">
                  <w:pPr>
                    <w:spacing w:line="240" w:lineRule="auto"/>
                    <w:jc w:val="center"/>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p>
              </w:tc>
              <w:tc>
                <w:tcPr>
                  <w:tcW w:w="1424" w:type="pct"/>
                  <w:shd w:val="clear" w:color="auto" w:fill="auto"/>
                  <w:vAlign w:val="center"/>
                </w:tcPr>
                <w:p w14:paraId="077BC345">
                  <w:pPr>
                    <w:widowControl/>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机油</w:t>
                  </w:r>
                </w:p>
              </w:tc>
              <w:tc>
                <w:tcPr>
                  <w:tcW w:w="683" w:type="pct"/>
                  <w:shd w:val="clear" w:color="auto" w:fill="auto"/>
                  <w:vAlign w:val="center"/>
                </w:tcPr>
                <w:p w14:paraId="754964F1">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567" w:type="pct"/>
                  <w:shd w:val="clear" w:color="auto" w:fill="auto"/>
                  <w:vAlign w:val="center"/>
                </w:tcPr>
                <w:p w14:paraId="4762F9D1">
                  <w:pPr>
                    <w:spacing w:line="240" w:lineRule="auto"/>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w:t>
                  </w:r>
                </w:p>
              </w:tc>
              <w:tc>
                <w:tcPr>
                  <w:tcW w:w="516" w:type="pct"/>
                  <w:shd w:val="clear" w:color="auto" w:fill="auto"/>
                  <w:vAlign w:val="center"/>
                </w:tcPr>
                <w:p w14:paraId="7F151FFD">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液态</w:t>
                  </w:r>
                </w:p>
              </w:tc>
              <w:tc>
                <w:tcPr>
                  <w:tcW w:w="830" w:type="pct"/>
                  <w:shd w:val="clear" w:color="auto" w:fill="auto"/>
                  <w:vAlign w:val="center"/>
                </w:tcPr>
                <w:p w14:paraId="1DB85A12">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压实</w:t>
                  </w:r>
                </w:p>
              </w:tc>
              <w:tc>
                <w:tcPr>
                  <w:tcW w:w="604" w:type="pct"/>
                  <w:shd w:val="clear" w:color="auto" w:fill="auto"/>
                  <w:vAlign w:val="center"/>
                </w:tcPr>
                <w:p w14:paraId="78435E05">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124F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318D347C">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p>
              </w:tc>
              <w:tc>
                <w:tcPr>
                  <w:tcW w:w="1424" w:type="pct"/>
                  <w:shd w:val="clear" w:color="auto" w:fill="auto"/>
                  <w:vAlign w:val="center"/>
                </w:tcPr>
                <w:p w14:paraId="27A940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kern w:val="21"/>
                      <w:sz w:val="21"/>
                      <w:szCs w:val="21"/>
                      <w:lang w:val="en-US" w:eastAsia="zh-CN"/>
                    </w:rPr>
                    <w:t>废钢铁</w:t>
                  </w:r>
                </w:p>
              </w:tc>
              <w:tc>
                <w:tcPr>
                  <w:tcW w:w="683" w:type="pct"/>
                  <w:shd w:val="clear" w:color="auto" w:fill="auto"/>
                  <w:vAlign w:val="center"/>
                </w:tcPr>
                <w:p w14:paraId="6151C2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5000</w:t>
                  </w:r>
                </w:p>
              </w:tc>
              <w:tc>
                <w:tcPr>
                  <w:tcW w:w="567" w:type="pct"/>
                  <w:shd w:val="clear" w:color="auto" w:fill="auto"/>
                  <w:vAlign w:val="center"/>
                </w:tcPr>
                <w:p w14:paraId="3C134A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5000</w:t>
                  </w:r>
                </w:p>
              </w:tc>
              <w:tc>
                <w:tcPr>
                  <w:tcW w:w="516" w:type="pct"/>
                  <w:shd w:val="clear" w:color="auto" w:fill="auto"/>
                  <w:vAlign w:val="center"/>
                </w:tcPr>
                <w:p w14:paraId="0F7EF252">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E703992">
                  <w:pPr>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71971AF">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B95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699C95F">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6</w:t>
                  </w:r>
                </w:p>
              </w:tc>
              <w:tc>
                <w:tcPr>
                  <w:tcW w:w="1424" w:type="pct"/>
                  <w:shd w:val="clear" w:color="auto" w:fill="auto"/>
                  <w:vAlign w:val="center"/>
                </w:tcPr>
                <w:p w14:paraId="3E32BC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废有色金属</w:t>
                  </w:r>
                </w:p>
              </w:tc>
              <w:tc>
                <w:tcPr>
                  <w:tcW w:w="683" w:type="pct"/>
                  <w:shd w:val="clear" w:color="auto" w:fill="auto"/>
                  <w:vAlign w:val="center"/>
                </w:tcPr>
                <w:p w14:paraId="36AE9E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67" w:type="pct"/>
                  <w:shd w:val="clear" w:color="auto" w:fill="auto"/>
                  <w:vAlign w:val="center"/>
                </w:tcPr>
                <w:p w14:paraId="445477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16" w:type="pct"/>
                  <w:shd w:val="clear" w:color="auto" w:fill="auto"/>
                  <w:vAlign w:val="center"/>
                </w:tcPr>
                <w:p w14:paraId="219C7AAC">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3CF4A008">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3B48D74">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688A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23EBF7FC">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7</w:t>
                  </w:r>
                </w:p>
              </w:tc>
              <w:tc>
                <w:tcPr>
                  <w:tcW w:w="1424" w:type="pct"/>
                  <w:shd w:val="clear" w:color="auto" w:fill="auto"/>
                  <w:vAlign w:val="center"/>
                </w:tcPr>
                <w:p w14:paraId="0B360C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废塑料</w:t>
                  </w:r>
                </w:p>
              </w:tc>
              <w:tc>
                <w:tcPr>
                  <w:tcW w:w="683" w:type="pct"/>
                  <w:shd w:val="clear" w:color="auto" w:fill="auto"/>
                  <w:vAlign w:val="center"/>
                </w:tcPr>
                <w:p w14:paraId="4AAE42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08392D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356ECFD6">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2B220ED4">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1446C64B">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0A5B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4E3C4883">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8</w:t>
                  </w:r>
                </w:p>
              </w:tc>
              <w:tc>
                <w:tcPr>
                  <w:tcW w:w="1424" w:type="pct"/>
                  <w:shd w:val="clear" w:color="auto" w:fill="auto"/>
                  <w:vAlign w:val="center"/>
                </w:tcPr>
                <w:p w14:paraId="30B86A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eastAsia="宋体"/>
                      <w:color w:val="auto"/>
                      <w:sz w:val="21"/>
                      <w:szCs w:val="21"/>
                      <w:lang w:val="en-US" w:eastAsia="zh-CN"/>
                    </w:rPr>
                    <w:t>废玻璃</w:t>
                  </w:r>
                </w:p>
              </w:tc>
              <w:tc>
                <w:tcPr>
                  <w:tcW w:w="683" w:type="pct"/>
                  <w:shd w:val="clear" w:color="auto" w:fill="auto"/>
                  <w:vAlign w:val="center"/>
                </w:tcPr>
                <w:p w14:paraId="28F5AC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4000</w:t>
                  </w:r>
                </w:p>
              </w:tc>
              <w:tc>
                <w:tcPr>
                  <w:tcW w:w="567" w:type="pct"/>
                  <w:shd w:val="clear" w:color="auto" w:fill="auto"/>
                  <w:vAlign w:val="center"/>
                </w:tcPr>
                <w:p w14:paraId="0161BE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4000</w:t>
                  </w:r>
                </w:p>
              </w:tc>
              <w:tc>
                <w:tcPr>
                  <w:tcW w:w="516" w:type="pct"/>
                  <w:shd w:val="clear" w:color="auto" w:fill="auto"/>
                  <w:vAlign w:val="center"/>
                </w:tcPr>
                <w:p w14:paraId="2657EEC1">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61947054">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DA5578E">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44A2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74DEC00">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9</w:t>
                  </w:r>
                </w:p>
              </w:tc>
              <w:tc>
                <w:tcPr>
                  <w:tcW w:w="1424" w:type="pct"/>
                  <w:shd w:val="clear" w:color="auto" w:fill="auto"/>
                  <w:vAlign w:val="center"/>
                </w:tcPr>
                <w:p w14:paraId="724DE4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废纸</w:t>
                  </w:r>
                </w:p>
              </w:tc>
              <w:tc>
                <w:tcPr>
                  <w:tcW w:w="683" w:type="pct"/>
                  <w:shd w:val="clear" w:color="auto" w:fill="auto"/>
                  <w:vAlign w:val="center"/>
                </w:tcPr>
                <w:p w14:paraId="1BAE37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567F78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2CD46961">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4436D4CA">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E85E4C7">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7531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6333E991">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10</w:t>
                  </w:r>
                </w:p>
              </w:tc>
              <w:tc>
                <w:tcPr>
                  <w:tcW w:w="1424" w:type="pct"/>
                  <w:shd w:val="clear" w:color="auto" w:fill="auto"/>
                  <w:vAlign w:val="center"/>
                </w:tcPr>
                <w:p w14:paraId="38AEC2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废橡胶</w:t>
                  </w:r>
                </w:p>
              </w:tc>
              <w:tc>
                <w:tcPr>
                  <w:tcW w:w="683" w:type="pct"/>
                  <w:shd w:val="clear" w:color="auto" w:fill="auto"/>
                  <w:vAlign w:val="center"/>
                </w:tcPr>
                <w:p w14:paraId="69EB7B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67" w:type="pct"/>
                  <w:shd w:val="clear" w:color="auto" w:fill="auto"/>
                  <w:vAlign w:val="center"/>
                </w:tcPr>
                <w:p w14:paraId="2987F4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3000</w:t>
                  </w:r>
                </w:p>
              </w:tc>
              <w:tc>
                <w:tcPr>
                  <w:tcW w:w="516" w:type="pct"/>
                  <w:shd w:val="clear" w:color="auto" w:fill="auto"/>
                  <w:vAlign w:val="center"/>
                </w:tcPr>
                <w:p w14:paraId="19FE6103">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784C60B3">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4919B817">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48D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E8FC4B7">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11</w:t>
                  </w:r>
                </w:p>
              </w:tc>
              <w:tc>
                <w:tcPr>
                  <w:tcW w:w="1424" w:type="pct"/>
                  <w:shd w:val="clear" w:color="auto" w:fill="auto"/>
                  <w:vAlign w:val="center"/>
                </w:tcPr>
                <w:p w14:paraId="4790D5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废纺织品</w:t>
                  </w:r>
                </w:p>
              </w:tc>
              <w:tc>
                <w:tcPr>
                  <w:tcW w:w="683" w:type="pct"/>
                  <w:shd w:val="clear" w:color="auto" w:fill="auto"/>
                  <w:vAlign w:val="center"/>
                </w:tcPr>
                <w:p w14:paraId="7B4CAC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67" w:type="pct"/>
                  <w:shd w:val="clear" w:color="auto" w:fill="auto"/>
                  <w:vAlign w:val="center"/>
                </w:tcPr>
                <w:p w14:paraId="0B46BD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2000</w:t>
                  </w:r>
                </w:p>
              </w:tc>
              <w:tc>
                <w:tcPr>
                  <w:tcW w:w="516" w:type="pct"/>
                  <w:shd w:val="clear" w:color="auto" w:fill="auto"/>
                  <w:vAlign w:val="center"/>
                </w:tcPr>
                <w:p w14:paraId="43BDD957">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6BB80AAF">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0CF93851">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623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40C9805D">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12</w:t>
                  </w:r>
                </w:p>
              </w:tc>
              <w:tc>
                <w:tcPr>
                  <w:tcW w:w="1424" w:type="pct"/>
                  <w:shd w:val="clear" w:color="auto" w:fill="auto"/>
                  <w:vAlign w:val="center"/>
                </w:tcPr>
                <w:p w14:paraId="68347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废木材</w:t>
                  </w:r>
                </w:p>
              </w:tc>
              <w:tc>
                <w:tcPr>
                  <w:tcW w:w="683" w:type="pct"/>
                  <w:shd w:val="clear" w:color="auto" w:fill="auto"/>
                  <w:vAlign w:val="center"/>
                </w:tcPr>
                <w:p w14:paraId="472697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1000</w:t>
                  </w:r>
                </w:p>
              </w:tc>
              <w:tc>
                <w:tcPr>
                  <w:tcW w:w="567" w:type="pct"/>
                  <w:shd w:val="clear" w:color="auto" w:fill="auto"/>
                  <w:vAlign w:val="center"/>
                </w:tcPr>
                <w:p w14:paraId="54339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1000</w:t>
                  </w:r>
                </w:p>
              </w:tc>
              <w:tc>
                <w:tcPr>
                  <w:tcW w:w="516" w:type="pct"/>
                  <w:shd w:val="clear" w:color="auto" w:fill="auto"/>
                  <w:vAlign w:val="center"/>
                </w:tcPr>
                <w:p w14:paraId="5EB0ED72">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D5C086B">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2FB49BCA">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086E8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372" w:type="pct"/>
                  <w:vAlign w:val="center"/>
                </w:tcPr>
                <w:p w14:paraId="029C3ED3">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13</w:t>
                  </w:r>
                </w:p>
              </w:tc>
              <w:tc>
                <w:tcPr>
                  <w:tcW w:w="1424" w:type="pct"/>
                  <w:shd w:val="clear" w:color="auto" w:fill="auto"/>
                  <w:vAlign w:val="center"/>
                </w:tcPr>
                <w:p w14:paraId="50E5A5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eastAsia"/>
                      <w:color w:val="auto"/>
                      <w:sz w:val="21"/>
                      <w:szCs w:val="21"/>
                      <w:lang w:val="en-US" w:eastAsia="zh-CN"/>
                    </w:rPr>
                    <w:t>其他固体废物</w:t>
                  </w:r>
                </w:p>
              </w:tc>
              <w:tc>
                <w:tcPr>
                  <w:tcW w:w="683" w:type="pct"/>
                  <w:shd w:val="clear" w:color="auto" w:fill="auto"/>
                  <w:vAlign w:val="center"/>
                </w:tcPr>
                <w:p w14:paraId="56BEEF3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kern w:val="2"/>
                      <w:sz w:val="21"/>
                      <w:szCs w:val="21"/>
                      <w:highlight w:val="none"/>
                      <w:lang w:val="en-US" w:eastAsia="zh-CN" w:bidi="ar-SA"/>
                    </w:rPr>
                  </w:pPr>
                  <w:r>
                    <w:rPr>
                      <w:rFonts w:hint="eastAsia"/>
                      <w:color w:val="auto"/>
                      <w:kern w:val="0"/>
                      <w:sz w:val="21"/>
                      <w:szCs w:val="21"/>
                      <w:lang w:val="en-US" w:eastAsia="zh-CN"/>
                    </w:rPr>
                    <w:t>57000</w:t>
                  </w:r>
                </w:p>
              </w:tc>
              <w:tc>
                <w:tcPr>
                  <w:tcW w:w="567" w:type="pct"/>
                  <w:shd w:val="clear" w:color="auto" w:fill="auto"/>
                  <w:vAlign w:val="center"/>
                </w:tcPr>
                <w:p w14:paraId="4BF2AE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kern w:val="2"/>
                      <w:sz w:val="21"/>
                      <w:szCs w:val="21"/>
                      <w:highlight w:val="none"/>
                      <w:lang w:val="en-US" w:eastAsia="zh-CN" w:bidi="ar-SA"/>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516" w:type="pct"/>
                  <w:shd w:val="clear" w:color="auto" w:fill="auto"/>
                  <w:vAlign w:val="center"/>
                </w:tcPr>
                <w:p w14:paraId="20C07466">
                  <w:pPr>
                    <w:spacing w:line="240" w:lineRule="auto"/>
                    <w:jc w:val="center"/>
                    <w:rPr>
                      <w:rFonts w:hint="eastAsia"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固态</w:t>
                  </w:r>
                </w:p>
              </w:tc>
              <w:tc>
                <w:tcPr>
                  <w:tcW w:w="830" w:type="pct"/>
                  <w:shd w:val="clear" w:color="auto" w:fill="auto"/>
                  <w:vAlign w:val="center"/>
                </w:tcPr>
                <w:p w14:paraId="06A076F2">
                  <w:pPr>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分拣</w:t>
                  </w:r>
                </w:p>
              </w:tc>
              <w:tc>
                <w:tcPr>
                  <w:tcW w:w="604" w:type="pct"/>
                  <w:shd w:val="clear" w:color="auto" w:fill="auto"/>
                  <w:vAlign w:val="center"/>
                </w:tcPr>
                <w:p w14:paraId="2A253C6F">
                  <w:pPr>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厂房</w:t>
                  </w:r>
                </w:p>
              </w:tc>
            </w:tr>
            <w:tr w14:paraId="50C9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5000" w:type="pct"/>
                  <w:gridSpan w:val="7"/>
                  <w:vAlign w:val="center"/>
                </w:tcPr>
                <w:p w14:paraId="7E39F854">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注：包装材料随可再生利用固废外售，不单独产生固体废物</w:t>
                  </w:r>
                </w:p>
              </w:tc>
            </w:tr>
          </w:tbl>
          <w:p w14:paraId="43CE9780">
            <w:pPr>
              <w:pStyle w:val="10"/>
              <w:numPr>
                <w:ilvl w:val="3"/>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4、</w:t>
            </w:r>
            <w:r>
              <w:rPr>
                <w:rFonts w:hint="default" w:ascii="Times New Roman" w:hAnsi="Times New Roman" w:cs="Times New Roman"/>
                <w:color w:val="auto"/>
                <w:highlight w:val="none"/>
              </w:rPr>
              <w:t>生产设备</w:t>
            </w:r>
          </w:p>
          <w:p w14:paraId="7B141D02">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本项目生产设备见下表。</w:t>
            </w:r>
          </w:p>
          <w:p w14:paraId="097C1956">
            <w:pPr>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default" w:ascii="Times New Roman" w:hAnsi="Times New Roman"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生产设备一览表</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1207"/>
              <w:gridCol w:w="2408"/>
              <w:gridCol w:w="907"/>
              <w:gridCol w:w="907"/>
              <w:gridCol w:w="1507"/>
            </w:tblGrid>
            <w:tr w14:paraId="7E74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44615D04">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序号</w:t>
                  </w:r>
                </w:p>
              </w:tc>
              <w:tc>
                <w:tcPr>
                  <w:tcW w:w="769" w:type="pct"/>
                </w:tcPr>
                <w:p w14:paraId="5AAFE5EA">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生产线</w:t>
                  </w:r>
                </w:p>
              </w:tc>
              <w:tc>
                <w:tcPr>
                  <w:tcW w:w="1534" w:type="pct"/>
                </w:tcPr>
                <w:p w14:paraId="3C9321E0">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设备名称</w:t>
                  </w:r>
                </w:p>
              </w:tc>
              <w:tc>
                <w:tcPr>
                  <w:tcW w:w="578" w:type="pct"/>
                </w:tcPr>
                <w:p w14:paraId="6BA9851B">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数量</w:t>
                  </w:r>
                </w:p>
              </w:tc>
              <w:tc>
                <w:tcPr>
                  <w:tcW w:w="578" w:type="pct"/>
                </w:tcPr>
                <w:p w14:paraId="0CFD4BDA">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型号</w:t>
                  </w:r>
                </w:p>
              </w:tc>
              <w:tc>
                <w:tcPr>
                  <w:tcW w:w="960" w:type="pct"/>
                </w:tcPr>
                <w:p w14:paraId="5782E298">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摆放位置</w:t>
                  </w:r>
                </w:p>
              </w:tc>
            </w:tr>
            <w:tr w14:paraId="23AC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52CAC0B3">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769" w:type="pct"/>
                  <w:vAlign w:val="center"/>
                </w:tcPr>
                <w:p w14:paraId="013534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压实</w:t>
                  </w:r>
                </w:p>
              </w:tc>
              <w:tc>
                <w:tcPr>
                  <w:tcW w:w="1534" w:type="pct"/>
                  <w:vAlign w:val="center"/>
                </w:tcPr>
                <w:p w14:paraId="12F6700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立式液压打包机</w:t>
                  </w:r>
                </w:p>
              </w:tc>
              <w:tc>
                <w:tcPr>
                  <w:tcW w:w="578" w:type="pct"/>
                  <w:vAlign w:val="center"/>
                </w:tcPr>
                <w:p w14:paraId="2089B82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578" w:type="pct"/>
                  <w:vAlign w:val="center"/>
                </w:tcPr>
                <w:p w14:paraId="429DB8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olor w:val="auto"/>
                      <w:kern w:val="0"/>
                      <w:sz w:val="21"/>
                      <w:szCs w:val="21"/>
                      <w:lang w:val="en-US" w:eastAsia="zh-CN"/>
                    </w:rPr>
                    <w:t>80T</w:t>
                  </w:r>
                </w:p>
              </w:tc>
              <w:tc>
                <w:tcPr>
                  <w:tcW w:w="960" w:type="pct"/>
                </w:tcPr>
                <w:p w14:paraId="4BBF64B0">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厂房</w:t>
                  </w:r>
                </w:p>
              </w:tc>
            </w:tr>
            <w:tr w14:paraId="5F01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8" w:type="pct"/>
                </w:tcPr>
                <w:p w14:paraId="24FEADCF">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2</w:t>
                  </w:r>
                </w:p>
              </w:tc>
              <w:tc>
                <w:tcPr>
                  <w:tcW w:w="769" w:type="pct"/>
                  <w:vAlign w:val="center"/>
                </w:tcPr>
                <w:p w14:paraId="6336618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分拣</w:t>
                  </w:r>
                </w:p>
              </w:tc>
              <w:tc>
                <w:tcPr>
                  <w:tcW w:w="1534" w:type="pct"/>
                  <w:vAlign w:val="center"/>
                </w:tcPr>
                <w:p w14:paraId="235CCD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人工分拣线</w:t>
                  </w:r>
                </w:p>
              </w:tc>
              <w:tc>
                <w:tcPr>
                  <w:tcW w:w="578" w:type="pct"/>
                  <w:vAlign w:val="center"/>
                </w:tcPr>
                <w:p w14:paraId="01B85C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w:t>
                  </w:r>
                </w:p>
              </w:tc>
              <w:tc>
                <w:tcPr>
                  <w:tcW w:w="578" w:type="pct"/>
                  <w:vAlign w:val="center"/>
                </w:tcPr>
                <w:p w14:paraId="34ACF3B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w:t>
                  </w:r>
                </w:p>
              </w:tc>
              <w:tc>
                <w:tcPr>
                  <w:tcW w:w="960" w:type="pct"/>
                </w:tcPr>
                <w:p w14:paraId="43E87A05">
                  <w:pPr>
                    <w:pStyle w:val="19"/>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厂房</w:t>
                  </w:r>
                </w:p>
              </w:tc>
            </w:tr>
          </w:tbl>
          <w:p w14:paraId="6B53B75D">
            <w:pPr>
              <w:pStyle w:val="10"/>
              <w:numPr>
                <w:ilvl w:val="3"/>
                <w:numId w:val="0"/>
              </w:numPr>
              <w:rPr>
                <w:rFonts w:hint="default" w:ascii="Times New Roman" w:hAnsi="Times New Roman" w:eastAsia="宋体" w:cs="Times New Roman"/>
                <w:color w:val="auto"/>
                <w:sz w:val="24"/>
                <w:szCs w:val="24"/>
                <w:highlight w:val="none"/>
              </w:rPr>
            </w:pPr>
          </w:p>
          <w:p w14:paraId="1E572232">
            <w:pPr>
              <w:pStyle w:val="10"/>
              <w:numPr>
                <w:ilvl w:val="3"/>
                <w:numId w:val="0"/>
              </w:num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5、</w:t>
            </w:r>
            <w:r>
              <w:rPr>
                <w:rFonts w:hint="default" w:ascii="Times New Roman" w:hAnsi="Times New Roman" w:eastAsia="宋体" w:cs="Times New Roman"/>
                <w:color w:val="auto"/>
                <w:highlight w:val="none"/>
              </w:rPr>
              <w:t>劳动定员和工作制度</w:t>
            </w:r>
          </w:p>
          <w:p w14:paraId="38DF119E">
            <w:pPr>
              <w:pStyle w:val="17"/>
              <w:spacing w:line="240" w:lineRule="auto"/>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eastAsia" w:cs="Times New Roman"/>
                <w:color w:val="auto"/>
                <w:highlight w:val="none"/>
                <w:lang w:val="en-US" w:eastAsia="zh-CN"/>
              </w:rPr>
              <w:t>6</w:t>
            </w:r>
            <w:r>
              <w:rPr>
                <w:rStyle w:val="62"/>
                <w:rFonts w:hint="default" w:ascii="Times New Roman" w:hAnsi="Times New Roman" w:cs="Times New Roman"/>
                <w:b/>
                <w:bCs/>
                <w:color w:val="auto"/>
                <w:highlight w:val="none"/>
              </w:rPr>
              <w:t>劳</w:t>
            </w:r>
            <w:r>
              <w:rPr>
                <w:rFonts w:hint="default" w:ascii="Times New Roman" w:hAnsi="Times New Roman" w:cs="Times New Roman"/>
                <w:color w:val="auto"/>
                <w:highlight w:val="none"/>
              </w:rPr>
              <w:t>动定员与工作制度一览表</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2"/>
              <w:gridCol w:w="2613"/>
              <w:gridCol w:w="1249"/>
              <w:gridCol w:w="2691"/>
            </w:tblGrid>
            <w:tr w14:paraId="112EE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7759E5E1">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项目</w:t>
                  </w:r>
                </w:p>
              </w:tc>
              <w:tc>
                <w:tcPr>
                  <w:tcW w:w="1665" w:type="pct"/>
                  <w:vAlign w:val="center"/>
                </w:tcPr>
                <w:p w14:paraId="4A8D356B">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tc>
              <w:tc>
                <w:tcPr>
                  <w:tcW w:w="796" w:type="pct"/>
                  <w:vAlign w:val="center"/>
                </w:tcPr>
                <w:p w14:paraId="652C3634">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项目</w:t>
                  </w:r>
                </w:p>
              </w:tc>
              <w:tc>
                <w:tcPr>
                  <w:tcW w:w="1714" w:type="pct"/>
                  <w:vAlign w:val="center"/>
                </w:tcPr>
                <w:p w14:paraId="31A25DD8">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内容</w:t>
                  </w:r>
                </w:p>
              </w:tc>
            </w:tr>
            <w:tr w14:paraId="28FB3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61F8530D">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劳动定员</w:t>
                  </w:r>
                </w:p>
              </w:tc>
              <w:tc>
                <w:tcPr>
                  <w:tcW w:w="1665" w:type="pct"/>
                  <w:vAlign w:val="center"/>
                </w:tcPr>
                <w:p w14:paraId="5407D73D">
                  <w:pPr>
                    <w:pStyle w:val="61"/>
                    <w:spacing w:line="360" w:lineRule="auto"/>
                    <w:rPr>
                      <w:rFonts w:hint="default" w:ascii="Times New Roman" w:hAnsi="Times New Roman" w:eastAsia="宋体" w:cs="Times New Roman"/>
                      <w:color w:val="auto"/>
                      <w:highlight w:val="none"/>
                      <w:lang w:eastAsia="zh-CN"/>
                    </w:rPr>
                  </w:pPr>
                  <w:r>
                    <w:rPr>
                      <w:rFonts w:hint="eastAsia"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eastAsia="zh-CN"/>
                    </w:rPr>
                    <w:t>人</w:t>
                  </w:r>
                </w:p>
              </w:tc>
              <w:tc>
                <w:tcPr>
                  <w:tcW w:w="796" w:type="pct"/>
                  <w:vAlign w:val="center"/>
                </w:tcPr>
                <w:p w14:paraId="229CC259">
                  <w:pPr>
                    <w:pStyle w:val="61"/>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rPr>
                    <w:t>食宿</w:t>
                  </w:r>
                  <w:r>
                    <w:rPr>
                      <w:rFonts w:hint="default" w:ascii="Times New Roman" w:hAnsi="Times New Roman" w:cs="Times New Roman"/>
                      <w:b/>
                      <w:bCs/>
                      <w:color w:val="auto"/>
                      <w:highlight w:val="none"/>
                      <w:lang w:val="en-US" w:eastAsia="zh-CN"/>
                    </w:rPr>
                    <w:t>情况</w:t>
                  </w:r>
                </w:p>
              </w:tc>
              <w:tc>
                <w:tcPr>
                  <w:tcW w:w="1714" w:type="pct"/>
                  <w:vAlign w:val="center"/>
                </w:tcPr>
                <w:p w14:paraId="6FF7004F">
                  <w:pPr>
                    <w:pStyle w:val="61"/>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无</w:t>
                  </w:r>
                  <w:r>
                    <w:rPr>
                      <w:rFonts w:hint="default" w:ascii="Times New Roman" w:hAnsi="Times New Roman" w:cs="Times New Roman"/>
                      <w:color w:val="auto"/>
                      <w:highlight w:val="none"/>
                      <w:lang w:val="en-US" w:eastAsia="zh-CN"/>
                    </w:rPr>
                    <w:t>食堂、无住宿</w:t>
                  </w:r>
                </w:p>
              </w:tc>
            </w:tr>
            <w:tr w14:paraId="00889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23" w:type="pct"/>
                  <w:vAlign w:val="center"/>
                </w:tcPr>
                <w:p w14:paraId="089F50B5">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工作时间</w:t>
                  </w:r>
                </w:p>
              </w:tc>
              <w:tc>
                <w:tcPr>
                  <w:tcW w:w="1665" w:type="pct"/>
                  <w:vAlign w:val="center"/>
                </w:tcPr>
                <w:p w14:paraId="656BE7BE">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年生产</w:t>
                  </w:r>
                  <w:r>
                    <w:rPr>
                      <w:rFonts w:hint="eastAsia" w:cs="Times New Roman"/>
                      <w:color w:val="auto"/>
                      <w:highlight w:val="none"/>
                      <w:lang w:val="en-US" w:eastAsia="zh-CN"/>
                    </w:rPr>
                    <w:t>260</w:t>
                  </w:r>
                  <w:r>
                    <w:rPr>
                      <w:rFonts w:hint="default" w:ascii="Times New Roman" w:hAnsi="Times New Roman" w:cs="Times New Roman"/>
                      <w:color w:val="auto"/>
                      <w:highlight w:val="none"/>
                      <w:lang w:val="en-US" w:eastAsia="zh-CN"/>
                    </w:rPr>
                    <w:t>天</w:t>
                  </w:r>
                </w:p>
              </w:tc>
              <w:tc>
                <w:tcPr>
                  <w:tcW w:w="796" w:type="pct"/>
                  <w:vAlign w:val="center"/>
                </w:tcPr>
                <w:p w14:paraId="79EEC20D">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夜间生产</w:t>
                  </w:r>
                </w:p>
              </w:tc>
              <w:tc>
                <w:tcPr>
                  <w:tcW w:w="1714" w:type="pct"/>
                  <w:vAlign w:val="center"/>
                </w:tcPr>
                <w:p w14:paraId="5F20D2F8">
                  <w:pPr>
                    <w:pStyle w:val="61"/>
                    <w:rPr>
                      <w:rFonts w:hint="eastAsia" w:ascii="Times New Roman" w:hAnsi="Times New Roman" w:eastAsia="宋体" w:cs="Times New Roman"/>
                      <w:color w:val="auto"/>
                      <w:highlight w:val="none"/>
                      <w:lang w:val="en-US" w:eastAsia="zh-CN"/>
                    </w:rPr>
                  </w:pPr>
                  <w:r>
                    <w:rPr>
                      <w:rFonts w:hint="eastAsia"/>
                      <w:color w:val="auto"/>
                      <w:highlight w:val="none"/>
                      <w:lang w:val="en-US" w:eastAsia="zh-CN"/>
                    </w:rPr>
                    <w:t>无</w:t>
                  </w:r>
                </w:p>
              </w:tc>
            </w:tr>
            <w:tr w14:paraId="76956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823" w:type="pct"/>
                  <w:vAlign w:val="center"/>
                </w:tcPr>
                <w:p w14:paraId="5162B0EB">
                  <w:pPr>
                    <w:pStyle w:val="6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工作班制</w:t>
                  </w:r>
                </w:p>
              </w:tc>
              <w:tc>
                <w:tcPr>
                  <w:tcW w:w="1665" w:type="pct"/>
                  <w:vAlign w:val="center"/>
                </w:tcPr>
                <w:p w14:paraId="17704489">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每班</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小时，实行</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班制</w:t>
                  </w:r>
                </w:p>
              </w:tc>
              <w:tc>
                <w:tcPr>
                  <w:tcW w:w="796" w:type="pct"/>
                  <w:vAlign w:val="center"/>
                </w:tcPr>
                <w:p w14:paraId="7557479D">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714" w:type="pct"/>
                  <w:vAlign w:val="center"/>
                </w:tcPr>
                <w:p w14:paraId="4B523B46">
                  <w:pPr>
                    <w:pStyle w:val="61"/>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bl>
          <w:p w14:paraId="4883000C">
            <w:pPr>
              <w:pStyle w:val="10"/>
              <w:numPr>
                <w:ilvl w:val="3"/>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6、能源和资源消耗</w:t>
            </w:r>
          </w:p>
          <w:p w14:paraId="11E36328">
            <w:pPr>
              <w:pStyle w:val="11"/>
              <w:numPr>
                <w:ilvl w:val="4"/>
                <w:numId w:val="0"/>
              </w:numPr>
              <w:ind w:left="-960" w:firstLine="144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（1）供电</w:t>
            </w:r>
          </w:p>
          <w:p w14:paraId="5B37BD8A">
            <w:pPr>
              <w:adjustRightInd w:val="0"/>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本项目用电由</w:t>
            </w:r>
            <w:r>
              <w:rPr>
                <w:rFonts w:hint="eastAsia" w:cs="Times New Roman"/>
                <w:color w:val="auto"/>
                <w:highlight w:val="none"/>
                <w:lang w:val="en-US" w:eastAsia="zh-CN"/>
              </w:rPr>
              <w:t>南方</w:t>
            </w:r>
            <w:r>
              <w:rPr>
                <w:rFonts w:hint="default" w:ascii="Times New Roman" w:hAnsi="Times New Roman" w:cs="Times New Roman"/>
                <w:color w:val="auto"/>
                <w:highlight w:val="none"/>
              </w:rPr>
              <w:t>电网提供，年用电量约</w:t>
            </w:r>
            <w:r>
              <w:rPr>
                <w:rFonts w:hint="eastAsia" w:cs="Times New Roman"/>
                <w:color w:val="auto"/>
                <w:sz w:val="24"/>
                <w:szCs w:val="24"/>
                <w:highlight w:val="none"/>
                <w:lang w:val="en-US" w:eastAsia="zh-CN"/>
              </w:rPr>
              <w:t>7.5</w:t>
            </w:r>
            <w:r>
              <w:rPr>
                <w:rFonts w:hint="default" w:ascii="Times New Roman" w:hAnsi="Times New Roman" w:cs="Times New Roman"/>
                <w:color w:val="auto"/>
                <w:sz w:val="24"/>
                <w:szCs w:val="24"/>
                <w:highlight w:val="none"/>
                <w:lang w:val="en-US" w:eastAsia="zh-CN"/>
              </w:rPr>
              <w:t>万</w:t>
            </w:r>
            <w:r>
              <w:rPr>
                <w:rFonts w:hint="default" w:ascii="Times New Roman" w:hAnsi="Times New Roman" w:cs="Times New Roman"/>
                <w:color w:val="auto"/>
                <w:highlight w:val="none"/>
              </w:rPr>
              <w:t>千瓦·时，不设备用发电机或锅炉。</w:t>
            </w:r>
          </w:p>
          <w:p w14:paraId="72C3B5BD">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（2）给水</w:t>
            </w:r>
          </w:p>
          <w:p w14:paraId="2AB4BA75">
            <w:pPr>
              <w:adjustRightInd w:val="0"/>
              <w:ind w:firstLine="480" w:firstLineChars="200"/>
              <w:rPr>
                <w:rFonts w:hint="eastAsia" w:cs="Times New Roman"/>
                <w:color w:val="auto"/>
                <w:highlight w:val="none"/>
                <w:lang w:val="en-US" w:eastAsia="zh-CN"/>
              </w:rPr>
            </w:pPr>
            <w:r>
              <w:rPr>
                <w:rFonts w:hint="default" w:ascii="Times New Roman" w:hAnsi="Times New Roman" w:cs="Times New Roman"/>
                <w:color w:val="auto"/>
                <w:highlight w:val="none"/>
              </w:rPr>
              <w:t>本项目营运期</w:t>
            </w:r>
            <w:r>
              <w:rPr>
                <w:rFonts w:hint="eastAsia" w:cs="Times New Roman"/>
                <w:color w:val="auto"/>
                <w:highlight w:val="none"/>
                <w:lang w:val="en-US" w:eastAsia="zh-CN"/>
              </w:rPr>
              <w:t>用水主要为生活用水。</w:t>
            </w:r>
          </w:p>
          <w:p w14:paraId="28770DF7">
            <w:pPr>
              <w:pStyle w:val="21"/>
              <w:ind w:firstLine="480"/>
              <w:rPr>
                <w:rFonts w:hint="eastAsia" w:eastAsia="宋体" w:cs="Times New Roman"/>
                <w:color w:val="auto"/>
                <w:highlight w:val="none"/>
                <w:lang w:val="en-US" w:eastAsia="zh-CN"/>
              </w:rPr>
            </w:pPr>
            <w:r>
              <w:rPr>
                <w:rFonts w:hint="eastAsia" w:cs="Times New Roman"/>
                <w:color w:val="auto"/>
                <w:highlight w:val="none"/>
                <w:lang w:val="en-US" w:eastAsia="zh-CN"/>
              </w:rPr>
              <w:t>本项目劳动定员2人。</w:t>
            </w:r>
            <w:r>
              <w:rPr>
                <w:rFonts w:hint="default" w:ascii="Times New Roman" w:hAnsi="Times New Roman" w:cs="Times New Roman"/>
                <w:color w:val="auto"/>
                <w:kern w:val="0"/>
                <w:highlight w:val="none"/>
              </w:rPr>
              <w:t>厂区内</w:t>
            </w:r>
            <w:r>
              <w:rPr>
                <w:rFonts w:hint="default" w:ascii="Times New Roman" w:hAnsi="Times New Roman" w:cs="Times New Roman"/>
                <w:color w:val="auto"/>
                <w:kern w:val="0"/>
                <w:highlight w:val="none"/>
                <w:lang w:val="en-US" w:eastAsia="zh-CN"/>
              </w:rPr>
              <w:t>不</w:t>
            </w:r>
            <w:r>
              <w:rPr>
                <w:rFonts w:hint="eastAsia" w:cs="Times New Roman"/>
                <w:color w:val="auto"/>
                <w:kern w:val="0"/>
                <w:highlight w:val="none"/>
                <w:lang w:val="en-US" w:eastAsia="zh-CN"/>
              </w:rPr>
              <w:t>设食</w:t>
            </w:r>
            <w:r>
              <w:rPr>
                <w:rFonts w:hint="default" w:ascii="Times New Roman" w:hAnsi="Times New Roman" w:cs="Times New Roman"/>
                <w:color w:val="auto"/>
                <w:kern w:val="0"/>
                <w:highlight w:val="none"/>
                <w:lang w:val="en-US" w:eastAsia="zh-CN"/>
              </w:rPr>
              <w:t>宿</w:t>
            </w:r>
            <w:r>
              <w:rPr>
                <w:rFonts w:hint="eastAsia"/>
                <w:color w:val="auto"/>
                <w:lang w:val="en-US" w:eastAsia="zh-CN"/>
              </w:rPr>
              <w:t>和卫生间，员工如厕依托乐昌市华轩针织制衣有限公司</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年工作天数</w:t>
            </w:r>
            <w:r>
              <w:rPr>
                <w:rFonts w:hint="eastAsia" w:cs="Times New Roman"/>
                <w:color w:val="auto"/>
                <w:kern w:val="0"/>
                <w:highlight w:val="none"/>
                <w:lang w:val="en-US" w:eastAsia="zh-CN"/>
              </w:rPr>
              <w:t>260</w:t>
            </w:r>
            <w:r>
              <w:rPr>
                <w:rFonts w:hint="default" w:ascii="Times New Roman" w:hAnsi="Times New Roman" w:cs="Times New Roman"/>
                <w:color w:val="auto"/>
                <w:kern w:val="0"/>
                <w:highlight w:val="none"/>
              </w:rPr>
              <w:t>天</w:t>
            </w:r>
            <w:r>
              <w:rPr>
                <w:rFonts w:hint="eastAsia" w:ascii="Times New Roman" w:hAnsi="Times New Roman" w:cs="Times New Roman"/>
                <w:color w:val="auto"/>
                <w:kern w:val="0"/>
                <w:highlight w:val="none"/>
                <w:lang w:eastAsia="zh-CN"/>
              </w:rPr>
              <w:t>，</w:t>
            </w:r>
            <w:r>
              <w:rPr>
                <w:rFonts w:hint="default" w:ascii="Times New Roman" w:hAnsi="Times New Roman" w:eastAsia="宋体" w:cs="Times New Roman"/>
                <w:color w:val="auto"/>
                <w:kern w:val="0"/>
                <w:sz w:val="24"/>
                <w:szCs w:val="24"/>
                <w:highlight w:val="none"/>
              </w:rPr>
              <w:t>参考《广东省用水定额</w:t>
            </w:r>
            <w:r>
              <w:rPr>
                <w:rFonts w:hint="default" w:ascii="Times New Roman" w:hAnsi="Times New Roman" w:eastAsia="宋体" w:cs="Times New Roman"/>
                <w:color w:val="auto"/>
                <w:kern w:val="0"/>
                <w:sz w:val="24"/>
                <w:szCs w:val="24"/>
                <w:highlight w:val="none"/>
                <w:lang w:val="en-US" w:eastAsia="zh-CN"/>
              </w:rPr>
              <w:t xml:space="preserve"> 第3部分：生活</w:t>
            </w:r>
            <w:r>
              <w:rPr>
                <w:rFonts w:hint="default" w:ascii="Times New Roman" w:hAnsi="Times New Roman" w:eastAsia="宋体" w:cs="Times New Roman"/>
                <w:color w:val="auto"/>
                <w:kern w:val="0"/>
                <w:sz w:val="24"/>
                <w:szCs w:val="24"/>
                <w:highlight w:val="none"/>
              </w:rPr>
              <w:t>》（DB44/T</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宋体" w:cs="Times New Roman"/>
                <w:color w:val="auto"/>
                <w:kern w:val="0"/>
                <w:sz w:val="24"/>
                <w:szCs w:val="24"/>
                <w:highlight w:val="none"/>
              </w:rPr>
              <w:t>1461</w:t>
            </w: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rPr>
              <w:t>-20</w:t>
            </w:r>
            <w:r>
              <w:rPr>
                <w:rFonts w:hint="default" w:ascii="Times New Roman" w:hAnsi="Times New Roman" w:eastAsia="宋体" w:cs="Times New Roman"/>
                <w:color w:val="auto"/>
                <w:kern w:val="0"/>
                <w:sz w:val="24"/>
                <w:szCs w:val="24"/>
                <w:highlight w:val="none"/>
                <w:lang w:val="en-US" w:eastAsia="zh-CN"/>
              </w:rPr>
              <w:t>21</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中</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表</w:t>
            </w:r>
            <w:r>
              <w:rPr>
                <w:rFonts w:hint="eastAsia" w:ascii="Times New Roman" w:hAnsi="Times New Roman" w:eastAsia="宋体" w:cs="Times New Roman"/>
                <w:color w:val="auto"/>
                <w:kern w:val="0"/>
                <w:sz w:val="24"/>
                <w:szCs w:val="24"/>
                <w:highlight w:val="none"/>
                <w:lang w:val="en-US" w:eastAsia="zh-CN"/>
              </w:rPr>
              <w:t>A.1 服务业用水定额表-国家机构（92）-国家行政机构（922）-办公楼-</w:t>
            </w:r>
            <w:r>
              <w:rPr>
                <w:rFonts w:hint="eastAsia" w:cs="Times New Roman"/>
                <w:color w:val="auto"/>
                <w:kern w:val="0"/>
                <w:sz w:val="24"/>
                <w:szCs w:val="24"/>
                <w:highlight w:val="none"/>
                <w:lang w:val="en-US" w:eastAsia="zh-CN"/>
              </w:rPr>
              <w:t>无</w:t>
            </w:r>
            <w:r>
              <w:rPr>
                <w:rFonts w:hint="eastAsia" w:ascii="Times New Roman" w:hAnsi="Times New Roman" w:eastAsia="宋体" w:cs="Times New Roman"/>
                <w:color w:val="auto"/>
                <w:kern w:val="0"/>
                <w:sz w:val="24"/>
                <w:szCs w:val="24"/>
                <w:highlight w:val="none"/>
                <w:lang w:val="en-US" w:eastAsia="zh-CN"/>
              </w:rPr>
              <w:t>食堂和浴室</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的标准，</w:t>
            </w:r>
            <w:r>
              <w:rPr>
                <w:rFonts w:hint="default" w:ascii="Times New Roman" w:hAnsi="Times New Roman" w:eastAsia="宋体" w:cs="Times New Roman"/>
                <w:color w:val="auto"/>
                <w:kern w:val="0"/>
                <w:sz w:val="24"/>
                <w:szCs w:val="24"/>
                <w:highlight w:val="none"/>
              </w:rPr>
              <w:t>取</w:t>
            </w:r>
            <w:r>
              <w:rPr>
                <w:rFonts w:hint="eastAsia" w:cs="Times New Roman"/>
                <w:color w:val="auto"/>
                <w:kern w:val="0"/>
                <w:sz w:val="24"/>
                <w:szCs w:val="24"/>
                <w:highlight w:val="none"/>
                <w:lang w:val="en-US" w:eastAsia="zh-CN"/>
              </w:rPr>
              <w:t>通用</w:t>
            </w:r>
            <w:r>
              <w:rPr>
                <w:rFonts w:hint="eastAsia" w:ascii="Times New Roman" w:hAnsi="Times New Roman" w:eastAsia="宋体" w:cs="Times New Roman"/>
                <w:color w:val="auto"/>
                <w:kern w:val="0"/>
                <w:sz w:val="24"/>
                <w:szCs w:val="24"/>
                <w:highlight w:val="none"/>
                <w:lang w:val="en-US" w:eastAsia="zh-CN"/>
              </w:rPr>
              <w:t>值：</w:t>
            </w:r>
            <w:r>
              <w:rPr>
                <w:rFonts w:hint="eastAsia" w:cs="Times New Roman"/>
                <w:color w:val="auto"/>
                <w:kern w:val="0"/>
                <w:sz w:val="24"/>
                <w:szCs w:val="24"/>
                <w:highlight w:val="none"/>
                <w:lang w:val="en-US" w:eastAsia="zh-CN"/>
              </w:rPr>
              <w:t>28</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人·</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，因此本项目生活用水量为</w:t>
            </w: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人×</w:t>
            </w:r>
            <w:r>
              <w:rPr>
                <w:rFonts w:hint="eastAsia" w:cs="Times New Roman"/>
                <w:color w:val="auto"/>
                <w:kern w:val="0"/>
                <w:sz w:val="24"/>
                <w:szCs w:val="24"/>
                <w:highlight w:val="none"/>
                <w:lang w:val="en-US" w:eastAsia="zh-CN"/>
              </w:rPr>
              <w:t>28</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人·</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56</w:t>
            </w:r>
            <w:r>
              <w:rPr>
                <w:rFonts w:hint="eastAsia" w:ascii="Times New Roman" w:hAnsi="Times New Roman" w:eastAsia="宋体" w:cs="Times New Roman"/>
                <w:color w:val="auto"/>
                <w:kern w:val="0"/>
                <w:sz w:val="24"/>
                <w:szCs w:val="24"/>
                <w:highlight w:val="none"/>
                <w:lang w:val="en-US" w:eastAsia="zh-CN"/>
              </w:rPr>
              <w:t>m</w:t>
            </w:r>
            <w:r>
              <w:rPr>
                <w:rFonts w:hint="eastAsia"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color w:val="auto"/>
                <w:sz w:val="24"/>
                <w:highlight w:val="none"/>
                <w:vertAlign w:val="baseline"/>
                <w:lang w:val="en-US" w:eastAsia="zh-CN"/>
              </w:rPr>
              <w:t>/</w:t>
            </w:r>
            <w:r>
              <w:rPr>
                <w:rFonts w:hint="default" w:ascii="Times New Roman" w:hAnsi="Times New Roman" w:cs="Times New Roman"/>
                <w:color w:val="auto"/>
                <w:highlight w:val="none"/>
              </w:rPr>
              <w:t>a</w:t>
            </w:r>
            <w:r>
              <w:rPr>
                <w:rFonts w:hint="eastAsia" w:cs="Times New Roman"/>
                <w:color w:val="auto"/>
                <w:highlight w:val="none"/>
                <w:vertAlign w:val="baseline"/>
                <w:lang w:val="en-US" w:eastAsia="zh-CN"/>
              </w:rPr>
              <w:t>。</w:t>
            </w:r>
          </w:p>
          <w:p w14:paraId="28B8811D">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（3）排水</w:t>
            </w:r>
          </w:p>
          <w:p w14:paraId="6BEF2FB0">
            <w:pPr>
              <w:adjustRightInd w:val="0"/>
              <w:ind w:firstLine="480" w:firstLineChars="200"/>
              <w:rPr>
                <w:rFonts w:hint="eastAsia" w:cs="Times New Roman"/>
                <w:color w:val="auto"/>
                <w:highlight w:val="none"/>
                <w:lang w:val="en-US" w:eastAsia="zh-CN"/>
              </w:rPr>
            </w:pPr>
            <w:r>
              <w:rPr>
                <w:rFonts w:hint="default" w:ascii="Times New Roman" w:hAnsi="Times New Roman" w:cs="Times New Roman"/>
                <w:color w:val="auto"/>
                <w:highlight w:val="none"/>
              </w:rPr>
              <w:t>本项目实行雨污分流制的排水体制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雨水经厂区雨水管网收集后，排入市政雨水管网</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本项目生活污水排放量为</w:t>
            </w:r>
            <w:r>
              <w:rPr>
                <w:rFonts w:hint="eastAsia" w:cs="Times New Roman"/>
                <w:color w:val="auto"/>
                <w:highlight w:val="none"/>
                <w:lang w:val="en-US" w:eastAsia="zh-CN"/>
              </w:rPr>
              <w:t>50.4</w:t>
            </w:r>
            <w:r>
              <w:rPr>
                <w:rFonts w:hint="default" w:ascii="Times New Roman" w:hAnsi="Times New Roman" w:cs="Times New Roman"/>
                <w:color w:val="auto"/>
                <w:highlight w:val="none"/>
              </w:rPr>
              <w:t>t/a，</w:t>
            </w:r>
            <w:r>
              <w:rPr>
                <w:rFonts w:hint="eastAsia" w:cs="Times New Roman"/>
                <w:color w:val="auto"/>
                <w:highlight w:val="none"/>
                <w:lang w:val="en-US" w:eastAsia="zh-CN"/>
              </w:rPr>
              <w:t>依托乐昌市华轩针织制衣有限公司的</w:t>
            </w:r>
            <w:r>
              <w:rPr>
                <w:rFonts w:hint="default" w:ascii="Times New Roman" w:hAnsi="Times New Roman" w:cs="Times New Roman"/>
                <w:color w:val="auto"/>
                <w:highlight w:val="none"/>
              </w:rPr>
              <w:t>三级化粪池预处理后，排入园区污水处理厂进一步处理，达标后排放至武江</w:t>
            </w:r>
            <w:r>
              <w:rPr>
                <w:rFonts w:hint="default" w:ascii="Times New Roman" w:hAnsi="Times New Roman" w:cs="Times New Roman"/>
                <w:color w:val="auto"/>
                <w:highlight w:val="none"/>
                <w:lang w:eastAsia="zh-CN"/>
              </w:rPr>
              <w:t>（乐昌城-犁市河段）</w:t>
            </w:r>
            <w:r>
              <w:rPr>
                <w:rFonts w:hint="eastAsia" w:cs="Times New Roman"/>
                <w:color w:val="auto"/>
                <w:highlight w:val="none"/>
                <w:lang w:val="en-US" w:eastAsia="zh-CN"/>
              </w:rPr>
              <w:t>。</w:t>
            </w:r>
          </w:p>
          <w:p w14:paraId="2C582022">
            <w:pPr>
              <w:adjustRightInd w:val="0"/>
              <w:rPr>
                <w:rFonts w:hint="eastAsia" w:cs="Times New Roman"/>
                <w:color w:val="auto"/>
                <w:highlight w:val="none"/>
                <w:lang w:val="en-US" w:eastAsia="zh-CN"/>
              </w:rPr>
            </w:pPr>
            <w:r>
              <w:rPr>
                <w:color w:val="auto"/>
              </w:rPr>
              <w:drawing>
                <wp:inline distT="0" distB="0" distL="0" distR="0">
                  <wp:extent cx="5041900" cy="618490"/>
                  <wp:effectExtent l="0" t="0" r="0" b="10795"/>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11" cstate="print"/>
                          <a:srcRect/>
                          <a:stretch>
                            <a:fillRect/>
                          </a:stretch>
                        </pic:blipFill>
                        <pic:spPr>
                          <a:xfrm>
                            <a:off x="0" y="0"/>
                            <a:ext cx="5041900" cy="618490"/>
                          </a:xfrm>
                          <a:prstGeom prst="rect">
                            <a:avLst/>
                          </a:prstGeom>
                          <a:ln>
                            <a:noFill/>
                          </a:ln>
                        </pic:spPr>
                      </pic:pic>
                    </a:graphicData>
                  </a:graphic>
                </wp:inline>
              </w:drawing>
            </w:r>
          </w:p>
          <w:p w14:paraId="61B47737">
            <w:pPr>
              <w:pStyle w:val="17"/>
              <w:spacing w:line="240" w:lineRule="auto"/>
              <w:rPr>
                <w:rFonts w:hint="default" w:cs="Times New Roman"/>
                <w:color w:val="auto"/>
                <w:highlight w:val="none"/>
                <w:lang w:val="en-US" w:eastAsia="zh-CN"/>
              </w:rPr>
            </w:pPr>
            <w:r>
              <w:rPr>
                <w:rFonts w:hint="default" w:ascii="Times New Roman" w:hAnsi="Times New Roman" w:cs="Times New Roman"/>
                <w:color w:val="auto"/>
                <w:highlight w:val="none"/>
                <w:lang w:val="en-US" w:eastAsia="zh-CN"/>
              </w:rPr>
              <w:t>图2-1项目用水平衡图单位：t/a</w:t>
            </w:r>
          </w:p>
          <w:p w14:paraId="09AF6F00">
            <w:pPr>
              <w:pStyle w:val="11"/>
              <w:numPr>
                <w:ilvl w:val="4"/>
                <w:numId w:val="0"/>
              </w:numPr>
              <w:ind w:left="-960" w:firstLine="1440"/>
              <w:rPr>
                <w:rFonts w:hint="default" w:ascii="Times New Roman" w:hAnsi="Times New Roman" w:cs="Times New Roman"/>
                <w:color w:val="auto"/>
                <w:highlight w:val="none"/>
              </w:rPr>
            </w:pPr>
            <w:r>
              <w:rPr>
                <w:rFonts w:hint="default" w:ascii="Times New Roman" w:hAnsi="Times New Roman" w:cs="Times New Roman"/>
                <w:color w:val="auto"/>
                <w:highlight w:val="none"/>
              </w:rPr>
              <w:t>（4）通风系统</w:t>
            </w:r>
          </w:p>
          <w:p w14:paraId="6A6BD313">
            <w:pPr>
              <w:adjustRightInd w:val="0"/>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本项目主要采用自然通风或设置抽排风机进行通风，不设中央空调。</w:t>
            </w:r>
          </w:p>
          <w:p w14:paraId="7FD5519C">
            <w:pPr>
              <w:adjustRightInd w:val="0"/>
              <w:ind w:firstLine="480" w:firstLineChars="200"/>
              <w:rPr>
                <w:rFonts w:hint="eastAsia" w:cs="Times New Roman"/>
                <w:b/>
                <w:bCs/>
                <w:color w:val="auto"/>
                <w:szCs w:val="24"/>
                <w:highlight w:val="none"/>
                <w:lang w:val="en-US" w:eastAsia="zh-CN"/>
              </w:rPr>
            </w:pPr>
            <w:r>
              <w:rPr>
                <w:rFonts w:hint="eastAsia" w:cs="Times New Roman"/>
                <w:b/>
                <w:bCs/>
                <w:color w:val="auto"/>
                <w:highlight w:val="none"/>
                <w:lang w:val="en-US" w:eastAsia="zh-CN"/>
              </w:rPr>
              <w:t>7、</w:t>
            </w:r>
            <w:r>
              <w:rPr>
                <w:rFonts w:hint="eastAsia" w:cs="Times New Roman"/>
                <w:b/>
                <w:bCs/>
                <w:color w:val="auto"/>
                <w:szCs w:val="24"/>
                <w:highlight w:val="none"/>
                <w:lang w:val="en-US" w:eastAsia="zh-CN"/>
              </w:rPr>
              <w:t>原料准入制度与控制要求：</w:t>
            </w:r>
          </w:p>
          <w:p w14:paraId="05418CB2">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default"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lang w:val="en-US" w:eastAsia="zh-CN" w:bidi="ar-SA"/>
              </w:rPr>
              <w:t>1）</w:t>
            </w:r>
            <w:r>
              <w:rPr>
                <w:rFonts w:hint="eastAsia" w:cs="Times New Roman"/>
                <w:b w:val="0"/>
                <w:bCs w:val="0"/>
                <w:color w:val="auto"/>
                <w:kern w:val="2"/>
                <w:sz w:val="24"/>
                <w:szCs w:val="24"/>
                <w:highlight w:val="none"/>
                <w:lang w:val="en-US" w:eastAsia="zh-CN" w:bidi="ar-SA"/>
              </w:rPr>
              <w:t>项目收集的一般固废原料主要来源于乐昌市产业转移工业园，囊括乐昌产业转移工业园内的所有企业，来源行业与领域包括但不限于：金属制造业、金属制品业、通用设备制造业、专用设备制造业、汽车零部件及配件制造、电气机械和器材制造业、计算机通信和其他电子设备制造业、橡胶和塑料制品业、家具制造业、纺织业、纺织服装服饰业、皮革毛皮羽毛及其制品和制鞋业、造纸和纸制品业、印刷和记录媒介复制业、文教工美体育和娱乐用品制造业、非金属矿物制品业、化学原料和化学制品制造业、农副食品加工业、废弃资源综合利用业、非金属矿采选业、燃气生产和供应业、自来水生产和供应业、污水处理及其再生利用业、装卸搬运和仓储业等。</w:t>
            </w:r>
          </w:p>
          <w:p w14:paraId="5469849F">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eastAsia"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根据《中华人民共和国固体废物污染环境防治法》（2020修订）第二十二条：跨省转移贮存/处置需移出地+接受地省级生态环境部门审批、跨省转移利用需移出地省级备案；广东省生态环境厅互动交流答复（编号2117431）：工业固体废物省内跨市域转移无需许可；《固体废物综合治理行动计划》（国发〔2025〕14号）第一条：强调属地化管理，鼓励就近消纳，反对长途转运倾倒；《广东省固体废物污染环境防治条例》第二十四条：固体废物转移应当运行电子转移联单。对跨区域接收进行分级管理：（1）对乐昌市产业转移</w:t>
            </w:r>
            <w:r>
              <w:rPr>
                <w:rFonts w:hint="eastAsia" w:cs="Times New Roman"/>
                <w:b w:val="0"/>
                <w:bCs w:val="0"/>
                <w:color w:val="auto"/>
                <w:kern w:val="2"/>
                <w:sz w:val="24"/>
                <w:szCs w:val="24"/>
                <w:highlight w:val="none"/>
                <w:lang w:val="en-US" w:eastAsia="zh-CN" w:bidi="ar-SA"/>
              </w:rPr>
              <w:t>工业</w:t>
            </w:r>
            <w:r>
              <w:rPr>
                <w:rFonts w:hint="eastAsia" w:ascii="Times New Roman" w:hAnsi="Times New Roman" w:eastAsia="宋体" w:cs="Times New Roman"/>
                <w:b w:val="0"/>
                <w:bCs w:val="0"/>
                <w:color w:val="auto"/>
                <w:kern w:val="2"/>
                <w:sz w:val="24"/>
                <w:szCs w:val="24"/>
                <w:highlight w:val="none"/>
                <w:lang w:val="en-US" w:eastAsia="zh-CN" w:bidi="ar-SA"/>
              </w:rPr>
              <w:t>园内注册且持有有效环评及排污许可证等手续的企业进行正常接收。（2）对韶关市内、乐昌市外的企业，原则不收若有特殊进行报备：提前15个工作日向韶关市生态环境局乐昌分局提交书面申请</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申请材料包括：废物名称、代码、物理性状；年产生量、计划交接频次；来源单位营业执照、排污许可证（载明该类固废）；成分检测报告或MSDS；运输路线、运输单位资质</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取得分局书面同意后方可实施</w:t>
            </w:r>
            <w:r>
              <w:rPr>
                <w:rFonts w:hint="eastAsia" w:cs="Times New Roman"/>
                <w:b w:val="0"/>
                <w:bCs w:val="0"/>
                <w:color w:val="auto"/>
                <w:kern w:val="2"/>
                <w:sz w:val="24"/>
                <w:szCs w:val="24"/>
                <w:highlight w:val="none"/>
                <w:lang w:val="en-US" w:eastAsia="zh-CN" w:bidi="ar-SA"/>
              </w:rPr>
              <w:t>，并</w:t>
            </w:r>
            <w:r>
              <w:rPr>
                <w:rFonts w:hint="eastAsia" w:ascii="Times New Roman" w:hAnsi="Times New Roman" w:eastAsia="宋体" w:cs="Times New Roman"/>
                <w:b w:val="0"/>
                <w:bCs w:val="0"/>
                <w:color w:val="auto"/>
                <w:kern w:val="2"/>
                <w:sz w:val="24"/>
                <w:szCs w:val="24"/>
                <w:highlight w:val="none"/>
                <w:lang w:val="en-US" w:eastAsia="zh-CN" w:bidi="ar-SA"/>
              </w:rPr>
              <w:t>通过广东省固废平台填报登记。</w:t>
            </w:r>
            <w:r>
              <w:rPr>
                <w:rFonts w:hint="eastAsia" w:cs="Times New Roman"/>
                <w:b w:val="0"/>
                <w:bCs w:val="0"/>
                <w:color w:val="auto"/>
                <w:kern w:val="2"/>
                <w:sz w:val="24"/>
                <w:szCs w:val="24"/>
                <w:highlight w:val="none"/>
                <w:lang w:val="en-US" w:eastAsia="zh-CN" w:bidi="ar-SA"/>
              </w:rPr>
              <w:t>（3）对广东省外的企业原则上禁止接收。（4）若分拣后的可利用固废销售给位于江西省、湖南省等外省的综合利用单位：按照《固废法》第二十二条自行办理跨省利用审批备案手续。</w:t>
            </w:r>
          </w:p>
          <w:p w14:paraId="4B613AEF">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eastAsia"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lang w:val="en-US" w:eastAsia="zh-CN" w:bidi="ar-SA"/>
              </w:rPr>
              <w:t>3）</w:t>
            </w:r>
            <w:r>
              <w:rPr>
                <w:rFonts w:hint="eastAsia" w:ascii="Times New Roman" w:hAnsi="Times New Roman" w:eastAsia="宋体" w:cs="Times New Roman"/>
                <w:b w:val="0"/>
                <w:bCs w:val="0"/>
                <w:color w:val="auto"/>
                <w:kern w:val="2"/>
                <w:sz w:val="24"/>
                <w:szCs w:val="24"/>
                <w:highlight w:val="none"/>
                <w:lang w:val="en-US" w:eastAsia="zh-CN" w:bidi="ar-SA"/>
              </w:rPr>
              <w:t>本项目仅收集干燥、固态状的一般工业固废，</w:t>
            </w:r>
            <w:r>
              <w:rPr>
                <w:rFonts w:hint="eastAsia" w:cs="Times New Roman"/>
                <w:b w:val="0"/>
                <w:bCs w:val="0"/>
                <w:color w:val="auto"/>
                <w:kern w:val="2"/>
                <w:sz w:val="24"/>
                <w:szCs w:val="24"/>
                <w:highlight w:val="none"/>
                <w:lang w:val="en-US" w:eastAsia="zh-CN" w:bidi="ar-SA"/>
              </w:rPr>
              <w:t>本项目固废接收准入负面清单见下表。</w:t>
            </w:r>
          </w:p>
          <w:p w14:paraId="473E3871">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7</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（国家危险废物名录列明的全部危险废物）</w:t>
            </w:r>
          </w:p>
          <w:tbl>
            <w:tblPr>
              <w:tblStyle w:val="45"/>
              <w:tblW w:w="7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880"/>
              <w:gridCol w:w="3871"/>
            </w:tblGrid>
            <w:tr w14:paraId="44B9B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tcPr>
                <w:p w14:paraId="2DB23D1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危废代码</w:t>
                  </w:r>
                </w:p>
              </w:tc>
              <w:tc>
                <w:tcPr>
                  <w:tcW w:w="2880" w:type="dxa"/>
                </w:tcPr>
                <w:p w14:paraId="00BE872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类别名称</w:t>
                  </w:r>
                </w:p>
              </w:tc>
              <w:tc>
                <w:tcPr>
                  <w:tcW w:w="3871" w:type="dxa"/>
                </w:tcPr>
                <w:p w14:paraId="221E906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常见典型废物</w:t>
                  </w:r>
                </w:p>
              </w:tc>
            </w:tr>
            <w:tr w14:paraId="5DBE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C12FF4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HW08</w:t>
                  </w:r>
                </w:p>
              </w:tc>
              <w:tc>
                <w:tcPr>
                  <w:tcW w:w="2880" w:type="dxa"/>
                  <w:vAlign w:val="center"/>
                </w:tcPr>
                <w:p w14:paraId="7F7940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废矿物油与含油废物</w:t>
                  </w:r>
                </w:p>
              </w:tc>
              <w:tc>
                <w:tcPr>
                  <w:tcW w:w="3871" w:type="dxa"/>
                  <w:vAlign w:val="center"/>
                </w:tcPr>
                <w:p w14:paraId="4185991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废机油、液压油、切削液、含油抹布</w:t>
                  </w:r>
                </w:p>
              </w:tc>
            </w:tr>
            <w:tr w14:paraId="22FC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12EC91C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HW09</w:t>
                  </w:r>
                </w:p>
              </w:tc>
              <w:tc>
                <w:tcPr>
                  <w:tcW w:w="2880" w:type="dxa"/>
                  <w:vAlign w:val="center"/>
                </w:tcPr>
                <w:p w14:paraId="179E3D2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油/水、烃/水混合物或乳化液</w:t>
                  </w:r>
                </w:p>
              </w:tc>
              <w:tc>
                <w:tcPr>
                  <w:tcW w:w="3871" w:type="dxa"/>
                  <w:vAlign w:val="center"/>
                </w:tcPr>
                <w:p w14:paraId="2DE3274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废乳化液、切削液废水</w:t>
                  </w:r>
                </w:p>
              </w:tc>
            </w:tr>
            <w:tr w14:paraId="174D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A06656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HW17</w:t>
                  </w:r>
                </w:p>
              </w:tc>
              <w:tc>
                <w:tcPr>
                  <w:tcW w:w="2880" w:type="dxa"/>
                  <w:vAlign w:val="center"/>
                </w:tcPr>
                <w:p w14:paraId="056C595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表面处理污泥</w:t>
                  </w:r>
                </w:p>
              </w:tc>
              <w:tc>
                <w:tcPr>
                  <w:tcW w:w="3871" w:type="dxa"/>
                  <w:vAlign w:val="center"/>
                </w:tcPr>
                <w:p w14:paraId="3B8F03E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电镀污泥、酸洗污泥、磷化渣</w:t>
                  </w:r>
                </w:p>
              </w:tc>
            </w:tr>
            <w:tr w14:paraId="7102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23946BC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HW18</w:t>
                  </w:r>
                </w:p>
              </w:tc>
              <w:tc>
                <w:tcPr>
                  <w:tcW w:w="2880" w:type="dxa"/>
                  <w:vAlign w:val="center"/>
                </w:tcPr>
                <w:p w14:paraId="64ED072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焚烧处置残渣</w:t>
                  </w:r>
                </w:p>
              </w:tc>
              <w:tc>
                <w:tcPr>
                  <w:tcW w:w="3871" w:type="dxa"/>
                  <w:vAlign w:val="center"/>
                </w:tcPr>
                <w:p w14:paraId="63070D1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垃圾焚烧飞灰、工业炉窑底渣</w:t>
                  </w:r>
                </w:p>
              </w:tc>
            </w:tr>
            <w:tr w14:paraId="237F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7058D4C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HW2</w:t>
                  </w:r>
                  <w:r>
                    <w:rPr>
                      <w:rFonts w:hint="eastAsia" w:cs="Times New Roman"/>
                      <w:b w:val="0"/>
                      <w:bCs w:val="0"/>
                      <w:color w:val="auto"/>
                      <w:kern w:val="2"/>
                      <w:sz w:val="21"/>
                      <w:szCs w:val="21"/>
                      <w:highlight w:val="none"/>
                      <w:lang w:val="en-US" w:eastAsia="zh-CN" w:bidi="ar-SA"/>
                    </w:rPr>
                    <w:t>1</w:t>
                  </w:r>
                  <w:r>
                    <w:rPr>
                      <w:rFonts w:hint="eastAsia" w:ascii="Times New Roman" w:hAnsi="Times New Roman" w:eastAsia="宋体" w:cs="Times New Roman"/>
                      <w:b w:val="0"/>
                      <w:bCs w:val="0"/>
                      <w:color w:val="auto"/>
                      <w:kern w:val="2"/>
                      <w:sz w:val="21"/>
                      <w:szCs w:val="21"/>
                      <w:highlight w:val="none"/>
                      <w:lang w:val="en-US" w:eastAsia="zh-CN" w:bidi="ar-SA"/>
                    </w:rPr>
                    <w:t>～HW24</w:t>
                  </w:r>
                </w:p>
              </w:tc>
              <w:tc>
                <w:tcPr>
                  <w:tcW w:w="2880" w:type="dxa"/>
                  <w:vAlign w:val="center"/>
                </w:tcPr>
                <w:p w14:paraId="6545FC3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含铬/铜/锌/砷废物</w:t>
                  </w:r>
                </w:p>
              </w:tc>
              <w:tc>
                <w:tcPr>
                  <w:tcW w:w="3871" w:type="dxa"/>
                  <w:vAlign w:val="center"/>
                </w:tcPr>
                <w:p w14:paraId="0FB87DB2">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铬渣、含铜蚀刻液、镀锌渣、含砷污泥</w:t>
                  </w:r>
                </w:p>
              </w:tc>
            </w:tr>
            <w:tr w14:paraId="7BE7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768238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HW31</w:t>
                  </w:r>
                </w:p>
              </w:tc>
              <w:tc>
                <w:tcPr>
                  <w:tcW w:w="2880" w:type="dxa"/>
                  <w:vAlign w:val="center"/>
                </w:tcPr>
                <w:p w14:paraId="08D2E6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含铅废物</w:t>
                  </w:r>
                </w:p>
              </w:tc>
              <w:tc>
                <w:tcPr>
                  <w:tcW w:w="3871" w:type="dxa"/>
                  <w:vAlign w:val="center"/>
                </w:tcPr>
                <w:p w14:paraId="6344FD1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铅尘、铅渣、废铅蓄电池</w:t>
                  </w:r>
                </w:p>
              </w:tc>
            </w:tr>
            <w:tr w14:paraId="0D9C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3A1D59F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HW34/</w:t>
                  </w:r>
                </w:p>
                <w:p w14:paraId="104AACA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HW35</w:t>
                  </w:r>
                </w:p>
              </w:tc>
              <w:tc>
                <w:tcPr>
                  <w:tcW w:w="2880" w:type="dxa"/>
                  <w:vAlign w:val="center"/>
                </w:tcPr>
                <w:p w14:paraId="3DBDEC2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废酸/废碱</w:t>
                  </w:r>
                </w:p>
              </w:tc>
              <w:tc>
                <w:tcPr>
                  <w:tcW w:w="3871" w:type="dxa"/>
                  <w:vAlign w:val="center"/>
                </w:tcPr>
                <w:p w14:paraId="33A6EDA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废硫酸/盐酸/硝酸、废氢氧化钠/氨水</w:t>
                  </w:r>
                </w:p>
              </w:tc>
            </w:tr>
            <w:tr w14:paraId="6FC3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03AD70A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HW36</w:t>
                  </w:r>
                </w:p>
              </w:tc>
              <w:tc>
                <w:tcPr>
                  <w:tcW w:w="2880" w:type="dxa"/>
                  <w:vAlign w:val="center"/>
                </w:tcPr>
                <w:p w14:paraId="37B835A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石棉废物</w:t>
                  </w:r>
                </w:p>
              </w:tc>
              <w:tc>
                <w:tcPr>
                  <w:tcW w:w="3871" w:type="dxa"/>
                  <w:vAlign w:val="center"/>
                </w:tcPr>
                <w:p w14:paraId="2C590FE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废石棉纤维、含石棉制品</w:t>
                  </w:r>
                </w:p>
              </w:tc>
            </w:tr>
            <w:tr w14:paraId="0402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71A3642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HW46/</w:t>
                  </w:r>
                </w:p>
                <w:p w14:paraId="725197B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HW48</w:t>
                  </w:r>
                </w:p>
              </w:tc>
              <w:tc>
                <w:tcPr>
                  <w:tcW w:w="2880" w:type="dxa"/>
                  <w:vAlign w:val="center"/>
                </w:tcPr>
                <w:p w14:paraId="6594C09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含镍废物/有色冶炼渣</w:t>
                  </w:r>
                </w:p>
              </w:tc>
              <w:tc>
                <w:tcPr>
                  <w:tcW w:w="3871" w:type="dxa"/>
                  <w:vAlign w:val="center"/>
                </w:tcPr>
                <w:p w14:paraId="406B1C6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含镍电镀污泥、铜铅锌冶炼渣</w:t>
                  </w:r>
                </w:p>
              </w:tc>
            </w:tr>
            <w:tr w14:paraId="121C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68C9436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HW49</w:t>
                  </w:r>
                </w:p>
              </w:tc>
              <w:tc>
                <w:tcPr>
                  <w:tcW w:w="2880" w:type="dxa"/>
                  <w:vAlign w:val="center"/>
                </w:tcPr>
                <w:p w14:paraId="183185B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其他废物</w:t>
                  </w:r>
                </w:p>
              </w:tc>
              <w:tc>
                <w:tcPr>
                  <w:tcW w:w="3871" w:type="dxa"/>
                  <w:vAlign w:val="center"/>
                </w:tcPr>
                <w:p w14:paraId="08A6758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废电路板(900-045-049)、</w:t>
                  </w:r>
                </w:p>
                <w:p w14:paraId="6FB1EAC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废活性炭(900-039-049)、</w:t>
                  </w:r>
                </w:p>
                <w:p w14:paraId="0B3FD4D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废铅蓄电池(900-044-049)、废催化剂</w:t>
                  </w:r>
                </w:p>
              </w:tc>
            </w:tr>
            <w:tr w14:paraId="2235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2" w:type="dxa"/>
                  <w:vAlign w:val="center"/>
                </w:tcPr>
                <w:p w14:paraId="4272784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HW50</w:t>
                  </w:r>
                </w:p>
              </w:tc>
              <w:tc>
                <w:tcPr>
                  <w:tcW w:w="2880" w:type="dxa"/>
                  <w:vAlign w:val="center"/>
                </w:tcPr>
                <w:p w14:paraId="2CAEFCB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废催化剂及精馏残渣</w:t>
                  </w:r>
                </w:p>
              </w:tc>
              <w:tc>
                <w:tcPr>
                  <w:tcW w:w="3871" w:type="dxa"/>
                  <w:vAlign w:val="center"/>
                </w:tcPr>
                <w:p w14:paraId="74295B6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废石油炼制催化剂、废化工催化剂</w:t>
                  </w:r>
                </w:p>
              </w:tc>
            </w:tr>
            <w:tr w14:paraId="1244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53" w:type="dxa"/>
                  <w:gridSpan w:val="3"/>
                  <w:vAlign w:val="center"/>
                </w:tcPr>
                <w:p w14:paraId="4259926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注：以上为与本项目来源行业高度相关的重点危废类别，实际禁收范围覆盖《国家危险废物名录》全部大类及其后续修订版本。</w:t>
                  </w:r>
                </w:p>
              </w:tc>
            </w:tr>
          </w:tbl>
          <w:p w14:paraId="4288E8E6">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8</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涉重金属固体废物</w:t>
            </w:r>
            <w:r>
              <w:rPr>
                <w:rFonts w:hint="eastAsia" w:ascii="Times New Roman" w:cs="Times New Roman"/>
                <w:b/>
                <w:color w:val="auto"/>
                <w:sz w:val="21"/>
                <w:szCs w:val="21"/>
                <w:highlight w:val="none"/>
                <w:lang w:eastAsia="zh-CN"/>
              </w:rPr>
              <w:t>）</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1815"/>
              <w:gridCol w:w="1695"/>
              <w:gridCol w:w="4016"/>
            </w:tblGrid>
            <w:tr w14:paraId="0073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1012F90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1156" w:type="pct"/>
                </w:tcPr>
                <w:p w14:paraId="129810D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1080" w:type="pct"/>
                </w:tcPr>
                <w:p w14:paraId="3CB0A3C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典型来源行业</w:t>
                  </w:r>
                </w:p>
              </w:tc>
              <w:tc>
                <w:tcPr>
                  <w:tcW w:w="2559" w:type="pct"/>
                </w:tcPr>
                <w:p w14:paraId="7A84F63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风险说明</w:t>
                  </w:r>
                </w:p>
              </w:tc>
            </w:tr>
            <w:tr w14:paraId="316E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041D26F">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1156" w:type="pct"/>
                </w:tcPr>
                <w:p w14:paraId="56DADF2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有色金属采选尾矿及选矿渣</w:t>
                  </w:r>
                </w:p>
              </w:tc>
              <w:tc>
                <w:tcPr>
                  <w:tcW w:w="1080" w:type="pct"/>
                </w:tcPr>
                <w:p w14:paraId="32DB528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非金属矿采选业、有色金属矿采选业</w:t>
                  </w:r>
                </w:p>
              </w:tc>
              <w:tc>
                <w:tcPr>
                  <w:tcW w:w="2559" w:type="pct"/>
                </w:tcPr>
                <w:p w14:paraId="20059CD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含铅、镉、汞、砷等多种重金属，属《固废十条》（国发〔2025〕14号）严控对象；韶关市为重金属污染防控重点区域</w:t>
                  </w:r>
                </w:p>
              </w:tc>
            </w:tr>
            <w:tr w14:paraId="4FDE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8D3A7AE">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1156" w:type="pct"/>
                </w:tcPr>
                <w:p w14:paraId="5C34823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电镀污泥/酸洗污泥/表面处理废渣</w:t>
                  </w:r>
                </w:p>
              </w:tc>
              <w:tc>
                <w:tcPr>
                  <w:tcW w:w="1080" w:type="pct"/>
                </w:tcPr>
                <w:p w14:paraId="7BBD3D6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金属制品表面处理企业</w:t>
                  </w:r>
                </w:p>
              </w:tc>
              <w:tc>
                <w:tcPr>
                  <w:tcW w:w="2559" w:type="pct"/>
                </w:tcPr>
                <w:p w14:paraId="6016A072">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重金属含量高（铬、镍、铜、锌），浸出毒性易超标</w:t>
                  </w:r>
                </w:p>
              </w:tc>
            </w:tr>
            <w:tr w14:paraId="595F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55584B23">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1156" w:type="pct"/>
                </w:tcPr>
                <w:p w14:paraId="1340D05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冶炼炉渣/冶炼飞灰</w:t>
                  </w:r>
                </w:p>
              </w:tc>
              <w:tc>
                <w:tcPr>
                  <w:tcW w:w="1080" w:type="pct"/>
                </w:tcPr>
                <w:p w14:paraId="0590CFA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有色金属冶炼、钢铁冶炼行业</w:t>
                  </w:r>
                </w:p>
              </w:tc>
              <w:tc>
                <w:tcPr>
                  <w:tcW w:w="2559" w:type="pct"/>
                </w:tcPr>
                <w:p w14:paraId="45C2488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可能含重金属浸出超标，部分属HW48</w:t>
                  </w:r>
                </w:p>
              </w:tc>
            </w:tr>
            <w:tr w14:paraId="71AB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01CA946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1156" w:type="pct"/>
                </w:tcPr>
                <w:p w14:paraId="00A4AA9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含重金属污染的土壤/底泥/沉淀渣</w:t>
                  </w:r>
                </w:p>
              </w:tc>
              <w:tc>
                <w:tcPr>
                  <w:tcW w:w="1080" w:type="pct"/>
                </w:tcPr>
                <w:p w14:paraId="43329F2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场地修复工程、污水处理厂</w:t>
                  </w:r>
                </w:p>
              </w:tc>
              <w:tc>
                <w:tcPr>
                  <w:tcW w:w="2559" w:type="pct"/>
                </w:tcPr>
                <w:p w14:paraId="5EE6D55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来源复杂，成分不确定，需逐批鉴定</w:t>
                  </w:r>
                </w:p>
              </w:tc>
            </w:tr>
            <w:tr w14:paraId="4E17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4D2EB2A7">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1156" w:type="pct"/>
                </w:tcPr>
                <w:p w14:paraId="78E3791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废蓄电池（含未破损的）</w:t>
                  </w:r>
                </w:p>
              </w:tc>
              <w:tc>
                <w:tcPr>
                  <w:tcW w:w="1080" w:type="pct"/>
                </w:tcPr>
                <w:p w14:paraId="13182E4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各类工业企业、机动车维修</w:t>
                  </w:r>
                </w:p>
              </w:tc>
              <w:tc>
                <w:tcPr>
                  <w:tcW w:w="2559" w:type="pct"/>
                </w:tcPr>
                <w:p w14:paraId="1102F18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属HW49，含铅酸/锂离子/镉镍电池，需专业资质单位拆解</w:t>
                  </w:r>
                </w:p>
              </w:tc>
            </w:tr>
            <w:tr w14:paraId="352E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1202700B">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1156" w:type="pct"/>
                </w:tcPr>
                <w:p w14:paraId="7681B5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废弃电器电子产品（含废电路板）</w:t>
                  </w:r>
                </w:p>
              </w:tc>
              <w:tc>
                <w:tcPr>
                  <w:tcW w:w="1080" w:type="pct"/>
                </w:tcPr>
                <w:p w14:paraId="219ED33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电子设备制造、报废电子品回收</w:t>
                  </w:r>
                </w:p>
              </w:tc>
              <w:tc>
                <w:tcPr>
                  <w:tcW w:w="2559" w:type="pct"/>
                </w:tcPr>
                <w:p w14:paraId="39A9E30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含铅焊料、溴化阻燃剂、汞开关等多重污染物；废电路板属HW49（900-045-049）</w:t>
                  </w:r>
                </w:p>
              </w:tc>
            </w:tr>
            <w:tr w14:paraId="28F3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 w:type="pct"/>
                  <w:vAlign w:val="center"/>
                </w:tcPr>
                <w:p w14:paraId="729F211B">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7</w:t>
                  </w:r>
                </w:p>
              </w:tc>
              <w:tc>
                <w:tcPr>
                  <w:tcW w:w="1156" w:type="pct"/>
                </w:tcPr>
                <w:p w14:paraId="63CE188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含多氯联苯的电容器/变压器</w:t>
                  </w:r>
                </w:p>
              </w:tc>
              <w:tc>
                <w:tcPr>
                  <w:tcW w:w="1080" w:type="pct"/>
                </w:tcPr>
                <w:p w14:paraId="6073CDA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电气机械和器材制造、电力设备报废</w:t>
                  </w:r>
                </w:p>
              </w:tc>
              <w:tc>
                <w:tcPr>
                  <w:tcW w:w="2559" w:type="pct"/>
                </w:tcPr>
                <w:p w14:paraId="5324FF2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PCBs属持久性有机污染物，《斯德哥尔摩公约》管控物质</w:t>
                  </w:r>
                </w:p>
              </w:tc>
            </w:tr>
          </w:tbl>
          <w:p w14:paraId="79C6712B">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9</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特殊管控废物</w:t>
            </w:r>
            <w:r>
              <w:rPr>
                <w:rFonts w:hint="eastAsia" w:ascii="Times New Roman" w:cs="Times New Roman"/>
                <w:b/>
                <w:color w:val="auto"/>
                <w:sz w:val="21"/>
                <w:szCs w:val="21"/>
                <w:highlight w:val="none"/>
                <w:lang w:eastAsia="zh-CN"/>
              </w:rPr>
              <w:t>）</w:t>
            </w:r>
          </w:p>
          <w:tbl>
            <w:tblPr>
              <w:tblStyle w:val="45"/>
              <w:tblW w:w="7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
              <w:gridCol w:w="3150"/>
              <w:gridCol w:w="4320"/>
            </w:tblGrid>
            <w:tr w14:paraId="7BC5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0C76DEB1">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3150" w:type="dxa"/>
                  <w:vAlign w:val="center"/>
                </w:tcPr>
                <w:p w14:paraId="12B38E3A">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4320" w:type="dxa"/>
                  <w:vAlign w:val="center"/>
                </w:tcPr>
                <w:p w14:paraId="3A209147">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法律依据/管理要求</w:t>
                  </w:r>
                </w:p>
              </w:tc>
            </w:tr>
            <w:tr w14:paraId="7936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44DFF246">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3150" w:type="dxa"/>
                </w:tcPr>
                <w:p w14:paraId="3B76735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医疗废物（感染性、损伤性、病理性、药物性、化学性）</w:t>
                  </w:r>
                </w:p>
              </w:tc>
              <w:tc>
                <w:tcPr>
                  <w:tcW w:w="4320" w:type="dxa"/>
                </w:tcPr>
                <w:p w14:paraId="4B17CF79">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《医疗废物管理条例》</w:t>
                  </w:r>
                </w:p>
              </w:tc>
            </w:tr>
            <w:tr w14:paraId="3D32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vAlign w:val="center"/>
                </w:tcPr>
                <w:p w14:paraId="1A386396">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3150" w:type="dxa"/>
                </w:tcPr>
                <w:p w14:paraId="119CD57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石棉及含石棉建筑材料/制品</w:t>
                  </w:r>
                </w:p>
              </w:tc>
              <w:tc>
                <w:tcPr>
                  <w:tcW w:w="4320" w:type="dxa"/>
                </w:tcPr>
                <w:p w14:paraId="1ECFC27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IARC一类致癌物；《工作场所职业卫生管理规定》</w:t>
                  </w:r>
                </w:p>
              </w:tc>
            </w:tr>
            <w:tr w14:paraId="025F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6AB445A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3150" w:type="dxa"/>
                </w:tcPr>
                <w:p w14:paraId="4E84ECF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放射性污染物/疑似放射性废物</w:t>
                  </w:r>
                </w:p>
              </w:tc>
              <w:tc>
                <w:tcPr>
                  <w:tcW w:w="4320" w:type="dxa"/>
                </w:tcPr>
                <w:p w14:paraId="0732A32A">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《放射性污染防治法》</w:t>
                  </w:r>
                </w:p>
              </w:tc>
            </w:tr>
            <w:tr w14:paraId="46B8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2F8AA4A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3150" w:type="dxa"/>
                </w:tcPr>
                <w:p w14:paraId="32C9FE2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爆炸性物质/易燃易爆物品</w:t>
                  </w:r>
                </w:p>
              </w:tc>
              <w:tc>
                <w:tcPr>
                  <w:tcW w:w="4320" w:type="dxa"/>
                </w:tcPr>
                <w:p w14:paraId="6D0A5FE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《安全生产法》《民用爆炸物品安全管理条例》</w:t>
                  </w:r>
                </w:p>
              </w:tc>
            </w:tr>
            <w:tr w14:paraId="2205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60C9DFBF">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3150" w:type="dxa"/>
                </w:tcPr>
                <w:p w14:paraId="1359706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剧毒化学品包装物/容器</w:t>
                  </w:r>
                </w:p>
              </w:tc>
              <w:tc>
                <w:tcPr>
                  <w:tcW w:w="4320" w:type="dxa"/>
                </w:tcPr>
                <w:p w14:paraId="42696411">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《危险化学品安全管理条例》</w:t>
                  </w:r>
                </w:p>
              </w:tc>
            </w:tr>
            <w:tr w14:paraId="3D9A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ABBCDF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3150" w:type="dxa"/>
                </w:tcPr>
                <w:p w14:paraId="2E56F2A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农药包装废弃物</w:t>
                  </w:r>
                </w:p>
              </w:tc>
              <w:tc>
                <w:tcPr>
                  <w:tcW w:w="4320" w:type="dxa"/>
                </w:tcPr>
                <w:p w14:paraId="690B816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《农药包装废弃物回收处理管理办法》</w:t>
                  </w:r>
                </w:p>
              </w:tc>
            </w:tr>
            <w:tr w14:paraId="4A7E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A599AD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7</w:t>
                  </w:r>
                </w:p>
              </w:tc>
              <w:tc>
                <w:tcPr>
                  <w:tcW w:w="3150" w:type="dxa"/>
                </w:tcPr>
                <w:p w14:paraId="445ECBCB">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过期/变质/被污染的食品药品及其包装</w:t>
                  </w:r>
                </w:p>
              </w:tc>
              <w:tc>
                <w:tcPr>
                  <w:tcW w:w="4320" w:type="dxa"/>
                </w:tcPr>
                <w:p w14:paraId="32E98385">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《食品安全法》《药品管理法》</w:t>
                  </w:r>
                </w:p>
              </w:tc>
            </w:tr>
            <w:tr w14:paraId="17D0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dxa"/>
                </w:tcPr>
                <w:p w14:paraId="5F76610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8</w:t>
                  </w:r>
                </w:p>
              </w:tc>
              <w:tc>
                <w:tcPr>
                  <w:tcW w:w="3150" w:type="dxa"/>
                </w:tcPr>
                <w:p w14:paraId="17416ED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废弃农药瓶/农膜</w:t>
                  </w:r>
                </w:p>
              </w:tc>
              <w:tc>
                <w:tcPr>
                  <w:tcW w:w="4320" w:type="dxa"/>
                </w:tcPr>
                <w:p w14:paraId="6351CB6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《农用薄膜管理办法》</w:t>
                  </w:r>
                </w:p>
              </w:tc>
            </w:tr>
          </w:tbl>
          <w:p w14:paraId="64C760AC">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10</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物理形态限制</w:t>
            </w:r>
            <w:r>
              <w:rPr>
                <w:rFonts w:hint="eastAsia" w:ascii="Times New Roman" w:cs="Times New Roman"/>
                <w:b/>
                <w:color w:val="auto"/>
                <w:sz w:val="21"/>
                <w:szCs w:val="21"/>
                <w:highlight w:val="none"/>
                <w:lang w:eastAsia="zh-CN"/>
              </w:rPr>
              <w:t>）</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3170"/>
              <w:gridCol w:w="4193"/>
            </w:tblGrid>
            <w:tr w14:paraId="5DDA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07BA56FA">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2020" w:type="pct"/>
                  <w:vAlign w:val="center"/>
                </w:tcPr>
                <w:p w14:paraId="4385298C">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禁收类别</w:t>
                  </w:r>
                </w:p>
              </w:tc>
              <w:tc>
                <w:tcPr>
                  <w:tcW w:w="2672" w:type="pct"/>
                  <w:vAlign w:val="center"/>
                </w:tcPr>
                <w:p w14:paraId="06715D3C">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禁收原因</w:t>
                  </w:r>
                </w:p>
              </w:tc>
            </w:tr>
            <w:tr w14:paraId="3A0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0C186019">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2020" w:type="pct"/>
                  <w:vAlign w:val="center"/>
                </w:tcPr>
                <w:p w14:paraId="09025636">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液态废物</w:t>
                  </w:r>
                </w:p>
              </w:tc>
              <w:tc>
                <w:tcPr>
                  <w:tcW w:w="2672" w:type="pct"/>
                  <w:vAlign w:val="center"/>
                </w:tcPr>
                <w:p w14:paraId="5C74808E">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项目无污水处理设施，无废水排放许可</w:t>
                  </w:r>
                </w:p>
              </w:tc>
            </w:tr>
            <w:tr w14:paraId="4E097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724CFA2F">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2020" w:type="pct"/>
                  <w:vAlign w:val="center"/>
                </w:tcPr>
                <w:p w14:paraId="42AA6D43">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半固态/膏状废物（污泥、底泥、泥浆状物）</w:t>
                  </w:r>
                </w:p>
              </w:tc>
              <w:tc>
                <w:tcPr>
                  <w:tcW w:w="2672" w:type="pct"/>
                  <w:vAlign w:val="center"/>
                </w:tcPr>
                <w:p w14:paraId="7DDAEC4D">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易渗漏、难密闭运输、无防渗暂存条件</w:t>
                  </w:r>
                </w:p>
              </w:tc>
            </w:tr>
            <w:tr w14:paraId="5AD3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4AB05639">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2020" w:type="pct"/>
                  <w:vAlign w:val="center"/>
                </w:tcPr>
                <w:p w14:paraId="2AF2D0E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具有强烈刺激性异味/恶臭的废物</w:t>
                  </w:r>
                </w:p>
              </w:tc>
              <w:tc>
                <w:tcPr>
                  <w:tcW w:w="2672" w:type="pct"/>
                  <w:vAlign w:val="center"/>
                </w:tcPr>
                <w:p w14:paraId="57E44D20">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项目无除臭设施，臭气浓度无法控制，影响周边环境</w:t>
                  </w:r>
                </w:p>
              </w:tc>
            </w:tr>
            <w:tr w14:paraId="5558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243C3123">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2020" w:type="pct"/>
                  <w:vAlign w:val="center"/>
                </w:tcPr>
                <w:p w14:paraId="2D5CE5BC">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有渗滤液产生的废物（如湿垃圾、厨余垃圾）</w:t>
                  </w:r>
                </w:p>
              </w:tc>
              <w:tc>
                <w:tcPr>
                  <w:tcW w:w="2672" w:type="pct"/>
                  <w:vAlign w:val="center"/>
                </w:tcPr>
                <w:p w14:paraId="30DE8804">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无渗滤液收集处理系统</w:t>
                  </w:r>
                </w:p>
              </w:tc>
            </w:tr>
            <w:tr w14:paraId="307E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7" w:type="pct"/>
                  <w:vAlign w:val="center"/>
                </w:tcPr>
                <w:p w14:paraId="19232C54">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2020" w:type="pct"/>
                  <w:vAlign w:val="center"/>
                </w:tcPr>
                <w:p w14:paraId="30EC7998">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建筑垃圾/装修垃圾</w:t>
                  </w:r>
                </w:p>
              </w:tc>
              <w:tc>
                <w:tcPr>
                  <w:tcW w:w="2672" w:type="pct"/>
                  <w:vAlign w:val="center"/>
                </w:tcPr>
                <w:p w14:paraId="4FBF21C7">
                  <w:pPr>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不属于工业固废范畴，已明确排除</w:t>
                  </w:r>
                </w:p>
              </w:tc>
            </w:tr>
          </w:tbl>
          <w:p w14:paraId="25C4EF9A">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11</w:t>
            </w:r>
            <w:r>
              <w:rPr>
                <w:rFonts w:hint="eastAsia" w:ascii="Times New Roman" w:cs="Times New Roman"/>
                <w:b/>
                <w:color w:val="auto"/>
                <w:sz w:val="21"/>
                <w:szCs w:val="21"/>
                <w:highlight w:val="none"/>
                <w:lang w:val="en-US" w:eastAsia="zh-CN"/>
              </w:rPr>
              <w:t>严禁接收废物类别</w:t>
            </w:r>
            <w:r>
              <w:rPr>
                <w:rFonts w:hint="default" w:ascii="Times New Roman" w:hAnsi="Times New Roman" w:cs="Times New Roman"/>
                <w:b/>
                <w:color w:val="auto"/>
                <w:sz w:val="21"/>
                <w:szCs w:val="21"/>
                <w:highlight w:val="none"/>
              </w:rPr>
              <w:t>一览表</w:t>
            </w:r>
            <w:r>
              <w:rPr>
                <w:rFonts w:hint="eastAsia" w:ascii="Times New Roman" w:cs="Times New Roman"/>
                <w:b/>
                <w:color w:val="auto"/>
                <w:sz w:val="21"/>
                <w:szCs w:val="21"/>
                <w:highlight w:val="none"/>
                <w:lang w:eastAsia="zh-CN"/>
              </w:rPr>
              <w:t>（</w:t>
            </w:r>
            <w:r>
              <w:rPr>
                <w:rFonts w:hint="eastAsia" w:ascii="Times New Roman" w:cs="Times New Roman"/>
                <w:b/>
                <w:color w:val="auto"/>
                <w:sz w:val="21"/>
                <w:szCs w:val="21"/>
                <w:highlight w:val="none"/>
                <w:lang w:val="en-US" w:eastAsia="zh-CN"/>
              </w:rPr>
              <w:t>来源/属性不明确的废物</w:t>
            </w:r>
            <w:r>
              <w:rPr>
                <w:rFonts w:hint="eastAsia" w:ascii="Times New Roman" w:cs="Times New Roman"/>
                <w:b/>
                <w:color w:val="auto"/>
                <w:sz w:val="21"/>
                <w:szCs w:val="21"/>
                <w:highlight w:val="none"/>
                <w:lang w:eastAsia="zh-CN"/>
              </w:rPr>
              <w:t>）</w:t>
            </w:r>
          </w:p>
          <w:tbl>
            <w:tblPr>
              <w:tblStyle w:val="45"/>
              <w:tblW w:w="77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4538"/>
              <w:gridCol w:w="2772"/>
            </w:tblGrid>
            <w:tr w14:paraId="5BB2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399CF86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4538" w:type="dxa"/>
                  <w:vAlign w:val="center"/>
                </w:tcPr>
                <w:p w14:paraId="67F422E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禁收情形</w:t>
                  </w:r>
                </w:p>
              </w:tc>
              <w:tc>
                <w:tcPr>
                  <w:tcW w:w="2772" w:type="dxa"/>
                  <w:vAlign w:val="center"/>
                </w:tcPr>
                <w:p w14:paraId="57AA36D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处置方式</w:t>
                  </w:r>
                </w:p>
              </w:tc>
            </w:tr>
            <w:tr w14:paraId="4E84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4CF59D1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4538" w:type="dxa"/>
                  <w:vAlign w:val="center"/>
                </w:tcPr>
                <w:p w14:paraId="5B2A9B9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无法提供产废单位营业执照和排污许可证的</w:t>
                  </w:r>
                </w:p>
              </w:tc>
              <w:tc>
                <w:tcPr>
                  <w:tcW w:w="2772" w:type="dxa"/>
                  <w:vAlign w:val="center"/>
                </w:tcPr>
                <w:p w14:paraId="73F9036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27A3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3313E57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4538" w:type="dxa"/>
                  <w:vAlign w:val="center"/>
                </w:tcPr>
                <w:p w14:paraId="44A817C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无法提供废物产生工艺说明和成分检测报告的</w:t>
                  </w:r>
                </w:p>
              </w:tc>
              <w:tc>
                <w:tcPr>
                  <w:tcW w:w="2772" w:type="dxa"/>
                  <w:vAlign w:val="center"/>
                </w:tcPr>
                <w:p w14:paraId="1FCC0EF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3FD8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5B6BF43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4538" w:type="dxa"/>
                  <w:vAlign w:val="center"/>
                </w:tcPr>
                <w:p w14:paraId="2592FA4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固废属性存疑、经初步鉴别不能确认为一般工业固废的</w:t>
                  </w:r>
                </w:p>
              </w:tc>
              <w:tc>
                <w:tcPr>
                  <w:tcW w:w="2772" w:type="dxa"/>
                  <w:vAlign w:val="center"/>
                </w:tcPr>
                <w:p w14:paraId="6479A29A">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一律拒收；委托有资质机构鉴别，期间暂存于隔离区</w:t>
                  </w:r>
                </w:p>
              </w:tc>
            </w:tr>
            <w:tr w14:paraId="4DBC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720FCF3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4538" w:type="dxa"/>
                  <w:vAlign w:val="center"/>
                </w:tcPr>
                <w:p w14:paraId="1FBCB51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与环评载明接收范围（表2-2所列9类）不符的废物</w:t>
                  </w:r>
                </w:p>
              </w:tc>
              <w:tc>
                <w:tcPr>
                  <w:tcW w:w="2772" w:type="dxa"/>
                  <w:vAlign w:val="center"/>
                </w:tcPr>
                <w:p w14:paraId="23CA8A4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r w14:paraId="66F0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18CC5FE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4538" w:type="dxa"/>
                  <w:vAlign w:val="center"/>
                </w:tcPr>
                <w:p w14:paraId="27C3129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进口固体废物（含洋垃圾、进口废塑料等）</w:t>
                  </w:r>
                </w:p>
              </w:tc>
              <w:tc>
                <w:tcPr>
                  <w:tcW w:w="2772" w:type="dxa"/>
                  <w:vAlign w:val="center"/>
                </w:tcPr>
                <w:p w14:paraId="48AAC19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依法禁止进口，一律拒收并报告生态环境部门</w:t>
                  </w:r>
                </w:p>
              </w:tc>
            </w:tr>
            <w:tr w14:paraId="582D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7" w:type="dxa"/>
                  <w:vAlign w:val="center"/>
                </w:tcPr>
                <w:p w14:paraId="0222E99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4538" w:type="dxa"/>
                  <w:vAlign w:val="center"/>
                </w:tcPr>
                <w:p w14:paraId="2C2F822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来源不明、无溯源记录的废物</w:t>
                  </w:r>
                </w:p>
              </w:tc>
              <w:tc>
                <w:tcPr>
                  <w:tcW w:w="2772" w:type="dxa"/>
                  <w:vAlign w:val="center"/>
                </w:tcPr>
                <w:p w14:paraId="276FB62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一律拒收</w:t>
                  </w:r>
                </w:p>
              </w:tc>
            </w:tr>
          </w:tbl>
          <w:p w14:paraId="5E5AC26F">
            <w:pPr>
              <w:pStyle w:val="4"/>
              <w:ind w:left="0" w:leftChars="0" w:firstLine="0" w:firstLineChars="0"/>
              <w:jc w:val="center"/>
              <w:rPr>
                <w:rFonts w:hint="eastAsia" w:eastAsia="宋体"/>
                <w:color w:val="auto"/>
                <w:lang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12</w:t>
            </w:r>
            <w:r>
              <w:rPr>
                <w:rFonts w:hint="eastAsia" w:ascii="Times New Roman" w:cs="Times New Roman"/>
                <w:b/>
                <w:color w:val="auto"/>
                <w:sz w:val="21"/>
                <w:szCs w:val="21"/>
                <w:highlight w:val="none"/>
                <w:lang w:val="en-US" w:eastAsia="zh-CN"/>
              </w:rPr>
              <w:t>有条件接收类别</w:t>
            </w:r>
            <w:r>
              <w:rPr>
                <w:rFonts w:hint="default" w:ascii="Times New Roman" w:hAnsi="Times New Roman" w:cs="Times New Roman"/>
                <w:b/>
                <w:color w:val="auto"/>
                <w:sz w:val="21"/>
                <w:szCs w:val="21"/>
                <w:highlight w:val="none"/>
              </w:rPr>
              <w:t>一览表</w:t>
            </w:r>
          </w:p>
          <w:tbl>
            <w:tblPr>
              <w:tblStyle w:val="45"/>
              <w:tblW w:w="7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8"/>
              <w:gridCol w:w="2160"/>
              <w:gridCol w:w="3246"/>
            </w:tblGrid>
            <w:tr w14:paraId="6151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53BF131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类别</w:t>
                  </w:r>
                </w:p>
              </w:tc>
              <w:tc>
                <w:tcPr>
                  <w:tcW w:w="2160" w:type="dxa"/>
                </w:tcPr>
                <w:p w14:paraId="6275E01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附加审核条件</w:t>
                  </w:r>
                </w:p>
              </w:tc>
              <w:tc>
                <w:tcPr>
                  <w:tcW w:w="3246" w:type="dxa"/>
                </w:tcPr>
                <w:p w14:paraId="2BC1516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证明材料</w:t>
                  </w:r>
                </w:p>
              </w:tc>
            </w:tr>
            <w:tr w14:paraId="1B29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2F9EE31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来自化工行业的废塑料包装物</w:t>
                  </w:r>
                </w:p>
              </w:tc>
              <w:tc>
                <w:tcPr>
                  <w:tcW w:w="2160" w:type="dxa"/>
                </w:tcPr>
                <w:p w14:paraId="0842E1B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须确认未接触危险化学品</w:t>
                  </w:r>
                </w:p>
              </w:tc>
              <w:tc>
                <w:tcPr>
                  <w:tcW w:w="3246" w:type="dxa"/>
                </w:tcPr>
                <w:p w14:paraId="42B09B2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MSDS/SDS安全数据表 + 产污单位书面声明</w:t>
                  </w:r>
                </w:p>
              </w:tc>
            </w:tr>
            <w:tr w14:paraId="65CD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22914DF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来自污水处理厂的污泥</w:t>
                  </w:r>
                </w:p>
              </w:tc>
              <w:tc>
                <w:tcPr>
                  <w:tcW w:w="2160" w:type="dxa"/>
                </w:tcPr>
                <w:p w14:paraId="0900E31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须提供重金属浸出毒性检测报告</w:t>
                  </w:r>
                </w:p>
              </w:tc>
              <w:tc>
                <w:tcPr>
                  <w:tcW w:w="3246" w:type="dxa"/>
                </w:tcPr>
                <w:p w14:paraId="250E72B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CMA/CNAS资质机构出具的检测报告，符合GB18599入场限值</w:t>
                  </w:r>
                </w:p>
              </w:tc>
            </w:tr>
            <w:tr w14:paraId="4567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6B961D5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来自非金属矿加工的粉尘/残渣</w:t>
                  </w:r>
                </w:p>
              </w:tc>
              <w:tc>
                <w:tcPr>
                  <w:tcW w:w="2160" w:type="dxa"/>
                </w:tcPr>
                <w:p w14:paraId="7748378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须提供成分分析报告</w:t>
                  </w:r>
                </w:p>
              </w:tc>
              <w:tc>
                <w:tcPr>
                  <w:tcW w:w="3246" w:type="dxa"/>
                </w:tcPr>
                <w:p w14:paraId="3F0CC62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重金属含量不超过韶关市土壤背景值</w:t>
                  </w:r>
                </w:p>
              </w:tc>
            </w:tr>
            <w:tr w14:paraId="1DC5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248" w:type="dxa"/>
                </w:tcPr>
                <w:p w14:paraId="1420844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废纺织品中可能含PVC涂层/印染残留的</w:t>
                  </w:r>
                </w:p>
              </w:tc>
              <w:tc>
                <w:tcPr>
                  <w:tcW w:w="2160" w:type="dxa"/>
                </w:tcPr>
                <w:p w14:paraId="434F016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须分拣剔除后仅接收纯天然纤维部分</w:t>
                  </w:r>
                </w:p>
              </w:tc>
              <w:tc>
                <w:tcPr>
                  <w:tcW w:w="3246" w:type="dxa"/>
                </w:tcPr>
                <w:p w14:paraId="08E32F8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入厂分拣记录+抽检报告</w:t>
                  </w:r>
                </w:p>
              </w:tc>
            </w:tr>
            <w:tr w14:paraId="2F6B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8" w:type="dxa"/>
                </w:tcPr>
                <w:p w14:paraId="051388B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废轮胎（来自机动车拆解）</w:t>
                  </w:r>
                </w:p>
              </w:tc>
              <w:tc>
                <w:tcPr>
                  <w:tcW w:w="2160" w:type="dxa"/>
                </w:tcPr>
                <w:p w14:paraId="0842515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须确认来自合法拆解企业</w:t>
                  </w:r>
                </w:p>
              </w:tc>
              <w:tc>
                <w:tcPr>
                  <w:tcW w:w="3246" w:type="dxa"/>
                </w:tcPr>
                <w:p w14:paraId="6829FB2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拆解企业资质证明 + 去除钢丝圈</w:t>
                  </w:r>
                </w:p>
              </w:tc>
            </w:tr>
          </w:tbl>
          <w:p w14:paraId="10BE8E68">
            <w:pPr>
              <w:pStyle w:val="10"/>
              <w:keepNext/>
              <w:keepLines/>
              <w:pageBreakBefore w:val="0"/>
              <w:widowControl w:val="0"/>
              <w:numPr>
                <w:ilvl w:val="0"/>
                <w:numId w:val="0"/>
              </w:numPr>
              <w:kinsoku/>
              <w:wordWrap/>
              <w:overflowPunct/>
              <w:topLinePunct w:val="0"/>
              <w:autoSpaceDE/>
              <w:autoSpaceDN/>
              <w:bidi w:val="0"/>
              <w:adjustRightInd/>
              <w:snapToGrid/>
              <w:ind w:left="0" w:leftChars="0" w:firstLine="480" w:firstLineChars="0"/>
              <w:textAlignment w:val="auto"/>
              <w:rPr>
                <w:rFonts w:hint="default"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lang w:val="en-US" w:eastAsia="zh-CN" w:bidi="ar-SA"/>
              </w:rPr>
              <w:t>4）</w:t>
            </w:r>
            <w:r>
              <w:rPr>
                <w:rFonts w:hint="eastAsia" w:cs="Times New Roman"/>
                <w:b w:val="0"/>
                <w:bCs w:val="0"/>
                <w:color w:val="auto"/>
                <w:kern w:val="2"/>
                <w:sz w:val="24"/>
                <w:szCs w:val="24"/>
                <w:highlight w:val="none"/>
                <w:lang w:val="en-US" w:eastAsia="zh-CN" w:bidi="ar-SA"/>
              </w:rPr>
              <w:t>建立严格的入厂固废检验制度，详见下表：</w:t>
            </w:r>
          </w:p>
          <w:p w14:paraId="760BAF82">
            <w:pPr>
              <w:pStyle w:val="4"/>
              <w:ind w:left="0" w:leftChars="0" w:firstLine="0" w:firstLineChars="0"/>
              <w:jc w:val="center"/>
              <w:rPr>
                <w:rFonts w:hint="default" w:eastAsia="宋体"/>
                <w:color w:val="auto"/>
                <w:lang w:val="en-US" w:eastAsia="zh-CN"/>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13 </w:t>
            </w:r>
            <w:r>
              <w:rPr>
                <w:rFonts w:hint="eastAsia" w:ascii="Times New Roman" w:cs="Times New Roman"/>
                <w:b/>
                <w:color w:val="auto"/>
                <w:sz w:val="21"/>
                <w:szCs w:val="21"/>
                <w:highlight w:val="none"/>
                <w:lang w:val="en-US" w:eastAsia="zh-CN"/>
              </w:rPr>
              <w:t>合作前源头预审</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445"/>
              <w:gridCol w:w="4802"/>
            </w:tblGrid>
            <w:tr w14:paraId="7131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5A387DB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2445" w:type="dxa"/>
                </w:tcPr>
                <w:p w14:paraId="4312C7D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审核事项</w:t>
                  </w:r>
                </w:p>
              </w:tc>
              <w:tc>
                <w:tcPr>
                  <w:tcW w:w="4802" w:type="dxa"/>
                </w:tcPr>
                <w:p w14:paraId="50F6D0A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要求</w:t>
                  </w:r>
                </w:p>
              </w:tc>
            </w:tr>
            <w:tr w14:paraId="0E44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70248E6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2445" w:type="dxa"/>
                </w:tcPr>
                <w:p w14:paraId="58FEECE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核查产废单位营业执照</w:t>
                  </w:r>
                </w:p>
              </w:tc>
              <w:tc>
                <w:tcPr>
                  <w:tcW w:w="4802" w:type="dxa"/>
                </w:tcPr>
                <w:p w14:paraId="2616D87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营业范围包含相关生产经营活动</w:t>
                  </w:r>
                </w:p>
              </w:tc>
            </w:tr>
            <w:tr w14:paraId="3032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242913B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2445" w:type="dxa"/>
                </w:tcPr>
                <w:p w14:paraId="0944A09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核查排污许可证</w:t>
                  </w:r>
                </w:p>
              </w:tc>
              <w:tc>
                <w:tcPr>
                  <w:tcW w:w="4802" w:type="dxa"/>
                </w:tcPr>
                <w:p w14:paraId="7DFA699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许可证载明的固废种类与拟交付一致</w:t>
                  </w:r>
                </w:p>
              </w:tc>
            </w:tr>
            <w:tr w14:paraId="088B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43395D7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2445" w:type="dxa"/>
                </w:tcPr>
                <w:p w14:paraId="17B6B9D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签订书面协议</w:t>
                  </w:r>
                </w:p>
              </w:tc>
              <w:tc>
                <w:tcPr>
                  <w:tcW w:w="4802" w:type="dxa"/>
                </w:tcPr>
                <w:p w14:paraId="3CE25C0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明确固废类别、代码、数量、交付频次、质量标准</w:t>
                  </w:r>
                </w:p>
              </w:tc>
            </w:tr>
            <w:tr w14:paraId="3441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735978F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2445" w:type="dxa"/>
                </w:tcPr>
                <w:p w14:paraId="62B1DE9B">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约定夹带责任条款</w:t>
                  </w:r>
                </w:p>
              </w:tc>
              <w:tc>
                <w:tcPr>
                  <w:tcW w:w="4802" w:type="dxa"/>
                </w:tcPr>
                <w:p w14:paraId="3097E98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若发现夹带禁收物，由产废单位承担全部退运费用及相关法律责任</w:t>
                  </w:r>
                </w:p>
              </w:tc>
            </w:tr>
            <w:tr w14:paraId="7C9A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 w:type="dxa"/>
                </w:tcPr>
                <w:p w14:paraId="411F16A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2445" w:type="dxa"/>
                </w:tcPr>
                <w:p w14:paraId="2EECF226">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建立产废单位档案</w:t>
                  </w:r>
                </w:p>
              </w:tc>
              <w:tc>
                <w:tcPr>
                  <w:tcW w:w="4802" w:type="dxa"/>
                </w:tcPr>
                <w:p w14:paraId="55CE9A7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一企一档，动态更新</w:t>
                  </w:r>
                </w:p>
              </w:tc>
            </w:tr>
          </w:tbl>
          <w:p w14:paraId="296F7E8A">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14 </w:t>
            </w:r>
            <w:r>
              <w:rPr>
                <w:rFonts w:hint="eastAsia" w:ascii="Times New Roman" w:cs="Times New Roman"/>
                <w:b/>
                <w:color w:val="auto"/>
                <w:sz w:val="21"/>
                <w:szCs w:val="21"/>
                <w:highlight w:val="none"/>
                <w:lang w:val="en-US" w:eastAsia="zh-CN"/>
              </w:rPr>
              <w:t>每批次入厂检验</w:t>
            </w:r>
          </w:p>
          <w:tbl>
            <w:tblPr>
              <w:tblStyle w:val="45"/>
              <w:tblW w:w="7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
              <w:gridCol w:w="1379"/>
              <w:gridCol w:w="3541"/>
              <w:gridCol w:w="2385"/>
            </w:tblGrid>
            <w:tr w14:paraId="438C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30336CA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序号</w:t>
                  </w:r>
                </w:p>
              </w:tc>
              <w:tc>
                <w:tcPr>
                  <w:tcW w:w="1379" w:type="dxa"/>
                </w:tcPr>
                <w:p w14:paraId="43C1018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检验项目</w:t>
                  </w:r>
                </w:p>
              </w:tc>
              <w:tc>
                <w:tcPr>
                  <w:tcW w:w="3541" w:type="dxa"/>
                </w:tcPr>
                <w:p w14:paraId="56B00FE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方法</w:t>
                  </w:r>
                </w:p>
              </w:tc>
              <w:tc>
                <w:tcPr>
                  <w:tcW w:w="2385" w:type="dxa"/>
                </w:tcPr>
                <w:p w14:paraId="57029B60">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记录要求</w:t>
                  </w:r>
                </w:p>
              </w:tc>
            </w:tr>
            <w:tr w14:paraId="0498C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6FBC517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1379" w:type="dxa"/>
                </w:tcPr>
                <w:p w14:paraId="6E5DD65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外观检查</w:t>
                  </w:r>
                </w:p>
              </w:tc>
              <w:tc>
                <w:tcPr>
                  <w:tcW w:w="3541" w:type="dxa"/>
                </w:tcPr>
                <w:p w14:paraId="31E7FB1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目视：颜色、形状、夹杂物、含水率</w:t>
                  </w:r>
                </w:p>
              </w:tc>
              <w:tc>
                <w:tcPr>
                  <w:tcW w:w="2385" w:type="dxa"/>
                </w:tcPr>
                <w:p w14:paraId="4BDC243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拍照留存</w:t>
                  </w:r>
                </w:p>
              </w:tc>
            </w:tr>
            <w:tr w14:paraId="2E5C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56E0A483">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2</w:t>
                  </w:r>
                </w:p>
              </w:tc>
              <w:tc>
                <w:tcPr>
                  <w:tcW w:w="1379" w:type="dxa"/>
                </w:tcPr>
                <w:p w14:paraId="0EE6903D">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气味检查</w:t>
                  </w:r>
                </w:p>
              </w:tc>
              <w:tc>
                <w:tcPr>
                  <w:tcW w:w="3541" w:type="dxa"/>
                </w:tcPr>
                <w:p w14:paraId="582E5DB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嗅觉：有无刺激性/恶臭/化学品气味</w:t>
                  </w:r>
                </w:p>
              </w:tc>
              <w:tc>
                <w:tcPr>
                  <w:tcW w:w="2385" w:type="dxa"/>
                </w:tcPr>
                <w:p w14:paraId="00209AC8">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记录描述</w:t>
                  </w:r>
                </w:p>
              </w:tc>
            </w:tr>
            <w:tr w14:paraId="6F39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77BFEFA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3</w:t>
                  </w:r>
                </w:p>
              </w:tc>
              <w:tc>
                <w:tcPr>
                  <w:tcW w:w="1379" w:type="dxa"/>
                </w:tcPr>
                <w:p w14:paraId="49F869B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源头核验</w:t>
                  </w:r>
                </w:p>
              </w:tc>
              <w:tc>
                <w:tcPr>
                  <w:tcW w:w="3541" w:type="dxa"/>
                </w:tcPr>
                <w:p w14:paraId="55B4AFBF">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核对送货单与预约信息（来源、品类、数量）</w:t>
                  </w:r>
                </w:p>
              </w:tc>
              <w:tc>
                <w:tcPr>
                  <w:tcW w:w="2385" w:type="dxa"/>
                </w:tcPr>
                <w:p w14:paraId="52B53647">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双方签字确认</w:t>
                  </w:r>
                </w:p>
              </w:tc>
            </w:tr>
            <w:tr w14:paraId="1FC2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49DF1B4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4</w:t>
                  </w:r>
                </w:p>
              </w:tc>
              <w:tc>
                <w:tcPr>
                  <w:tcW w:w="1379" w:type="dxa"/>
                </w:tcPr>
                <w:p w14:paraId="778F0F39">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抽样快检（建议配备）</w:t>
                  </w:r>
                </w:p>
              </w:tc>
              <w:tc>
                <w:tcPr>
                  <w:tcW w:w="3541" w:type="dxa"/>
                </w:tcPr>
                <w:p w14:paraId="1CAEAC25">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产废单位提供检测报告或便携式XRF荧光分析仪筛查重金属异常</w:t>
                  </w:r>
                </w:p>
              </w:tc>
              <w:tc>
                <w:tcPr>
                  <w:tcW w:w="2385" w:type="dxa"/>
                </w:tcPr>
                <w:p w14:paraId="3F15815E">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仪器读数存档</w:t>
                  </w:r>
                </w:p>
              </w:tc>
            </w:tr>
            <w:tr w14:paraId="3535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 w:type="dxa"/>
                </w:tcPr>
                <w:p w14:paraId="7263D9B4">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5</w:t>
                  </w:r>
                </w:p>
              </w:tc>
              <w:tc>
                <w:tcPr>
                  <w:tcW w:w="1379" w:type="dxa"/>
                </w:tcPr>
                <w:p w14:paraId="15B0CE4C">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台账登记</w:t>
                  </w:r>
                </w:p>
              </w:tc>
              <w:tc>
                <w:tcPr>
                  <w:tcW w:w="3541" w:type="dxa"/>
                </w:tcPr>
                <w:p w14:paraId="03DAF9C2">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批次号、来源单位、废物名称/代码、数量、检验结果、检验人签名</w:t>
                  </w:r>
                </w:p>
              </w:tc>
              <w:tc>
                <w:tcPr>
                  <w:tcW w:w="2385" w:type="dxa"/>
                </w:tcPr>
                <w:p w14:paraId="09800F61">
                  <w:pPr>
                    <w:keepNext w:val="0"/>
                    <w:keepLines w:val="0"/>
                    <w:pageBreakBefore w:val="0"/>
                    <w:widowControl w:val="0"/>
                    <w:kinsoku/>
                    <w:wordWrap/>
                    <w:overflowPunct/>
                    <w:topLinePunct w:val="0"/>
                    <w:autoSpaceDE/>
                    <w:autoSpaceDN/>
                    <w:bidi w:val="0"/>
                    <w:adjustRightInd/>
                    <w:snapToGrid/>
                    <w:spacing w:before="0" w:after="0" w:line="240" w:lineRule="auto"/>
                    <w:jc w:val="both"/>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电子台账+纸质台账双备份</w:t>
                  </w:r>
                </w:p>
              </w:tc>
            </w:tr>
          </w:tbl>
          <w:p w14:paraId="51A58B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5）建立异常处置流程制度，并制定应急预案进行细化。详见下表：</w:t>
            </w:r>
          </w:p>
          <w:p w14:paraId="32DC6024">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15 </w:t>
            </w:r>
            <w:r>
              <w:rPr>
                <w:rFonts w:hint="eastAsia" w:ascii="Times New Roman" w:cs="Times New Roman"/>
                <w:b/>
                <w:color w:val="auto"/>
                <w:sz w:val="21"/>
                <w:szCs w:val="21"/>
                <w:highlight w:val="none"/>
                <w:lang w:val="en-US" w:eastAsia="zh-CN"/>
              </w:rPr>
              <w:t>异常处置流程</w:t>
            </w:r>
          </w:p>
          <w:tbl>
            <w:tblPr>
              <w:tblStyle w:val="45"/>
              <w:tblW w:w="7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055"/>
              <w:gridCol w:w="5018"/>
            </w:tblGrid>
            <w:tr w14:paraId="3787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tcPr>
                <w:p w14:paraId="62FF699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序号</w:t>
                  </w:r>
                </w:p>
              </w:tc>
              <w:tc>
                <w:tcPr>
                  <w:tcW w:w="2055" w:type="dxa"/>
                </w:tcPr>
                <w:p w14:paraId="6066310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异常情况</w:t>
                  </w:r>
                </w:p>
              </w:tc>
              <w:tc>
                <w:tcPr>
                  <w:tcW w:w="5018" w:type="dxa"/>
                </w:tcPr>
                <w:p w14:paraId="4B23F2C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处置流程</w:t>
                  </w:r>
                </w:p>
              </w:tc>
            </w:tr>
            <w:tr w14:paraId="7235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05CE99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1</w:t>
                  </w:r>
                </w:p>
              </w:tc>
              <w:tc>
                <w:tcPr>
                  <w:tcW w:w="2055" w:type="dxa"/>
                  <w:vAlign w:val="center"/>
                </w:tcPr>
                <w:p w14:paraId="08CE03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疑似危险废物</w:t>
                  </w:r>
                </w:p>
              </w:tc>
              <w:tc>
                <w:tcPr>
                  <w:tcW w:w="5018" w:type="dxa"/>
                </w:tcPr>
                <w:p w14:paraId="4458E037">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立即隔离至危废暂存间；</w:t>
                  </w:r>
                </w:p>
                <w:p w14:paraId="289B7234">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default" w:cs="Times New Roman"/>
                      <w:b w:val="0"/>
                      <w:bCs w:val="0"/>
                      <w:color w:val="auto"/>
                      <w:kern w:val="2"/>
                      <w:sz w:val="21"/>
                      <w:szCs w:val="21"/>
                      <w:highlight w:val="none"/>
                      <w:vertAlign w:val="baseline"/>
                      <w:lang w:val="en-US" w:eastAsia="zh-CN" w:bidi="ar-SA"/>
                    </w:rPr>
                    <w:t>通知产废单位48小时内清退</w:t>
                  </w:r>
                  <w:r>
                    <w:rPr>
                      <w:rFonts w:hint="eastAsia" w:cs="Times New Roman"/>
                      <w:b w:val="0"/>
                      <w:bCs w:val="0"/>
                      <w:color w:val="auto"/>
                      <w:kern w:val="2"/>
                      <w:sz w:val="21"/>
                      <w:szCs w:val="21"/>
                      <w:highlight w:val="none"/>
                      <w:vertAlign w:val="baseline"/>
                      <w:lang w:val="en-US" w:eastAsia="zh-CN" w:bidi="ar-SA"/>
                    </w:rPr>
                    <w:t>；</w:t>
                  </w:r>
                </w:p>
                <w:p w14:paraId="1CCB37C6">
                  <w:pPr>
                    <w:keepNext w:val="0"/>
                    <w:keepLines w:val="0"/>
                    <w:pageBreakBefore w:val="0"/>
                    <w:widowControl w:val="0"/>
                    <w:numPr>
                      <w:ilvl w:val="0"/>
                      <w:numId w:val="9"/>
                    </w:numPr>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default" w:cs="Times New Roman"/>
                      <w:b w:val="0"/>
                      <w:bCs w:val="0"/>
                      <w:color w:val="auto"/>
                      <w:kern w:val="2"/>
                      <w:sz w:val="21"/>
                      <w:szCs w:val="21"/>
                      <w:highlight w:val="none"/>
                      <w:vertAlign w:val="baseline"/>
                      <w:lang w:val="en-US" w:eastAsia="zh-CN" w:bidi="ar-SA"/>
                    </w:rPr>
                    <w:t>全程记录备查</w:t>
                  </w:r>
                  <w:r>
                    <w:rPr>
                      <w:rFonts w:hint="eastAsia" w:cs="Times New Roman"/>
                      <w:b w:val="0"/>
                      <w:bCs w:val="0"/>
                      <w:color w:val="auto"/>
                      <w:kern w:val="2"/>
                      <w:sz w:val="21"/>
                      <w:szCs w:val="21"/>
                      <w:highlight w:val="none"/>
                      <w:vertAlign w:val="baseline"/>
                      <w:lang w:val="en-US" w:eastAsia="zh-CN" w:bidi="ar-SA"/>
                    </w:rPr>
                    <w:t>。</w:t>
                  </w:r>
                </w:p>
              </w:tc>
            </w:tr>
            <w:tr w14:paraId="3FDE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325B6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2</w:t>
                  </w:r>
                </w:p>
              </w:tc>
              <w:tc>
                <w:tcPr>
                  <w:tcW w:w="2055" w:type="dxa"/>
                  <w:vAlign w:val="center"/>
                </w:tcPr>
                <w:p w14:paraId="224BB5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属性无法判定</w:t>
                  </w:r>
                </w:p>
              </w:tc>
              <w:tc>
                <w:tcPr>
                  <w:tcW w:w="5018" w:type="dxa"/>
                </w:tcPr>
                <w:p w14:paraId="31D23F40">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送有资质机构鉴别；</w:t>
                  </w:r>
                </w:p>
                <w:p w14:paraId="6FA2A43F">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期间暂存于隔离区（不超过7天）；</w:t>
                  </w:r>
                </w:p>
                <w:p w14:paraId="14B16F6E">
                  <w:pPr>
                    <w:keepNext w:val="0"/>
                    <w:keepLines w:val="0"/>
                    <w:pageBreakBefore w:val="0"/>
                    <w:widowControl w:val="0"/>
                    <w:numPr>
                      <w:ilvl w:val="0"/>
                      <w:numId w:val="10"/>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按鉴别结果分类处置。</w:t>
                  </w:r>
                </w:p>
              </w:tc>
            </w:tr>
            <w:tr w14:paraId="5233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vAlign w:val="center"/>
                </w:tcPr>
                <w:p w14:paraId="5587B7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3</w:t>
                  </w:r>
                </w:p>
              </w:tc>
              <w:tc>
                <w:tcPr>
                  <w:tcW w:w="2055" w:type="dxa"/>
                  <w:vAlign w:val="center"/>
                </w:tcPr>
                <w:p w14:paraId="109D53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重大违规夹带（放射性/剧毒/爆炸物）</w:t>
                  </w:r>
                </w:p>
              </w:tc>
              <w:tc>
                <w:tcPr>
                  <w:tcW w:w="5018" w:type="dxa"/>
                </w:tcPr>
                <w:p w14:paraId="4107404F">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立即停收；</w:t>
                  </w:r>
                </w:p>
                <w:p w14:paraId="2097322B">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保护现场；</w:t>
                  </w:r>
                </w:p>
                <w:p w14:paraId="218FAAC5">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向韶关市生态环境局乐昌分局报告；</w:t>
                  </w:r>
                </w:p>
                <w:p w14:paraId="25DB9CB7">
                  <w:pPr>
                    <w:keepNext w:val="0"/>
                    <w:keepLines w:val="0"/>
                    <w:pageBreakBefore w:val="0"/>
                    <w:widowControl w:val="0"/>
                    <w:numPr>
                      <w:ilvl w:val="0"/>
                      <w:numId w:val="11"/>
                    </w:numPr>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配合调查取证。</w:t>
                  </w:r>
                </w:p>
              </w:tc>
            </w:tr>
          </w:tbl>
          <w:p w14:paraId="157A1A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（6）建立档案与台账管理要求</w:t>
            </w:r>
          </w:p>
          <w:p w14:paraId="309A6942">
            <w:pPr>
              <w:pStyle w:val="4"/>
              <w:ind w:left="0" w:leftChars="0" w:firstLine="0" w:firstLineChars="0"/>
              <w:jc w:val="center"/>
              <w:rPr>
                <w:rFonts w:hint="default" w:cs="Times New Roman"/>
                <w:b w:val="0"/>
                <w:bCs w:val="0"/>
                <w:color w:val="auto"/>
                <w:kern w:val="2"/>
                <w:sz w:val="24"/>
                <w:szCs w:val="24"/>
                <w:highlight w:val="none"/>
                <w:lang w:val="en-US" w:eastAsia="zh-CN" w:bidi="ar-SA"/>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rPr>
              <w:fldChar w:fldCharType="begin"/>
            </w:r>
            <w:r>
              <w:rPr>
                <w:rFonts w:hint="default" w:ascii="Times New Roman" w:hAnsi="Times New Roman" w:cs="Times New Roman"/>
                <w:b/>
                <w:bCs/>
                <w:color w:val="auto"/>
                <w:sz w:val="21"/>
                <w:szCs w:val="21"/>
                <w:highlight w:val="none"/>
              </w:rPr>
              <w:instrText xml:space="preserve"> STYLEREF 1 \s </w:instrText>
            </w:r>
            <w:r>
              <w:rPr>
                <w:rFonts w:hint="default" w:ascii="Times New Roman" w:hAnsi="Times New Roman" w:cs="Times New Roman"/>
                <w:b/>
                <w:bCs/>
                <w:color w:val="auto"/>
                <w:sz w:val="21"/>
                <w:szCs w:val="21"/>
                <w:highlight w:val="none"/>
              </w:rPr>
              <w:fldChar w:fldCharType="separate"/>
            </w:r>
            <w:r>
              <w:rPr>
                <w:rFonts w:hint="default" w:ascii="Times New Roman" w:hAnsi="Times New Roman" w:cs="Times New Roman"/>
                <w:b/>
                <w:bCs/>
                <w:color w:val="auto"/>
                <w:sz w:val="21"/>
                <w:szCs w:val="21"/>
                <w:highlight w:val="none"/>
              </w:rPr>
              <w:t>2</w:t>
            </w:r>
            <w:r>
              <w:rPr>
                <w:rFonts w:hint="default" w:ascii="Times New Roman" w:hAnsi="Times New Roman" w:cs="Times New Roman"/>
                <w:b/>
                <w:bCs/>
                <w:color w:val="auto"/>
                <w:sz w:val="21"/>
                <w:szCs w:val="21"/>
                <w:highlight w:val="none"/>
              </w:rPr>
              <w:fldChar w:fldCharType="end"/>
            </w:r>
            <w:r>
              <w:rPr>
                <w:rFonts w:hint="default" w:ascii="Times New Roman" w:hAnsi="Times New Roman" w:cs="Times New Roman"/>
                <w:b/>
                <w:bCs/>
                <w:color w:val="auto"/>
                <w:sz w:val="21"/>
                <w:szCs w:val="21"/>
                <w:highlight w:val="none"/>
              </w:rPr>
              <w:t>-</w:t>
            </w:r>
            <w:r>
              <w:rPr>
                <w:rFonts w:hint="eastAsia" w:ascii="Times New Roman" w:cs="Times New Roman"/>
                <w:b/>
                <w:bCs/>
                <w:color w:val="auto"/>
                <w:sz w:val="21"/>
                <w:szCs w:val="21"/>
                <w:highlight w:val="none"/>
                <w:lang w:val="en-US" w:eastAsia="zh-CN"/>
              </w:rPr>
              <w:t xml:space="preserve">16 </w:t>
            </w:r>
            <w:r>
              <w:rPr>
                <w:rFonts w:hint="eastAsia" w:ascii="Times New Roman" w:cs="Times New Roman"/>
                <w:b/>
                <w:color w:val="auto"/>
                <w:sz w:val="21"/>
                <w:szCs w:val="21"/>
                <w:highlight w:val="none"/>
                <w:lang w:val="en-US" w:eastAsia="zh-CN"/>
              </w:rPr>
              <w:t>档案与台账管理要求</w:t>
            </w:r>
          </w:p>
          <w:tbl>
            <w:tblPr>
              <w:tblStyle w:val="45"/>
              <w:tblW w:w="7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5"/>
              <w:gridCol w:w="6053"/>
            </w:tblGrid>
            <w:tr w14:paraId="00CC0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A1725C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项目</w:t>
                  </w:r>
                </w:p>
              </w:tc>
              <w:tc>
                <w:tcPr>
                  <w:tcW w:w="6053" w:type="dxa"/>
                </w:tcPr>
                <w:p w14:paraId="456DC06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要求</w:t>
                  </w:r>
                </w:p>
              </w:tc>
            </w:tr>
            <w:tr w14:paraId="2FD1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5C51D0B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台账保存期限</w:t>
                  </w:r>
                </w:p>
              </w:tc>
              <w:tc>
                <w:tcPr>
                  <w:tcW w:w="6053" w:type="dxa"/>
                </w:tcPr>
                <w:p w14:paraId="5A50159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不少于5年</w:t>
                  </w:r>
                </w:p>
              </w:tc>
            </w:tr>
            <w:tr w14:paraId="37C3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3CE6C1F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每批次记录内容</w:t>
                  </w:r>
                </w:p>
              </w:tc>
              <w:tc>
                <w:tcPr>
                  <w:tcW w:w="6053" w:type="dxa"/>
                </w:tcPr>
                <w:p w14:paraId="3EBBF6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日期、来源单位、废物名称/代码、数量、运输车辆/车牌、检验结果、去向、经办人。</w:t>
                  </w:r>
                </w:p>
              </w:tc>
            </w:tr>
            <w:tr w14:paraId="1706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C1BE6A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定期报送</w:t>
                  </w:r>
                </w:p>
              </w:tc>
              <w:tc>
                <w:tcPr>
                  <w:tcW w:w="6053" w:type="dxa"/>
                </w:tcPr>
                <w:p w14:paraId="7C7CE56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每季度向韶关市生态环境局乐昌分局报送固废来源清单和去向汇总表。</w:t>
                  </w:r>
                </w:p>
              </w:tc>
            </w:tr>
            <w:tr w14:paraId="36B3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5" w:type="dxa"/>
                </w:tcPr>
                <w:p w14:paraId="67500D0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信息平台录入</w:t>
                  </w:r>
                </w:p>
              </w:tc>
              <w:tc>
                <w:tcPr>
                  <w:tcW w:w="6053" w:type="dxa"/>
                </w:tcPr>
                <w:p w14:paraId="462A1B2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s="Times New Roman"/>
                      <w:b w:val="0"/>
                      <w:bCs w:val="0"/>
                      <w:color w:val="auto"/>
                      <w:kern w:val="2"/>
                      <w:sz w:val="21"/>
                      <w:szCs w:val="21"/>
                      <w:highlight w:val="none"/>
                      <w:vertAlign w:val="baseline"/>
                      <w:lang w:val="en-US" w:eastAsia="zh-CN" w:bidi="ar-SA"/>
                    </w:rPr>
                  </w:pPr>
                  <w:r>
                    <w:rPr>
                      <w:rFonts w:hint="eastAsia" w:cs="Times New Roman"/>
                      <w:b w:val="0"/>
                      <w:bCs w:val="0"/>
                      <w:color w:val="auto"/>
                      <w:kern w:val="2"/>
                      <w:sz w:val="21"/>
                      <w:szCs w:val="21"/>
                      <w:highlight w:val="none"/>
                      <w:vertAlign w:val="baseline"/>
                      <w:lang w:val="en-US" w:eastAsia="zh-CN" w:bidi="ar-SA"/>
                    </w:rPr>
                    <w:t>所有转移活动通过广东省固体废物环境监管信息平台申报登记。</w:t>
                  </w:r>
                </w:p>
              </w:tc>
            </w:tr>
          </w:tbl>
          <w:p w14:paraId="4224F82E">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三、总平面布局合理性分析</w:t>
            </w:r>
          </w:p>
          <w:p w14:paraId="532AA74B">
            <w:pPr>
              <w:pStyle w:val="10"/>
              <w:numPr>
                <w:ilvl w:val="3"/>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1、用地合</w:t>
            </w:r>
            <w:r>
              <w:rPr>
                <w:rFonts w:hint="eastAsia" w:cs="Times New Roman"/>
                <w:color w:val="auto"/>
                <w:highlight w:val="none"/>
                <w:lang w:eastAsia="zh-CN"/>
              </w:rPr>
              <w:t>理性</w:t>
            </w:r>
            <w:r>
              <w:rPr>
                <w:rFonts w:hint="default" w:ascii="Times New Roman" w:hAnsi="Times New Roman" w:cs="Times New Roman"/>
                <w:color w:val="auto"/>
                <w:highlight w:val="none"/>
              </w:rPr>
              <w:t>、合法性分析</w:t>
            </w:r>
          </w:p>
          <w:p w14:paraId="626C5538">
            <w:pPr>
              <w:pStyle w:val="10"/>
              <w:numPr>
                <w:ilvl w:val="3"/>
                <w:numId w:val="0"/>
              </w:numPr>
              <w:ind w:firstLine="480" w:firstLineChars="200"/>
              <w:rPr>
                <w:rFonts w:hint="default" w:ascii="Times New Roman" w:hAnsi="Times New Roman" w:cs="Times New Roman"/>
                <w:b w:val="0"/>
                <w:color w:val="auto"/>
                <w:szCs w:val="24"/>
                <w:highlight w:val="none"/>
              </w:rPr>
            </w:pPr>
            <w:r>
              <w:rPr>
                <w:rFonts w:hint="default" w:ascii="Times New Roman" w:hAnsi="Times New Roman" w:cs="Times New Roman"/>
                <w:b w:val="0"/>
                <w:color w:val="auto"/>
                <w:szCs w:val="24"/>
                <w:highlight w:val="none"/>
              </w:rPr>
              <w:t>建设单位拟于</w:t>
            </w:r>
            <w:r>
              <w:rPr>
                <w:rFonts w:hint="default" w:ascii="Times New Roman" w:hAnsi="Times New Roman" w:cs="Times New Roman"/>
                <w:b w:val="0"/>
                <w:color w:val="auto"/>
                <w:szCs w:val="24"/>
                <w:highlight w:val="none"/>
                <w:lang w:eastAsia="zh-CN"/>
              </w:rPr>
              <w:t>广东省乐昌市乐廊路六公里乐昌市产业转移园鸿图工艺厂房A2</w:t>
            </w:r>
            <w:r>
              <w:rPr>
                <w:rFonts w:hint="default" w:ascii="Times New Roman" w:hAnsi="Times New Roman" w:cs="Times New Roman"/>
                <w:b w:val="0"/>
                <w:color w:val="auto"/>
                <w:szCs w:val="24"/>
                <w:highlight w:val="none"/>
              </w:rPr>
              <w:t>进行生产，根据中华人民共和国不动产权证书（详见附件</w:t>
            </w:r>
            <w:r>
              <w:rPr>
                <w:rFonts w:hint="default" w:ascii="Times New Roman" w:hAnsi="Times New Roman" w:cs="Times New Roman"/>
                <w:b w:val="0"/>
                <w:color w:val="auto"/>
                <w:szCs w:val="24"/>
                <w:highlight w:val="none"/>
                <w:lang w:val="en-US" w:eastAsia="zh-CN"/>
              </w:rPr>
              <w:t>3</w:t>
            </w:r>
            <w:r>
              <w:rPr>
                <w:rFonts w:hint="default" w:ascii="Times New Roman" w:hAnsi="Times New Roman" w:cs="Times New Roman"/>
                <w:b w:val="0"/>
                <w:color w:val="auto"/>
                <w:szCs w:val="24"/>
                <w:highlight w:val="none"/>
              </w:rPr>
              <w:t>）可知，项目用地用途为工业用地。</w:t>
            </w:r>
          </w:p>
          <w:p w14:paraId="201C6710">
            <w:pPr>
              <w:pStyle w:val="10"/>
              <w:numPr>
                <w:ilvl w:val="3"/>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2、四至分析</w:t>
            </w:r>
          </w:p>
          <w:p w14:paraId="3EF982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cs="Times New Roman"/>
                <w:color w:val="auto"/>
                <w:highlight w:val="none"/>
              </w:rPr>
            </w:pPr>
            <w:bookmarkStart w:id="17" w:name="_Toc15878"/>
            <w:bookmarkStart w:id="18" w:name="_Toc21623"/>
            <w:r>
              <w:rPr>
                <w:rFonts w:hint="default" w:ascii="Times New Roman" w:hAnsi="Times New Roman" w:cs="Times New Roman"/>
                <w:bCs/>
                <w:color w:val="auto"/>
                <w:highlight w:val="none"/>
              </w:rPr>
              <w:t>本项目</w:t>
            </w:r>
            <w:r>
              <w:rPr>
                <w:rFonts w:hint="default" w:ascii="Times New Roman" w:hAnsi="Times New Roman" w:cs="Times New Roman"/>
                <w:bCs/>
                <w:color w:val="auto"/>
                <w:highlight w:val="none"/>
                <w:lang w:val="en-US" w:eastAsia="zh-CN"/>
              </w:rPr>
              <w:t>南面</w:t>
            </w:r>
            <w:r>
              <w:rPr>
                <w:rFonts w:hint="eastAsia" w:cs="Times New Roman"/>
                <w:bCs/>
                <w:color w:val="auto"/>
                <w:highlight w:val="none"/>
                <w:lang w:eastAsia="zh-CN"/>
              </w:rPr>
              <w:t>、</w:t>
            </w:r>
            <w:r>
              <w:rPr>
                <w:rFonts w:hint="default" w:ascii="Times New Roman" w:hAnsi="Times New Roman" w:cs="Times New Roman"/>
                <w:bCs/>
                <w:color w:val="auto"/>
                <w:highlight w:val="none"/>
                <w:lang w:val="en-US" w:eastAsia="zh-CN"/>
              </w:rPr>
              <w:t>北面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西面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东面</w:t>
            </w:r>
            <w:r>
              <w:rPr>
                <w:rFonts w:hint="eastAsia" w:cs="Times New Roman"/>
                <w:bCs/>
                <w:color w:val="auto"/>
                <w:highlight w:val="none"/>
                <w:lang w:val="en-US" w:eastAsia="zh-CN"/>
              </w:rPr>
              <w:t>均为空厂房</w:t>
            </w:r>
            <w:r>
              <w:rPr>
                <w:rFonts w:hint="default" w:ascii="Times New Roman" w:hAnsi="Times New Roman" w:cs="Times New Roman"/>
                <w:color w:val="auto"/>
                <w:highlight w:val="none"/>
              </w:rPr>
              <w:t>。</w:t>
            </w:r>
            <w:bookmarkEnd w:id="17"/>
            <w:bookmarkEnd w:id="18"/>
          </w:p>
          <w:p w14:paraId="5FDA32FD">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3、总平面布局</w:t>
            </w:r>
          </w:p>
          <w:p w14:paraId="63220595">
            <w:pPr>
              <w:keepNext w:val="0"/>
              <w:keepLines w:val="0"/>
              <w:pageBreakBefore w:val="0"/>
              <w:widowControl w:val="0"/>
              <w:kinsoku/>
              <w:wordWrap/>
              <w:overflowPunct/>
              <w:topLinePunct w:val="0"/>
              <w:autoSpaceDE/>
              <w:autoSpaceDN/>
              <w:bidi w:val="0"/>
              <w:adjustRightInd w:val="0"/>
              <w:snapToGrid/>
              <w:ind w:firstLine="480" w:firstLineChars="200"/>
              <w:textAlignment w:val="auto"/>
              <w:outlineLvl w:val="9"/>
              <w:rPr>
                <w:rFonts w:hint="eastAsia" w:ascii="Times New Roman" w:hAnsi="Times New Roman" w:eastAsia="宋体" w:cs="Times New Roman"/>
                <w:color w:val="auto"/>
                <w:highlight w:val="none"/>
                <w:lang w:val="en-US" w:eastAsia="zh-CN"/>
              </w:rPr>
            </w:pPr>
            <w:r>
              <w:rPr>
                <w:rFonts w:hint="eastAsia" w:eastAsia="宋体" w:cs="Times New Roman"/>
                <w:color w:val="auto"/>
                <w:sz w:val="24"/>
                <w:highlight w:val="none"/>
                <w:lang w:val="en-US" w:eastAsia="zh-CN"/>
              </w:rPr>
              <w:t>本</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规划总用地面积</w:t>
            </w:r>
            <w:r>
              <w:rPr>
                <w:rFonts w:hint="eastAsia" w:ascii="Times New Roman" w:hAnsi="Times New Roman" w:eastAsia="宋体" w:cs="Times New Roman"/>
                <w:color w:val="auto"/>
                <w:sz w:val="24"/>
                <w:highlight w:val="none"/>
                <w:lang w:val="en-US" w:eastAsia="zh-CN"/>
              </w:rPr>
              <w:t>为</w:t>
            </w:r>
            <w:r>
              <w:rPr>
                <w:rFonts w:hint="eastAsia" w:eastAsia="宋体" w:cs="Times New Roman"/>
                <w:color w:val="auto"/>
                <w:sz w:val="24"/>
                <w:highlight w:val="none"/>
                <w:lang w:val="en-US" w:eastAsia="zh-CN"/>
              </w:rPr>
              <w:t>3</w:t>
            </w:r>
            <w:r>
              <w:rPr>
                <w:rFonts w:hint="eastAsia" w:cs="Times New Roman"/>
                <w:color w:val="auto"/>
                <w:sz w:val="24"/>
                <w:highlight w:val="none"/>
                <w:lang w:val="en-US" w:eastAsia="zh-CN"/>
              </w:rPr>
              <w:t>4</w:t>
            </w:r>
            <w:r>
              <w:rPr>
                <w:rFonts w:hint="eastAsia"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总</w:t>
            </w:r>
            <w:r>
              <w:rPr>
                <w:rFonts w:hint="default" w:ascii="Times New Roman" w:hAnsi="Times New Roman" w:eastAsia="宋体" w:cs="Times New Roman"/>
                <w:color w:val="auto"/>
                <w:sz w:val="24"/>
                <w:highlight w:val="none"/>
              </w:rPr>
              <w:t>建筑面积</w:t>
            </w:r>
            <w:r>
              <w:rPr>
                <w:rFonts w:hint="eastAsia" w:ascii="Times New Roman" w:hAnsi="Times New Roman" w:eastAsia="宋体" w:cs="Times New Roman"/>
                <w:color w:val="auto"/>
                <w:sz w:val="24"/>
                <w:highlight w:val="none"/>
                <w:lang w:val="en-US" w:eastAsia="zh-CN"/>
              </w:rPr>
              <w:t>为</w:t>
            </w:r>
            <w:r>
              <w:rPr>
                <w:rFonts w:hint="eastAsia" w:eastAsia="宋体" w:cs="Times New Roman"/>
                <w:color w:val="auto"/>
                <w:sz w:val="24"/>
                <w:highlight w:val="none"/>
                <w:lang w:val="en-US" w:eastAsia="zh-CN"/>
              </w:rPr>
              <w:t>3</w:t>
            </w:r>
            <w:r>
              <w:rPr>
                <w:rFonts w:hint="eastAsia" w:cs="Times New Roman"/>
                <w:color w:val="auto"/>
                <w:sz w:val="24"/>
                <w:highlight w:val="none"/>
                <w:lang w:val="en-US" w:eastAsia="zh-CN"/>
              </w:rPr>
              <w:t>4</w:t>
            </w:r>
            <w:r>
              <w:rPr>
                <w:rFonts w:hint="eastAsia"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拟租赁已建成</w:t>
            </w:r>
            <w:r>
              <w:rPr>
                <w:rFonts w:hint="default" w:ascii="Times New Roman" w:hAnsi="Times New Roman" w:eastAsia="宋体" w:cs="Times New Roman"/>
                <w:color w:val="auto"/>
                <w:sz w:val="24"/>
                <w:highlight w:val="none"/>
              </w:rPr>
              <w:t>厂房。</w:t>
            </w:r>
            <w:r>
              <w:rPr>
                <w:rFonts w:hint="default" w:ascii="Times New Roman" w:hAnsi="Times New Roman" w:eastAsia="宋体" w:cs="Times New Roman"/>
                <w:color w:val="auto"/>
                <w:spacing w:val="-1"/>
                <w:sz w:val="24"/>
                <w:szCs w:val="24"/>
                <w:highlight w:val="none"/>
              </w:rPr>
              <w:t>各</w:t>
            </w:r>
            <w:r>
              <w:rPr>
                <w:rFonts w:hint="eastAsia" w:ascii="Times New Roman" w:hAnsi="Times New Roman" w:eastAsia="宋体" w:cs="Times New Roman"/>
                <w:color w:val="auto"/>
                <w:spacing w:val="-1"/>
                <w:sz w:val="24"/>
                <w:szCs w:val="24"/>
                <w:highlight w:val="none"/>
                <w:lang w:val="en-US" w:eastAsia="zh-CN"/>
              </w:rPr>
              <w:t>层</w:t>
            </w:r>
            <w:r>
              <w:rPr>
                <w:rFonts w:hint="default" w:ascii="Times New Roman" w:hAnsi="Times New Roman"/>
                <w:color w:val="auto"/>
                <w:sz w:val="24"/>
                <w:szCs w:val="24"/>
                <w:highlight w:val="none"/>
              </w:rPr>
              <w:t>布局功能分区</w:t>
            </w:r>
            <w:r>
              <w:rPr>
                <w:rFonts w:hint="default" w:ascii="Times New Roman" w:hAnsi="Times New Roman" w:eastAsia="宋体" w:cs="Times New Roman"/>
                <w:color w:val="auto"/>
                <w:sz w:val="24"/>
                <w:szCs w:val="24"/>
                <w:highlight w:val="none"/>
              </w:rPr>
              <w:t>划分明确</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pacing w:val="-1"/>
                <w:sz w:val="24"/>
                <w:szCs w:val="24"/>
                <w:highlight w:val="none"/>
              </w:rPr>
              <w:t>紧凑</w:t>
            </w:r>
            <w:r>
              <w:rPr>
                <w:rFonts w:hint="default" w:ascii="Times New Roman" w:hAnsi="Times New Roman" w:eastAsia="宋体" w:cs="Times New Roman"/>
                <w:color w:val="auto"/>
                <w:sz w:val="24"/>
                <w:szCs w:val="24"/>
                <w:highlight w:val="none"/>
              </w:rPr>
              <w:t>，人流、物流线路清晰，平面布置合理可行</w:t>
            </w:r>
            <w:r>
              <w:rPr>
                <w:rFonts w:hint="default" w:ascii="Times New Roman" w:hAnsi="Times New Roman" w:eastAsia="宋体" w:cs="Times New Roman"/>
                <w:color w:val="auto"/>
                <w:kern w:val="2"/>
                <w:sz w:val="24"/>
                <w:szCs w:val="24"/>
                <w:highlight w:val="none"/>
                <w:lang w:val="en-US" w:eastAsia="zh-CN" w:bidi="ar-SA"/>
              </w:rPr>
              <w:t>，具体</w:t>
            </w:r>
            <w:r>
              <w:rPr>
                <w:rFonts w:hint="eastAsia" w:ascii="Times New Roman" w:hAnsi="Times New Roman" w:eastAsia="宋体" w:cs="Times New Roman"/>
                <w:color w:val="auto"/>
                <w:kern w:val="2"/>
                <w:sz w:val="24"/>
                <w:szCs w:val="24"/>
                <w:highlight w:val="none"/>
                <w:lang w:val="en-US" w:eastAsia="zh-CN" w:bidi="ar-SA"/>
              </w:rPr>
              <w:t>总平面</w:t>
            </w:r>
            <w:r>
              <w:rPr>
                <w:rFonts w:hint="default" w:ascii="Times New Roman" w:hAnsi="Times New Roman" w:eastAsia="宋体" w:cs="Times New Roman"/>
                <w:color w:val="auto"/>
                <w:kern w:val="2"/>
                <w:sz w:val="24"/>
                <w:szCs w:val="24"/>
                <w:highlight w:val="none"/>
                <w:lang w:val="en-US" w:eastAsia="zh-CN" w:bidi="ar-SA"/>
              </w:rPr>
              <w:t>布置</w:t>
            </w:r>
            <w:r>
              <w:rPr>
                <w:rFonts w:hint="eastAsia" w:ascii="Times New Roman" w:hAnsi="Times New Roman" w:eastAsia="宋体" w:cs="Times New Roman"/>
                <w:color w:val="auto"/>
                <w:kern w:val="2"/>
                <w:sz w:val="24"/>
                <w:szCs w:val="24"/>
                <w:highlight w:val="none"/>
                <w:lang w:val="en-US" w:eastAsia="zh-CN" w:bidi="ar-SA"/>
              </w:rPr>
              <w:t>及生产</w:t>
            </w:r>
            <w:r>
              <w:rPr>
                <w:rFonts w:hint="eastAsia" w:ascii="Times New Roman" w:hAnsi="Times New Roman" w:eastAsia="宋体"/>
                <w:color w:val="auto"/>
                <w:sz w:val="24"/>
                <w:szCs w:val="24"/>
                <w:highlight w:val="none"/>
                <w:lang w:val="en-US" w:eastAsia="zh-CN"/>
              </w:rPr>
              <w:t>厂房</w:t>
            </w:r>
            <w:r>
              <w:rPr>
                <w:rFonts w:hint="eastAsia" w:ascii="Times New Roman" w:hAnsi="Times New Roman"/>
                <w:color w:val="auto"/>
                <w:sz w:val="24"/>
                <w:szCs w:val="24"/>
                <w:highlight w:val="none"/>
                <w:lang w:val="en-US" w:eastAsia="zh-CN"/>
              </w:rPr>
              <w:t>布局</w:t>
            </w:r>
            <w:r>
              <w:rPr>
                <w:rFonts w:hint="default" w:ascii="Times New Roman" w:hAnsi="Times New Roman" w:eastAsia="宋体" w:cs="Times New Roman"/>
                <w:color w:val="auto"/>
                <w:kern w:val="2"/>
                <w:sz w:val="24"/>
                <w:szCs w:val="24"/>
                <w:highlight w:val="none"/>
                <w:lang w:val="en-US" w:eastAsia="zh-CN" w:bidi="ar-SA"/>
              </w:rPr>
              <w:t>详见</w:t>
            </w:r>
            <w:r>
              <w:rPr>
                <w:rFonts w:hint="default" w:ascii="Times New Roman" w:hAnsi="Times New Roman" w:eastAsia="宋体" w:cs="Times New Roman"/>
                <w:color w:val="auto"/>
                <w:sz w:val="24"/>
                <w:szCs w:val="24"/>
                <w:highlight w:val="none"/>
              </w:rPr>
              <w:t>附图</w:t>
            </w:r>
            <w:r>
              <w:rPr>
                <w:rFonts w:hint="eastAsia" w:ascii="Times New Roman" w:hAnsi="Times New Roman" w:eastAsia="宋体" w:cs="Times New Roman"/>
                <w:color w:val="auto"/>
                <w:sz w:val="24"/>
                <w:szCs w:val="24"/>
                <w:highlight w:val="none"/>
                <w:lang w:val="en-US" w:eastAsia="zh-CN"/>
              </w:rPr>
              <w:t>3</w:t>
            </w:r>
            <w:r>
              <w:rPr>
                <w:rFonts w:hint="eastAsia"/>
                <w:color w:val="auto"/>
                <w:lang w:eastAsia="zh-CN"/>
              </w:rPr>
              <w:t>。</w:t>
            </w:r>
          </w:p>
        </w:tc>
      </w:tr>
      <w:tr w14:paraId="1E9F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66" w:type="pct"/>
            <w:vAlign w:val="center"/>
          </w:tcPr>
          <w:p w14:paraId="15310000">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19" w:name="_Toc22477"/>
            <w:bookmarkStart w:id="20" w:name="_Toc29759"/>
            <w:bookmarkStart w:id="21" w:name="_Toc7091"/>
            <w:bookmarkStart w:id="22" w:name="_Toc25729"/>
            <w:bookmarkStart w:id="23" w:name="_Toc14179"/>
            <w:r>
              <w:rPr>
                <w:rFonts w:hint="default" w:ascii="Times New Roman" w:hAnsi="Times New Roman" w:cs="Times New Roman"/>
                <w:color w:val="auto"/>
                <w:highlight w:val="none"/>
              </w:rPr>
              <w:t>工艺流程和产排污环节</w:t>
            </w:r>
            <w:bookmarkEnd w:id="19"/>
            <w:bookmarkEnd w:id="20"/>
            <w:bookmarkEnd w:id="21"/>
            <w:bookmarkEnd w:id="22"/>
            <w:bookmarkEnd w:id="23"/>
          </w:p>
        </w:tc>
        <w:tc>
          <w:tcPr>
            <w:tcW w:w="4733" w:type="pct"/>
          </w:tcPr>
          <w:p w14:paraId="39272304">
            <w:pPr>
              <w:keepNext w:val="0"/>
              <w:keepLines w:val="0"/>
              <w:pageBreakBefore w:val="0"/>
              <w:widowControl w:val="0"/>
              <w:numPr>
                <w:ilvl w:val="0"/>
                <w:numId w:val="12"/>
              </w:numPr>
              <w:kinsoku/>
              <w:wordWrap/>
              <w:overflowPunct/>
              <w:topLinePunct w:val="0"/>
              <w:autoSpaceDE/>
              <w:autoSpaceDN/>
              <w:bidi w:val="0"/>
              <w:adjustRightInd w:val="0"/>
              <w:snapToGrid w:val="0"/>
              <w:spacing w:before="157" w:beforeLines="50" w:line="360" w:lineRule="auto"/>
              <w:ind w:firstLine="480" w:firstLineChars="200"/>
              <w:textAlignment w:val="auto"/>
              <w:rPr>
                <w:rFonts w:hint="default" w:ascii="Times New Roman" w:hAnsi="Times New Roman" w:cs="Times New Roman"/>
                <w:b/>
                <w:bCs w:val="0"/>
                <w:color w:val="auto"/>
                <w:sz w:val="24"/>
                <w:szCs w:val="24"/>
                <w:highlight w:val="none"/>
                <w:lang w:eastAsia="zh-CN"/>
              </w:rPr>
            </w:pPr>
            <w:r>
              <w:rPr>
                <w:rFonts w:hint="default" w:ascii="Times New Roman" w:hAnsi="Times New Roman" w:cs="Times New Roman"/>
                <w:b/>
                <w:bCs w:val="0"/>
                <w:color w:val="auto"/>
                <w:sz w:val="24"/>
                <w:szCs w:val="24"/>
                <w:highlight w:val="none"/>
                <w:lang w:val="en-US" w:eastAsia="zh-CN"/>
              </w:rPr>
              <w:t>项目</w:t>
            </w:r>
            <w:r>
              <w:rPr>
                <w:rFonts w:hint="default" w:ascii="Times New Roman" w:hAnsi="Times New Roman" w:eastAsia="宋体" w:cs="Times New Roman"/>
                <w:b/>
                <w:bCs w:val="0"/>
                <w:color w:val="auto"/>
                <w:sz w:val="24"/>
                <w:szCs w:val="24"/>
                <w:highlight w:val="none"/>
                <w:lang w:eastAsia="zh-CN"/>
              </w:rPr>
              <w:t>运营期工艺</w:t>
            </w:r>
            <w:r>
              <w:rPr>
                <w:rFonts w:hint="default" w:ascii="Times New Roman" w:hAnsi="Times New Roman" w:cs="Times New Roman"/>
                <w:b/>
                <w:bCs w:val="0"/>
                <w:color w:val="auto"/>
                <w:sz w:val="24"/>
                <w:szCs w:val="24"/>
                <w:highlight w:val="none"/>
                <w:lang w:eastAsia="zh-CN"/>
              </w:rPr>
              <w:t>流程</w:t>
            </w:r>
            <w:r>
              <w:rPr>
                <w:rFonts w:hint="default" w:ascii="Times New Roman" w:hAnsi="Times New Roman" w:eastAsia="宋体" w:cs="Times New Roman"/>
                <w:b/>
                <w:bCs w:val="0"/>
                <w:color w:val="auto"/>
                <w:sz w:val="24"/>
                <w:szCs w:val="24"/>
                <w:highlight w:val="none"/>
                <w:lang w:eastAsia="zh-CN"/>
              </w:rPr>
              <w:t>及产污</w:t>
            </w:r>
            <w:r>
              <w:rPr>
                <w:rFonts w:hint="default" w:ascii="Times New Roman" w:hAnsi="Times New Roman" w:cs="Times New Roman"/>
                <w:b/>
                <w:bCs w:val="0"/>
                <w:color w:val="auto"/>
                <w:sz w:val="24"/>
                <w:szCs w:val="24"/>
                <w:highlight w:val="none"/>
                <w:lang w:eastAsia="zh-CN"/>
              </w:rPr>
              <w:t>环节</w:t>
            </w:r>
          </w:p>
          <w:p w14:paraId="19227ECF">
            <w:pPr>
              <w:pageBreakBefore w:val="0"/>
              <w:numPr>
                <w:ilvl w:val="0"/>
                <w:numId w:val="0"/>
              </w:numPr>
              <w:tabs>
                <w:tab w:val="left" w:pos="420"/>
              </w:tabs>
              <w:kinsoku/>
              <w:overflowPunct/>
              <w:topLinePunct w:val="0"/>
              <w:bidi w:val="0"/>
              <w:snapToGrid/>
              <w:ind w:left="480" w:leftChars="200"/>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主要</w:t>
            </w:r>
            <w:r>
              <w:rPr>
                <w:rFonts w:hint="default" w:ascii="Times New Roman" w:hAnsi="Times New Roman" w:cs="Times New Roman"/>
                <w:b/>
                <w:bCs/>
                <w:color w:val="auto"/>
                <w:highlight w:val="none"/>
              </w:rPr>
              <w:t>工艺</w:t>
            </w:r>
            <w:r>
              <w:rPr>
                <w:rFonts w:hint="default" w:ascii="Times New Roman" w:hAnsi="Times New Roman" w:cs="Times New Roman"/>
                <w:b/>
                <w:bCs/>
                <w:color w:val="auto"/>
                <w:highlight w:val="none"/>
                <w:lang w:eastAsia="zh-CN"/>
              </w:rPr>
              <w:t>流程简述</w:t>
            </w:r>
            <w:r>
              <w:rPr>
                <w:rFonts w:hint="default" w:ascii="Times New Roman" w:hAnsi="Times New Roman" w:cs="Times New Roman"/>
                <w:b/>
                <w:bCs/>
                <w:color w:val="auto"/>
                <w:highlight w:val="none"/>
              </w:rPr>
              <w:t>：</w:t>
            </w:r>
          </w:p>
          <w:p w14:paraId="1F0F7E0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bCs w:val="0"/>
                <w:color w:val="auto"/>
                <w:sz w:val="24"/>
                <w:szCs w:val="24"/>
                <w:highlight w:val="none"/>
                <w:lang w:val="en-US" w:eastAsia="zh-CN"/>
              </w:rPr>
              <w:t>1）卸料：按照分类、分区的原则，将收集的一般固体废物进行卸料</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在卸料过程中会产生颗粒物、臭气浓度、噪声。</w:t>
            </w:r>
          </w:p>
          <w:p w14:paraId="03E80E4B">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分拣</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将一般固体废物由堆放点转移到分拣区域，按照可再生利用类和不可再生利用类的原则进行人工分拣</w:t>
            </w:r>
            <w:r>
              <w:rPr>
                <w:rFonts w:hint="default"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此过程会产生少量颗粒物、臭气浓度、噪声。</w:t>
            </w:r>
          </w:p>
          <w:p w14:paraId="0B824119">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color w:val="auto"/>
                <w:kern w:val="2"/>
                <w:sz w:val="24"/>
                <w:szCs w:val="24"/>
                <w:highlight w:val="none"/>
                <w:lang w:val="en-US" w:eastAsia="zh-CN" w:bidi="ar-SA"/>
              </w:rPr>
            </w:pPr>
            <w:r>
              <w:rPr>
                <w:rFonts w:hint="eastAsia" w:cs="Times New Roman"/>
                <w:b w:val="0"/>
                <w:bCs w:val="0"/>
                <w:color w:val="auto"/>
                <w:sz w:val="24"/>
                <w:szCs w:val="24"/>
                <w:highlight w:val="none"/>
                <w:lang w:val="en-US" w:eastAsia="zh-CN"/>
              </w:rPr>
              <w:t>压实打包：将分拣后的一般固废分别压实并用编织袋打包</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压实过程中产生颗粒物、臭气浓度、噪声。</w:t>
            </w:r>
          </w:p>
          <w:p w14:paraId="72754A96">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eastAsia"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入库堆放：将打包完毕的各类一般固体废物运至贮存区，定期将可再生利用类委外综合利用，不可再生利用类委外处理。入库堆放时会产生颗粒物、臭气浓度、噪声。</w:t>
            </w:r>
          </w:p>
          <w:p w14:paraId="4B154F8A">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cs="Times New Roman"/>
                <w:b w:val="0"/>
                <w:color w:val="auto"/>
                <w:kern w:val="2"/>
                <w:sz w:val="24"/>
                <w:szCs w:val="24"/>
                <w:highlight w:val="none"/>
                <w:lang w:val="en-US" w:eastAsia="zh-CN" w:bidi="ar-SA"/>
              </w:rPr>
            </w:pPr>
            <w:r>
              <w:rPr>
                <w:rFonts w:hint="eastAsia" w:cs="Times New Roman"/>
                <w:b w:val="0"/>
                <w:color w:val="auto"/>
                <w:kern w:val="2"/>
                <w:sz w:val="24"/>
                <w:szCs w:val="24"/>
                <w:highlight w:val="none"/>
                <w:lang w:val="en-US" w:eastAsia="zh-CN" w:bidi="ar-SA"/>
              </w:rPr>
              <w:t>说明：本项目所有生产、分拣、贮存环节均在封闭厂房内进行，厂区无露天堆场，地面全部硬化。</w:t>
            </w:r>
          </w:p>
          <w:p w14:paraId="1FFCAC71">
            <w:pPr>
              <w:pStyle w:val="17"/>
              <w:pageBreakBefore w:val="0"/>
              <w:kinsoku/>
              <w:overflowPunct/>
              <w:topLinePunct w:val="0"/>
              <w:bidi w:val="0"/>
              <w:snapToGrid/>
              <w:ind w:firstLine="420" w:firstLineChars="200"/>
              <w:jc w:val="both"/>
              <w:outlineLvl w:val="9"/>
              <w:rPr>
                <w:rFonts w:hint="default" w:ascii="Times New Roman" w:hAnsi="Times New Roman" w:cs="Times New Roman"/>
                <w:color w:val="auto"/>
                <w:sz w:val="24"/>
                <w:szCs w:val="24"/>
                <w:highlight w:val="none"/>
              </w:rPr>
            </w:pPr>
            <w:r>
              <w:rPr>
                <w:color w:val="auto"/>
              </w:rPr>
              <w:drawing>
                <wp:inline distT="0" distB="0" distL="114300" distR="114300">
                  <wp:extent cx="4189730" cy="3019425"/>
                  <wp:effectExtent l="0" t="0" r="0" b="9525"/>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12"/>
                          <a:stretch>
                            <a:fillRect/>
                          </a:stretch>
                        </pic:blipFill>
                        <pic:spPr>
                          <a:xfrm>
                            <a:off x="0" y="0"/>
                            <a:ext cx="4189730" cy="3019425"/>
                          </a:xfrm>
                          <a:prstGeom prst="rect">
                            <a:avLst/>
                          </a:prstGeom>
                          <a:noFill/>
                          <a:ln>
                            <a:noFill/>
                          </a:ln>
                        </pic:spPr>
                      </pic:pic>
                    </a:graphicData>
                  </a:graphic>
                </wp:inline>
              </w:drawing>
            </w:r>
          </w:p>
          <w:p w14:paraId="086BC65D">
            <w:pPr>
              <w:pageBreakBefore w:val="0"/>
              <w:numPr>
                <w:ilvl w:val="-1"/>
                <w:numId w:val="0"/>
              </w:numPr>
              <w:kinsoku/>
              <w:overflowPunct/>
              <w:topLinePunct w:val="0"/>
              <w:bidi w:val="0"/>
              <w:adjustRightInd w:val="0"/>
              <w:snapToGrid w:val="0"/>
              <w:spacing w:before="157" w:beforeLines="50"/>
              <w:jc w:val="center"/>
              <w:outlineLvl w:val="9"/>
              <w:rPr>
                <w:rFonts w:hint="default"/>
                <w:b/>
                <w:bCs/>
                <w:color w:val="auto"/>
                <w:lang w:val="en-US" w:eastAsia="zh-CN"/>
              </w:rPr>
            </w:pPr>
            <w:r>
              <w:rPr>
                <w:color w:val="auto"/>
              </w:rPr>
              <w:drawing>
                <wp:inline distT="0" distB="0" distL="0" distR="0">
                  <wp:extent cx="635" cy="0"/>
                  <wp:effectExtent l="0" t="0" r="0" b="0"/>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13" cstate="print"/>
                          <a:srcRect/>
                          <a:stretch>
                            <a:fillRect/>
                          </a:stretch>
                        </pic:blipFill>
                        <pic:spPr>
                          <a:xfrm>
                            <a:off x="0" y="0"/>
                            <a:ext cx="635" cy="0"/>
                          </a:xfrm>
                          <a:prstGeom prst="rect">
                            <a:avLst/>
                          </a:prstGeom>
                          <a:ln>
                            <a:noFill/>
                          </a:ln>
                        </pic:spPr>
                      </pic:pic>
                    </a:graphicData>
                  </a:graphic>
                </wp:inline>
              </w:drawing>
            </w:r>
            <w:r>
              <w:rPr>
                <w:color w:val="auto"/>
              </w:rPr>
              <w:drawing>
                <wp:inline distT="0" distB="0" distL="0" distR="0">
                  <wp:extent cx="635" cy="0"/>
                  <wp:effectExtent l="0" t="0" r="0" b="0"/>
                  <wp:docPr id="1028" name="图片 2"/>
                  <wp:cNvGraphicFramePr/>
                  <a:graphic xmlns:a="http://schemas.openxmlformats.org/drawingml/2006/main">
                    <a:graphicData uri="http://schemas.openxmlformats.org/drawingml/2006/picture">
                      <pic:pic xmlns:pic="http://schemas.openxmlformats.org/drawingml/2006/picture">
                        <pic:nvPicPr>
                          <pic:cNvPr id="1028" name="图片 2"/>
                          <pic:cNvPicPr/>
                        </pic:nvPicPr>
                        <pic:blipFill>
                          <a:blip r:embed="rId13" cstate="print"/>
                          <a:srcRect/>
                          <a:stretch>
                            <a:fillRect/>
                          </a:stretch>
                        </pic:blipFill>
                        <pic:spPr>
                          <a:xfrm>
                            <a:off x="0" y="0"/>
                            <a:ext cx="635" cy="0"/>
                          </a:xfrm>
                          <a:prstGeom prst="rect">
                            <a:avLst/>
                          </a:prstGeom>
                          <a:ln>
                            <a:noFill/>
                          </a:ln>
                        </pic:spPr>
                      </pic:pic>
                    </a:graphicData>
                  </a:graphic>
                </wp:inline>
              </w:drawing>
            </w:r>
            <w:r>
              <w:rPr>
                <w:rFonts w:hint="default" w:ascii="Times New Roman" w:hAnsi="Times New Roman" w:cs="Times New Roman"/>
                <w:b/>
                <w:bCs/>
                <w:color w:val="auto"/>
                <w:highlight w:val="none"/>
              </w:rPr>
              <w:t>图</w:t>
            </w:r>
            <w:r>
              <w:rPr>
                <w:rFonts w:hint="default" w:ascii="Times New Roman" w:hAnsi="Times New Roman" w:cs="Times New Roman"/>
                <w:b/>
                <w:bCs/>
                <w:color w:val="auto"/>
                <w:highlight w:val="none"/>
              </w:rPr>
              <w:fldChar w:fldCharType="begin"/>
            </w:r>
            <w:r>
              <w:rPr>
                <w:rFonts w:hint="default" w:ascii="Times New Roman" w:hAnsi="Times New Roman" w:cs="Times New Roman"/>
                <w:b/>
                <w:bCs/>
                <w:color w:val="auto"/>
                <w:highlight w:val="none"/>
              </w:rPr>
              <w:instrText xml:space="preserve"> STYLEREF 1 \s </w:instrText>
            </w:r>
            <w:r>
              <w:rPr>
                <w:rFonts w:hint="default" w:ascii="Times New Roman" w:hAnsi="Times New Roman" w:cs="Times New Roman"/>
                <w:b/>
                <w:bCs/>
                <w:color w:val="auto"/>
                <w:highlight w:val="none"/>
              </w:rPr>
              <w:fldChar w:fldCharType="separate"/>
            </w:r>
            <w:r>
              <w:rPr>
                <w:rFonts w:hint="default" w:ascii="Times New Roman" w:hAnsi="Times New Roman" w:cs="Times New Roman"/>
                <w:b/>
                <w:bCs/>
                <w:color w:val="auto"/>
                <w:highlight w:val="none"/>
              </w:rPr>
              <w:t>2</w:t>
            </w:r>
            <w:r>
              <w:rPr>
                <w:rFonts w:hint="default" w:ascii="Times New Roman" w:hAnsi="Times New Roman" w:cs="Times New Roman"/>
                <w:b/>
                <w:bCs/>
                <w:color w:val="auto"/>
                <w:highlight w:val="none"/>
              </w:rPr>
              <w:fldChar w:fldCharType="end"/>
            </w:r>
            <w:r>
              <w:rPr>
                <w:rFonts w:hint="default" w:ascii="Times New Roman" w:hAnsi="Times New Roman" w:cs="Times New Roman"/>
                <w:b/>
                <w:bCs/>
                <w:color w:val="auto"/>
                <w:highlight w:val="none"/>
              </w:rPr>
              <w:t>-</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项目</w:t>
            </w:r>
            <w:r>
              <w:rPr>
                <w:rFonts w:hint="default" w:ascii="Times New Roman" w:hAnsi="Times New Roman" w:cs="Times New Roman"/>
                <w:b/>
                <w:bCs/>
                <w:color w:val="auto"/>
                <w:highlight w:val="none"/>
              </w:rPr>
              <w:t>生产工艺流程图</w:t>
            </w:r>
          </w:p>
          <w:p w14:paraId="5C120028">
            <w:pPr>
              <w:pStyle w:val="17"/>
              <w:pageBreakBefore w:val="0"/>
              <w:kinsoku/>
              <w:overflowPunct/>
              <w:topLinePunct w:val="0"/>
              <w:bidi w:val="0"/>
              <w:snapToGrid/>
              <w:ind w:firstLine="480" w:firstLineChars="200"/>
              <w:jc w:val="both"/>
              <w:outlineLvl w:val="9"/>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二、产污环节分析</w:t>
            </w:r>
          </w:p>
          <w:p w14:paraId="25C115A2">
            <w:pPr>
              <w:pStyle w:val="17"/>
              <w:pageBreakBefore w:val="0"/>
              <w:kinsoku/>
              <w:overflowPunct/>
              <w:topLinePunct w:val="0"/>
              <w:bidi w:val="0"/>
              <w:snapToGrid/>
              <w:spacing w:line="240" w:lineRule="auto"/>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w:t>
            </w:r>
            <w:r>
              <w:rPr>
                <w:rStyle w:val="62"/>
                <w:rFonts w:hint="default" w:ascii="Times New Roman" w:hAnsi="Times New Roman" w:cs="Times New Roman"/>
                <w:b/>
                <w:bCs/>
                <w:color w:val="auto"/>
                <w:highlight w:val="none"/>
                <w:lang w:val="zh-CN"/>
              </w:rPr>
              <w:t>主要污染节点分析一览表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680"/>
              <w:gridCol w:w="2292"/>
              <w:gridCol w:w="3138"/>
            </w:tblGrid>
            <w:tr w14:paraId="243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Align w:val="center"/>
                </w:tcPr>
                <w:p w14:paraId="0EE90030">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类别</w:t>
                  </w:r>
                </w:p>
              </w:tc>
              <w:tc>
                <w:tcPr>
                  <w:tcW w:w="1071" w:type="pct"/>
                  <w:vAlign w:val="center"/>
                </w:tcPr>
                <w:p w14:paraId="0F006447">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污染工序</w:t>
                  </w:r>
                </w:p>
              </w:tc>
              <w:tc>
                <w:tcPr>
                  <w:tcW w:w="1461" w:type="pct"/>
                  <w:vAlign w:val="center"/>
                </w:tcPr>
                <w:p w14:paraId="237EDEA0">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w:t>
                  </w:r>
                </w:p>
              </w:tc>
              <w:tc>
                <w:tcPr>
                  <w:tcW w:w="2000" w:type="pct"/>
                  <w:vAlign w:val="center"/>
                </w:tcPr>
                <w:p w14:paraId="7AE8F739">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治理措施</w:t>
                  </w:r>
                </w:p>
              </w:tc>
            </w:tr>
            <w:tr w14:paraId="5560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7" w:type="pct"/>
                  <w:vMerge w:val="restart"/>
                  <w:vAlign w:val="center"/>
                </w:tcPr>
                <w:p w14:paraId="16653D61">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废气</w:t>
                  </w:r>
                </w:p>
              </w:tc>
              <w:tc>
                <w:tcPr>
                  <w:tcW w:w="1071" w:type="pct"/>
                  <w:vAlign w:val="center"/>
                </w:tcPr>
                <w:p w14:paraId="19F4471A">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卸料</w:t>
                  </w:r>
                </w:p>
              </w:tc>
              <w:tc>
                <w:tcPr>
                  <w:tcW w:w="1461" w:type="pct"/>
                  <w:vAlign w:val="center"/>
                </w:tcPr>
                <w:p w14:paraId="1309BD20">
                  <w:pPr>
                    <w:pStyle w:val="124"/>
                    <w:bidi w:val="0"/>
                    <w:ind w:firstLine="0" w:firstLineChars="0"/>
                    <w:rPr>
                      <w:rFonts w:hint="eastAsia" w:cs="Times New Roman"/>
                      <w:color w:val="auto"/>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0B359CF1">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5277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67" w:type="pct"/>
                  <w:vMerge w:val="continue"/>
                  <w:vAlign w:val="center"/>
                </w:tcPr>
                <w:p w14:paraId="6535703B">
                  <w:pPr>
                    <w:pStyle w:val="124"/>
                    <w:bidi w:val="0"/>
                    <w:rPr>
                      <w:rFonts w:hint="default" w:ascii="Times New Roman" w:hAnsi="Times New Roman" w:eastAsia="宋体" w:cs="Times New Roman"/>
                      <w:color w:val="auto"/>
                      <w:highlight w:val="none"/>
                      <w:lang w:val="en-US" w:eastAsia="zh-CN"/>
                    </w:rPr>
                  </w:pPr>
                </w:p>
              </w:tc>
              <w:tc>
                <w:tcPr>
                  <w:tcW w:w="1071" w:type="pct"/>
                  <w:vAlign w:val="center"/>
                </w:tcPr>
                <w:p w14:paraId="022774D0">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分拣</w:t>
                  </w:r>
                </w:p>
              </w:tc>
              <w:tc>
                <w:tcPr>
                  <w:tcW w:w="1461" w:type="pct"/>
                  <w:vAlign w:val="center"/>
                </w:tcPr>
                <w:p w14:paraId="4F56B3E6">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307440D8">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5F2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67" w:type="pct"/>
                  <w:vMerge w:val="continue"/>
                  <w:vAlign w:val="center"/>
                </w:tcPr>
                <w:p w14:paraId="70D2EF82">
                  <w:pPr>
                    <w:pStyle w:val="124"/>
                    <w:bidi w:val="0"/>
                    <w:rPr>
                      <w:rFonts w:hint="default" w:ascii="Times New Roman" w:hAnsi="Times New Roman" w:cs="Times New Roman"/>
                      <w:color w:val="auto"/>
                      <w:highlight w:val="none"/>
                    </w:rPr>
                  </w:pPr>
                </w:p>
              </w:tc>
              <w:tc>
                <w:tcPr>
                  <w:tcW w:w="1071" w:type="pct"/>
                  <w:vAlign w:val="center"/>
                </w:tcPr>
                <w:p w14:paraId="4F7C8005">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压实</w:t>
                  </w:r>
                </w:p>
              </w:tc>
              <w:tc>
                <w:tcPr>
                  <w:tcW w:w="1461" w:type="pct"/>
                  <w:vAlign w:val="center"/>
                </w:tcPr>
                <w:p w14:paraId="3325D3DF">
                  <w:pPr>
                    <w:pStyle w:val="124"/>
                    <w:bidi w:val="0"/>
                    <w:ind w:firstLine="0" w:firstLineChars="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臭气浓度、颗粒物</w:t>
                  </w:r>
                </w:p>
              </w:tc>
              <w:tc>
                <w:tcPr>
                  <w:tcW w:w="2000" w:type="pct"/>
                  <w:vAlign w:val="center"/>
                </w:tcPr>
                <w:p w14:paraId="2AAFD295">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4FD5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467" w:type="pct"/>
                  <w:vMerge w:val="continue"/>
                  <w:vAlign w:val="center"/>
                </w:tcPr>
                <w:p w14:paraId="517E91AB">
                  <w:pPr>
                    <w:pStyle w:val="124"/>
                    <w:bidi w:val="0"/>
                    <w:rPr>
                      <w:rFonts w:hint="default" w:ascii="Times New Roman" w:hAnsi="Times New Roman" w:cs="Times New Roman"/>
                      <w:color w:val="auto"/>
                      <w:highlight w:val="none"/>
                    </w:rPr>
                  </w:pPr>
                </w:p>
              </w:tc>
              <w:tc>
                <w:tcPr>
                  <w:tcW w:w="1071" w:type="pct"/>
                  <w:vAlign w:val="center"/>
                </w:tcPr>
                <w:p w14:paraId="7DB088D3">
                  <w:pPr>
                    <w:pStyle w:val="124"/>
                    <w:bidi w:val="0"/>
                    <w:ind w:firstLine="0" w:firstLineChars="0"/>
                    <w:rPr>
                      <w:rFonts w:hint="default" w:cs="Times New Roman"/>
                      <w:color w:val="auto"/>
                      <w:highlight w:val="none"/>
                      <w:lang w:val="en-US" w:eastAsia="zh-CN"/>
                    </w:rPr>
                  </w:pPr>
                  <w:r>
                    <w:rPr>
                      <w:rFonts w:hint="eastAsia" w:cs="Times New Roman"/>
                      <w:color w:val="auto"/>
                      <w:highlight w:val="none"/>
                      <w:lang w:val="en-US" w:eastAsia="zh-CN"/>
                    </w:rPr>
                    <w:t>入库</w:t>
                  </w:r>
                </w:p>
              </w:tc>
              <w:tc>
                <w:tcPr>
                  <w:tcW w:w="2293" w:type="dxa"/>
                  <w:vAlign w:val="center"/>
                </w:tcPr>
                <w:p w14:paraId="01DD6003">
                  <w:pPr>
                    <w:pStyle w:val="124"/>
                    <w:bidi w:val="0"/>
                    <w:ind w:firstLine="0" w:firstLineChars="0"/>
                    <w:rPr>
                      <w:color w:val="auto"/>
                    </w:rPr>
                  </w:pPr>
                  <w:r>
                    <w:rPr>
                      <w:rFonts w:hint="eastAsia" w:cs="Times New Roman"/>
                      <w:color w:val="auto"/>
                      <w:highlight w:val="none"/>
                      <w:lang w:val="en-US" w:eastAsia="zh-CN"/>
                    </w:rPr>
                    <w:t>臭气浓度、颗粒物</w:t>
                  </w:r>
                </w:p>
              </w:tc>
              <w:tc>
                <w:tcPr>
                  <w:tcW w:w="3140" w:type="dxa"/>
                  <w:vAlign w:val="center"/>
                </w:tcPr>
                <w:p w14:paraId="5932AFEE">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加强车间通风后无组织排放</w:t>
                  </w:r>
                </w:p>
              </w:tc>
            </w:tr>
            <w:tr w14:paraId="7FD8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Merge w:val="restart"/>
                  <w:vAlign w:val="center"/>
                </w:tcPr>
                <w:p w14:paraId="5BF30692">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固废</w:t>
                  </w:r>
                </w:p>
              </w:tc>
              <w:tc>
                <w:tcPr>
                  <w:tcW w:w="1071" w:type="pct"/>
                  <w:vAlign w:val="center"/>
                </w:tcPr>
                <w:p w14:paraId="51F9342B">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461" w:type="pct"/>
                  <w:vAlign w:val="center"/>
                </w:tcPr>
                <w:p w14:paraId="24176AE8">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2000" w:type="pct"/>
                  <w:vAlign w:val="center"/>
                </w:tcPr>
                <w:p w14:paraId="7110771C">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交由环卫部门统一清运</w:t>
                  </w:r>
                </w:p>
              </w:tc>
            </w:tr>
            <w:tr w14:paraId="363A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Merge w:val="continue"/>
                  <w:vAlign w:val="center"/>
                </w:tcPr>
                <w:p w14:paraId="2E7B2CCA">
                  <w:pPr>
                    <w:pStyle w:val="124"/>
                    <w:bidi w:val="0"/>
                    <w:rPr>
                      <w:rFonts w:hint="default" w:ascii="Times New Roman" w:hAnsi="Times New Roman" w:cs="Times New Roman"/>
                      <w:color w:val="auto"/>
                      <w:highlight w:val="none"/>
                    </w:rPr>
                  </w:pPr>
                </w:p>
              </w:tc>
              <w:tc>
                <w:tcPr>
                  <w:tcW w:w="1071" w:type="pct"/>
                  <w:vMerge w:val="restart"/>
                  <w:vAlign w:val="center"/>
                </w:tcPr>
                <w:p w14:paraId="6087FA91">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一般工业固体废物</w:t>
                  </w:r>
                </w:p>
              </w:tc>
              <w:tc>
                <w:tcPr>
                  <w:tcW w:w="1461" w:type="pct"/>
                  <w:shd w:val="clear" w:color="auto" w:fill="auto"/>
                  <w:vAlign w:val="center"/>
                </w:tcPr>
                <w:p w14:paraId="331F1FE5">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可再生利用类固废</w:t>
                  </w:r>
                </w:p>
              </w:tc>
              <w:tc>
                <w:tcPr>
                  <w:tcW w:w="2000" w:type="pct"/>
                  <w:vMerge w:val="restart"/>
                  <w:vAlign w:val="center"/>
                </w:tcPr>
                <w:p w14:paraId="015E570F">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经收集后交专业回收公司处理</w:t>
                  </w:r>
                </w:p>
              </w:tc>
            </w:tr>
            <w:tr w14:paraId="6D22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467" w:type="pct"/>
                  <w:vMerge w:val="continue"/>
                  <w:vAlign w:val="center"/>
                </w:tcPr>
                <w:p w14:paraId="370BE83A">
                  <w:pPr>
                    <w:pStyle w:val="124"/>
                    <w:bidi w:val="0"/>
                    <w:rPr>
                      <w:rFonts w:hint="default" w:ascii="Times New Roman" w:hAnsi="Times New Roman" w:cs="Times New Roman"/>
                      <w:color w:val="auto"/>
                      <w:highlight w:val="none"/>
                    </w:rPr>
                  </w:pPr>
                </w:p>
              </w:tc>
              <w:tc>
                <w:tcPr>
                  <w:tcW w:w="1071" w:type="pct"/>
                  <w:vMerge w:val="continue"/>
                  <w:vAlign w:val="center"/>
                </w:tcPr>
                <w:p w14:paraId="319F3F2C">
                  <w:pPr>
                    <w:pStyle w:val="124"/>
                    <w:bidi w:val="0"/>
                    <w:rPr>
                      <w:rFonts w:hint="default" w:ascii="Times New Roman" w:hAnsi="Times New Roman" w:cs="Times New Roman"/>
                      <w:color w:val="auto"/>
                      <w:highlight w:val="none"/>
                    </w:rPr>
                  </w:pPr>
                </w:p>
              </w:tc>
              <w:tc>
                <w:tcPr>
                  <w:tcW w:w="1461" w:type="pct"/>
                  <w:shd w:val="clear" w:color="auto" w:fill="auto"/>
                  <w:vAlign w:val="center"/>
                </w:tcPr>
                <w:p w14:paraId="6CDB9C2C">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不可再生利用类固废</w:t>
                  </w:r>
                </w:p>
              </w:tc>
              <w:tc>
                <w:tcPr>
                  <w:tcW w:w="2000" w:type="pct"/>
                  <w:vMerge w:val="continue"/>
                  <w:vAlign w:val="center"/>
                </w:tcPr>
                <w:p w14:paraId="2B79D8CC">
                  <w:pPr>
                    <w:pStyle w:val="124"/>
                    <w:bidi w:val="0"/>
                    <w:rPr>
                      <w:rFonts w:hint="default" w:ascii="Times New Roman" w:hAnsi="Times New Roman" w:cs="Times New Roman"/>
                      <w:color w:val="auto"/>
                      <w:highlight w:val="none"/>
                      <w:lang w:val="en-US" w:eastAsia="zh-CN"/>
                    </w:rPr>
                  </w:pPr>
                </w:p>
              </w:tc>
            </w:tr>
            <w:tr w14:paraId="70B2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467" w:type="pct"/>
                  <w:vMerge w:val="continue"/>
                  <w:vAlign w:val="center"/>
                </w:tcPr>
                <w:p w14:paraId="56EDA7BB">
                  <w:pPr>
                    <w:pStyle w:val="124"/>
                    <w:bidi w:val="0"/>
                    <w:rPr>
                      <w:rFonts w:hint="default" w:ascii="Times New Roman" w:hAnsi="Times New Roman" w:cs="Times New Roman"/>
                      <w:color w:val="auto"/>
                      <w:highlight w:val="none"/>
                    </w:rPr>
                  </w:pPr>
                </w:p>
              </w:tc>
              <w:tc>
                <w:tcPr>
                  <w:tcW w:w="1071" w:type="pct"/>
                  <w:vAlign w:val="center"/>
                </w:tcPr>
                <w:p w14:paraId="0917DBB2">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危险废物</w:t>
                  </w:r>
                </w:p>
              </w:tc>
              <w:tc>
                <w:tcPr>
                  <w:tcW w:w="1461" w:type="pct"/>
                  <w:vAlign w:val="center"/>
                </w:tcPr>
                <w:p w14:paraId="0AA362AD">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highlight w:val="none"/>
                      <w:lang w:val="en-US" w:eastAsia="zh-CN"/>
                    </w:rPr>
                    <w:t>废矿物油</w:t>
                  </w:r>
                  <w:r>
                    <w:rPr>
                      <w:rFonts w:hint="eastAsia" w:cs="Times New Roman"/>
                      <w:color w:val="auto"/>
                      <w:highlight w:val="none"/>
                      <w:lang w:val="en-US" w:eastAsia="zh-CN"/>
                    </w:rPr>
                    <w:t>及</w:t>
                  </w:r>
                  <w:r>
                    <w:rPr>
                      <w:rFonts w:hint="default" w:ascii="Times New Roman" w:hAnsi="Times New Roman" w:cs="Times New Roman"/>
                      <w:color w:val="auto"/>
                      <w:highlight w:val="none"/>
                      <w:lang w:val="en-US" w:eastAsia="zh-CN"/>
                    </w:rPr>
                    <w:t>油桶、含油废抹布及手套</w:t>
                  </w:r>
                </w:p>
              </w:tc>
              <w:tc>
                <w:tcPr>
                  <w:tcW w:w="2000" w:type="pct"/>
                  <w:vAlign w:val="center"/>
                </w:tcPr>
                <w:p w14:paraId="3D8EA1BC">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交由有资质的单位处置</w:t>
                  </w:r>
                </w:p>
              </w:tc>
            </w:tr>
            <w:tr w14:paraId="768F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7" w:type="pct"/>
                  <w:vAlign w:val="center"/>
                </w:tcPr>
                <w:p w14:paraId="7F6B0B1C">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噪声</w:t>
                  </w:r>
                </w:p>
              </w:tc>
              <w:tc>
                <w:tcPr>
                  <w:tcW w:w="1071" w:type="pct"/>
                  <w:vAlign w:val="center"/>
                </w:tcPr>
                <w:p w14:paraId="51FC69FC">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设备噪声</w:t>
                  </w:r>
                </w:p>
              </w:tc>
              <w:tc>
                <w:tcPr>
                  <w:tcW w:w="1461" w:type="pct"/>
                  <w:vAlign w:val="center"/>
                </w:tcPr>
                <w:p w14:paraId="5FCE3FFA">
                  <w:pPr>
                    <w:pStyle w:val="12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机械噪声</w:t>
                  </w:r>
                </w:p>
              </w:tc>
              <w:tc>
                <w:tcPr>
                  <w:tcW w:w="2000" w:type="pct"/>
                  <w:vAlign w:val="center"/>
                </w:tcPr>
                <w:p w14:paraId="716F2157">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合理布局、距离衰减、墙体隔声</w:t>
                  </w:r>
                </w:p>
              </w:tc>
            </w:tr>
          </w:tbl>
          <w:p w14:paraId="77392BE1">
            <w:pPr>
              <w:pStyle w:val="21"/>
              <w:pageBreakBefore w:val="0"/>
              <w:kinsoku/>
              <w:overflowPunct/>
              <w:topLinePunct w:val="0"/>
              <w:bidi w:val="0"/>
              <w:snapToGrid/>
              <w:ind w:firstLine="0" w:firstLineChars="0"/>
              <w:outlineLvl w:val="9"/>
              <w:rPr>
                <w:rFonts w:hint="default" w:ascii="Times New Roman" w:hAnsi="Times New Roman" w:cs="Times New Roman"/>
                <w:b/>
                <w:bCs/>
                <w:color w:val="auto"/>
                <w:sz w:val="21"/>
                <w:szCs w:val="21"/>
                <w:highlight w:val="none"/>
              </w:rPr>
            </w:pPr>
          </w:p>
        </w:tc>
      </w:tr>
      <w:tr w14:paraId="1BD3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6" w:hRule="atLeast"/>
        </w:trPr>
        <w:tc>
          <w:tcPr>
            <w:tcW w:w="266" w:type="pct"/>
            <w:vAlign w:val="center"/>
          </w:tcPr>
          <w:p w14:paraId="6EE3D503">
            <w:pPr>
              <w:keepNext w:val="0"/>
              <w:keepLines w:val="0"/>
              <w:pageBreakBefore w:val="0"/>
              <w:widowControl w:val="0"/>
              <w:numPr>
                <w:ilvl w:val="1"/>
                <w:numId w:val="0"/>
              </w:numPr>
              <w:tabs>
                <w:tab w:val="left" w:pos="420"/>
              </w:tabs>
              <w:kinsoku/>
              <w:wordWrap/>
              <w:overflowPunct/>
              <w:topLinePunct w:val="0"/>
              <w:autoSpaceDE/>
              <w:autoSpaceDN/>
              <w:bidi w:val="0"/>
              <w:adjustRightInd w:val="0"/>
              <w:snapToGrid w:val="0"/>
              <w:spacing w:line="240" w:lineRule="auto"/>
              <w:textAlignment w:val="auto"/>
              <w:outlineLvl w:val="9"/>
              <w:rPr>
                <w:rFonts w:hint="default" w:ascii="Times New Roman" w:hAnsi="Times New Roman" w:cs="Times New Roman"/>
                <w:color w:val="auto"/>
                <w:highlight w:val="none"/>
              </w:rPr>
            </w:pPr>
            <w:bookmarkStart w:id="24" w:name="_Toc25856"/>
            <w:bookmarkStart w:id="25" w:name="_Toc8130"/>
            <w:bookmarkStart w:id="26" w:name="_Toc5833"/>
            <w:bookmarkStart w:id="27" w:name="_Toc21908"/>
            <w:bookmarkStart w:id="28" w:name="_Toc5613"/>
            <w:bookmarkStart w:id="29" w:name="_Toc24696"/>
            <w:bookmarkStart w:id="30" w:name="_Toc631"/>
            <w:bookmarkStart w:id="31" w:name="_Toc14546"/>
            <w:bookmarkStart w:id="32" w:name="_Toc13420"/>
            <w:bookmarkStart w:id="33" w:name="_Toc11592"/>
            <w:r>
              <w:rPr>
                <w:rFonts w:hint="default" w:ascii="Times New Roman" w:hAnsi="Times New Roman" w:cs="Times New Roman"/>
                <w:color w:val="auto"/>
                <w:highlight w:val="none"/>
              </w:rPr>
              <w:t>与项目有关的原有环境污染问题</w:t>
            </w:r>
            <w:bookmarkEnd w:id="24"/>
            <w:bookmarkEnd w:id="25"/>
            <w:bookmarkEnd w:id="26"/>
            <w:bookmarkEnd w:id="27"/>
            <w:bookmarkEnd w:id="28"/>
            <w:bookmarkEnd w:id="29"/>
            <w:bookmarkEnd w:id="30"/>
            <w:bookmarkEnd w:id="31"/>
            <w:bookmarkEnd w:id="32"/>
            <w:bookmarkEnd w:id="33"/>
          </w:p>
        </w:tc>
        <w:tc>
          <w:tcPr>
            <w:tcW w:w="4733" w:type="pct"/>
            <w:vAlign w:val="center"/>
          </w:tcPr>
          <w:p w14:paraId="01470B9C">
            <w:pPr>
              <w:adjustRightInd w:val="0"/>
              <w:snapToGrid w:val="0"/>
              <w:ind w:firstLine="480" w:firstLineChars="200"/>
              <w:jc w:val="left"/>
              <w:rPr>
                <w:color w:val="auto"/>
              </w:rPr>
            </w:pPr>
          </w:p>
          <w:p w14:paraId="7A34BC82">
            <w:pPr>
              <w:adjustRightInd w:val="0"/>
              <w:snapToGrid w:val="0"/>
              <w:ind w:firstLine="480" w:firstLineChars="200"/>
              <w:jc w:val="left"/>
              <w:rPr>
                <w:color w:val="auto"/>
                <w:sz w:val="24"/>
                <w:szCs w:val="21"/>
              </w:rPr>
            </w:pPr>
            <w:r>
              <w:rPr>
                <w:b/>
                <w:color w:val="auto"/>
                <w:sz w:val="24"/>
                <w:szCs w:val="21"/>
              </w:rPr>
              <w:t>1.</w:t>
            </w:r>
            <w:r>
              <w:rPr>
                <w:b/>
                <w:color w:val="auto"/>
                <w:sz w:val="24"/>
              </w:rPr>
              <w:t>与本项目有关的原有污染情况</w:t>
            </w:r>
          </w:p>
          <w:p w14:paraId="62248B0F">
            <w:pPr>
              <w:adjustRightInd w:val="0"/>
              <w:snapToGrid w:val="0"/>
              <w:spacing w:line="360" w:lineRule="auto"/>
              <w:ind w:firstLine="480" w:firstLineChars="200"/>
              <w:rPr>
                <w:color w:val="auto"/>
                <w:sz w:val="24"/>
                <w:szCs w:val="20"/>
              </w:rPr>
            </w:pPr>
            <w:r>
              <w:rPr>
                <w:color w:val="auto"/>
                <w:sz w:val="24"/>
                <w:szCs w:val="21"/>
              </w:rPr>
              <w:t>本项目属新建项目，无与本项目有关的原有污染情况。</w:t>
            </w:r>
          </w:p>
          <w:p w14:paraId="179CE656">
            <w:pPr>
              <w:adjustRightInd w:val="0"/>
              <w:snapToGrid w:val="0"/>
              <w:spacing w:line="360" w:lineRule="auto"/>
              <w:ind w:firstLine="480" w:firstLineChars="200"/>
              <w:rPr>
                <w:b/>
                <w:color w:val="auto"/>
                <w:sz w:val="24"/>
                <w:szCs w:val="21"/>
              </w:rPr>
            </w:pPr>
            <w:r>
              <w:rPr>
                <w:b/>
                <w:color w:val="auto"/>
                <w:sz w:val="24"/>
                <w:szCs w:val="21"/>
              </w:rPr>
              <w:t>2.园区现状污染源情况</w:t>
            </w:r>
          </w:p>
          <w:p w14:paraId="14B6B268">
            <w:pPr>
              <w:adjustRightInd w:val="0"/>
              <w:snapToGrid w:val="0"/>
              <w:ind w:firstLine="480" w:firstLineChars="200"/>
              <w:jc w:val="both"/>
              <w:rPr>
                <w:rFonts w:ascii="Times New Roman" w:hAnsi="Times New Roman" w:cs="Times New Roman"/>
                <w:color w:val="auto"/>
                <w:sz w:val="24"/>
                <w:szCs w:val="24"/>
              </w:rPr>
            </w:pPr>
            <w:r>
              <w:rPr>
                <w:rFonts w:ascii="Times New Roman" w:hAnsi="Times New Roman" w:cs="Times New Roman"/>
                <w:color w:val="auto"/>
                <w:sz w:val="24"/>
                <w:szCs w:val="24"/>
              </w:rPr>
              <w:t>截至202</w:t>
            </w:r>
            <w:r>
              <w:rPr>
                <w:rFonts w:hint="eastAsia" w:cs="Times New Roman"/>
                <w:color w:val="auto"/>
                <w:sz w:val="24"/>
                <w:szCs w:val="24"/>
                <w:lang w:val="en-US" w:eastAsia="zh-CN"/>
              </w:rPr>
              <w:t>6</w:t>
            </w:r>
            <w:r>
              <w:rPr>
                <w:rFonts w:ascii="Times New Roman" w:hAnsi="Times New Roman" w:cs="Times New Roman"/>
                <w:color w:val="auto"/>
                <w:sz w:val="24"/>
                <w:szCs w:val="24"/>
              </w:rPr>
              <w:t>年</w:t>
            </w:r>
            <w:r>
              <w:rPr>
                <w:rFonts w:hint="eastAsia" w:cs="Times New Roman"/>
                <w:color w:val="auto"/>
                <w:sz w:val="24"/>
                <w:szCs w:val="24"/>
                <w:lang w:val="en-US" w:eastAsia="zh-CN"/>
              </w:rPr>
              <w:t>5</w:t>
            </w:r>
            <w:r>
              <w:rPr>
                <w:rFonts w:ascii="Times New Roman" w:hAnsi="Times New Roman" w:cs="Times New Roman"/>
                <w:color w:val="auto"/>
                <w:sz w:val="24"/>
                <w:szCs w:val="24"/>
              </w:rPr>
              <w:t>月，</w:t>
            </w:r>
            <w:r>
              <w:rPr>
                <w:rFonts w:hint="eastAsia" w:ascii="Times New Roman" w:hAnsi="Times New Roman" w:cs="Times New Roman"/>
                <w:color w:val="auto"/>
                <w:sz w:val="24"/>
                <w:szCs w:val="24"/>
              </w:rPr>
              <w:t>乐昌产业转移工业园</w:t>
            </w:r>
            <w:r>
              <w:rPr>
                <w:rFonts w:ascii="Times New Roman" w:hAnsi="Times New Roman" w:cs="Times New Roman"/>
                <w:color w:val="auto"/>
                <w:sz w:val="24"/>
                <w:szCs w:val="24"/>
              </w:rPr>
              <w:t>范围内产业现状基本以工业产业为主，共涉及</w:t>
            </w:r>
            <w:r>
              <w:rPr>
                <w:rFonts w:hint="eastAsia" w:cs="Times New Roman"/>
                <w:color w:val="auto"/>
                <w:sz w:val="24"/>
                <w:szCs w:val="24"/>
                <w:lang w:val="en-US" w:eastAsia="zh-CN"/>
              </w:rPr>
              <w:t>11</w:t>
            </w:r>
            <w:r>
              <w:rPr>
                <w:rFonts w:hint="eastAsia" w:ascii="Times New Roman" w:hAnsi="Times New Roman" w:cs="Times New Roman"/>
                <w:color w:val="auto"/>
                <w:sz w:val="24"/>
                <w:szCs w:val="24"/>
              </w:rPr>
              <w:t>4</w:t>
            </w:r>
            <w:r>
              <w:rPr>
                <w:rFonts w:ascii="Times New Roman" w:hAnsi="Times New Roman" w:cs="Times New Roman"/>
                <w:color w:val="auto"/>
                <w:sz w:val="24"/>
                <w:szCs w:val="24"/>
              </w:rPr>
              <w:t>家企业，其中</w:t>
            </w:r>
            <w:r>
              <w:rPr>
                <w:rFonts w:hint="eastAsia" w:cs="Times New Roman"/>
                <w:color w:val="auto"/>
                <w:sz w:val="24"/>
                <w:szCs w:val="24"/>
                <w:lang w:val="en-US" w:eastAsia="zh-CN"/>
              </w:rPr>
              <w:t>6</w:t>
            </w:r>
            <w:r>
              <w:rPr>
                <w:rFonts w:ascii="Times New Roman" w:hAnsi="Times New Roman" w:cs="Times New Roman"/>
                <w:color w:val="auto"/>
                <w:sz w:val="24"/>
                <w:szCs w:val="24"/>
              </w:rPr>
              <w:t>家已经停产。本评价根据环评情况和建设生产情况，将企业分为已建、在建、停产三大类：已建企业为已经投产运行或正在试运行的企业；在建企业为已通过环评，正在建设的企业；停产企业为已经建成，但停产的企业。根据分类，已建企业</w:t>
            </w:r>
            <w:r>
              <w:rPr>
                <w:rFonts w:hint="eastAsia" w:cs="Times New Roman"/>
                <w:color w:val="auto"/>
                <w:sz w:val="24"/>
                <w:szCs w:val="24"/>
                <w:lang w:val="en-US" w:eastAsia="zh-CN"/>
              </w:rPr>
              <w:t>92</w:t>
            </w:r>
            <w:r>
              <w:rPr>
                <w:rFonts w:ascii="Times New Roman" w:hAnsi="Times New Roman" w:cs="Times New Roman"/>
                <w:color w:val="auto"/>
                <w:sz w:val="24"/>
                <w:szCs w:val="24"/>
              </w:rPr>
              <w:t>家，在建企业</w:t>
            </w:r>
            <w:r>
              <w:rPr>
                <w:rFonts w:hint="eastAsia" w:cs="Times New Roman"/>
                <w:color w:val="auto"/>
                <w:sz w:val="24"/>
                <w:szCs w:val="24"/>
                <w:lang w:val="en-US" w:eastAsia="zh-CN"/>
              </w:rPr>
              <w:t>16</w:t>
            </w:r>
            <w:r>
              <w:rPr>
                <w:rFonts w:ascii="Times New Roman" w:hAnsi="Times New Roman" w:cs="Times New Roman"/>
                <w:color w:val="auto"/>
                <w:sz w:val="24"/>
                <w:szCs w:val="24"/>
              </w:rPr>
              <w:t>家停产企业</w:t>
            </w:r>
            <w:r>
              <w:rPr>
                <w:rFonts w:hint="eastAsia" w:cs="Times New Roman"/>
                <w:color w:val="auto"/>
                <w:sz w:val="24"/>
                <w:szCs w:val="24"/>
                <w:lang w:val="en-US" w:eastAsia="zh-CN"/>
              </w:rPr>
              <w:t>6</w:t>
            </w:r>
            <w:r>
              <w:rPr>
                <w:rFonts w:ascii="Times New Roman" w:hAnsi="Times New Roman" w:cs="Times New Roman"/>
                <w:color w:val="auto"/>
                <w:sz w:val="24"/>
                <w:szCs w:val="24"/>
              </w:rPr>
              <w:t>家。</w:t>
            </w:r>
            <w:r>
              <w:rPr>
                <w:rFonts w:hint="eastAsia" w:ascii="Times New Roman" w:hAnsi="Times New Roman" w:cs="Times New Roman"/>
                <w:color w:val="auto"/>
                <w:sz w:val="24"/>
                <w:szCs w:val="24"/>
              </w:rPr>
              <w:t>产业园</w:t>
            </w:r>
            <w:r>
              <w:rPr>
                <w:rFonts w:ascii="Times New Roman" w:hAnsi="Times New Roman" w:cs="Times New Roman"/>
                <w:color w:val="auto"/>
                <w:sz w:val="24"/>
                <w:szCs w:val="24"/>
              </w:rPr>
              <w:t>内企业情况详见表</w:t>
            </w:r>
            <w:r>
              <w:rPr>
                <w:rFonts w:hint="eastAsia" w:ascii="Times New Roman" w:hAnsi="Times New Roman" w:cs="Times New Roman"/>
                <w:color w:val="auto"/>
                <w:sz w:val="24"/>
                <w:szCs w:val="24"/>
                <w:lang w:val="en-US" w:eastAsia="zh-CN"/>
              </w:rPr>
              <w:t>2-</w:t>
            </w:r>
            <w:r>
              <w:rPr>
                <w:rFonts w:hint="eastAsia" w:cs="Times New Roman"/>
                <w:color w:val="auto"/>
                <w:sz w:val="24"/>
                <w:szCs w:val="24"/>
                <w:lang w:val="en-US" w:eastAsia="zh-CN"/>
              </w:rPr>
              <w:t>9</w:t>
            </w:r>
            <w:r>
              <w:rPr>
                <w:rFonts w:ascii="Times New Roman" w:hAnsi="Times New Roman" w:cs="Times New Roman"/>
                <w:color w:val="auto"/>
                <w:sz w:val="24"/>
                <w:szCs w:val="24"/>
              </w:rPr>
              <w:t>。</w:t>
            </w:r>
          </w:p>
          <w:p w14:paraId="77F8E920">
            <w:pPr>
              <w:adjustRightInd w:val="0"/>
              <w:snapToGrid w:val="0"/>
              <w:ind w:firstLine="480" w:firstLineChars="200"/>
              <w:jc w:val="center"/>
              <w:rPr>
                <w:rFonts w:ascii="Times New Roman" w:hAnsi="Times New Roman" w:cs="Times New Roman"/>
                <w:color w:val="auto"/>
                <w:sz w:val="24"/>
                <w:szCs w:val="24"/>
              </w:rPr>
            </w:pPr>
            <w:r>
              <w:rPr>
                <w:b/>
                <w:color w:val="auto"/>
                <w:sz w:val="24"/>
              </w:rPr>
              <w:t>表</w:t>
            </w:r>
            <w:r>
              <w:rPr>
                <w:rFonts w:hint="eastAsia"/>
                <w:b/>
                <w:color w:val="auto"/>
                <w:sz w:val="24"/>
                <w:lang w:val="en-US" w:eastAsia="zh-CN"/>
              </w:rPr>
              <w:t>2-9</w:t>
            </w:r>
            <w:r>
              <w:rPr>
                <w:b/>
                <w:color w:val="auto"/>
                <w:sz w:val="24"/>
              </w:rPr>
              <w:t xml:space="preserve"> </w:t>
            </w:r>
            <w:r>
              <w:rPr>
                <w:rFonts w:hint="eastAsia"/>
                <w:b/>
                <w:color w:val="auto"/>
                <w:sz w:val="24"/>
              </w:rPr>
              <w:t>园区</w:t>
            </w:r>
            <w:r>
              <w:rPr>
                <w:b/>
                <w:color w:val="auto"/>
                <w:sz w:val="24"/>
              </w:rPr>
              <w:t>通过环评审批企业情况统计</w:t>
            </w:r>
          </w:p>
          <w:tbl>
            <w:tblPr>
              <w:tblStyle w:val="12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1"/>
              <w:gridCol w:w="961"/>
              <w:gridCol w:w="600"/>
              <w:gridCol w:w="915"/>
              <w:gridCol w:w="1140"/>
              <w:gridCol w:w="2053"/>
              <w:gridCol w:w="1878"/>
            </w:tblGrid>
            <w:tr w14:paraId="7C318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09A2496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序号</w:t>
                  </w:r>
                </w:p>
              </w:tc>
              <w:tc>
                <w:tcPr>
                  <w:tcW w:w="961" w:type="dxa"/>
                  <w:vAlign w:val="center"/>
                </w:tcPr>
                <w:p w14:paraId="3D9F983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企业名称</w:t>
                  </w:r>
                </w:p>
              </w:tc>
              <w:tc>
                <w:tcPr>
                  <w:tcW w:w="600" w:type="dxa"/>
                  <w:vAlign w:val="center"/>
                </w:tcPr>
                <w:p w14:paraId="086B8FE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建设情况</w:t>
                  </w:r>
                </w:p>
              </w:tc>
              <w:tc>
                <w:tcPr>
                  <w:tcW w:w="915" w:type="dxa"/>
                  <w:vAlign w:val="center"/>
                </w:tcPr>
                <w:p w14:paraId="10FD24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产业类型</w:t>
                  </w:r>
                </w:p>
              </w:tc>
              <w:tc>
                <w:tcPr>
                  <w:tcW w:w="1140" w:type="dxa"/>
                  <w:vAlign w:val="center"/>
                </w:tcPr>
                <w:p w14:paraId="60232D90">
                  <w:pPr>
                    <w:keepNext w:val="0"/>
                    <w:keepLines w:val="0"/>
                    <w:pageBreakBefore w:val="0"/>
                    <w:widowControl/>
                    <w:kinsoku w:val="0"/>
                    <w:wordWrap/>
                    <w:overflowPunct/>
                    <w:topLinePunct w:val="0"/>
                    <w:autoSpaceDE w:val="0"/>
                    <w:autoSpaceDN w:val="0"/>
                    <w:bidi w:val="0"/>
                    <w:adjustRightInd w:val="0"/>
                    <w:snapToGrid w:val="0"/>
                    <w:spacing w:line="240" w:lineRule="auto"/>
                    <w:ind w:left="0" w:right="134" w:firstLine="133"/>
                    <w:jc w:val="center"/>
                    <w:textAlignment w:val="baseline"/>
                    <w:rPr>
                      <w:rFonts w:ascii="宋体" w:hAnsi="宋体" w:eastAsia="宋体" w:cs="宋体"/>
                      <w:color w:val="auto"/>
                      <w:sz w:val="21"/>
                      <w:szCs w:val="21"/>
                    </w:rPr>
                  </w:pPr>
                  <w:r>
                    <w:rPr>
                      <w:rFonts w:ascii="宋体" w:hAnsi="宋体" w:eastAsia="宋体" w:cs="宋体"/>
                      <w:color w:val="auto"/>
                      <w:spacing w:val="-11"/>
                      <w:sz w:val="21"/>
                      <w:szCs w:val="21"/>
                    </w:rPr>
                    <w:t>占地面积</w:t>
                  </w:r>
                  <w:r>
                    <w:rPr>
                      <w:rFonts w:ascii="宋体" w:hAnsi="宋体" w:eastAsia="宋体" w:cs="宋体"/>
                      <w:color w:val="auto"/>
                      <w:spacing w:val="-6"/>
                      <w:sz w:val="21"/>
                      <w:szCs w:val="21"/>
                    </w:rPr>
                    <w:t>（平方米）</w:t>
                  </w:r>
                </w:p>
              </w:tc>
              <w:tc>
                <w:tcPr>
                  <w:tcW w:w="2053" w:type="dxa"/>
                  <w:vAlign w:val="center"/>
                </w:tcPr>
                <w:p w14:paraId="214DF7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主要产品及规模</w:t>
                  </w:r>
                </w:p>
              </w:tc>
              <w:tc>
                <w:tcPr>
                  <w:tcW w:w="1878" w:type="dxa"/>
                  <w:vAlign w:val="center"/>
                </w:tcPr>
                <w:p w14:paraId="47AB977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环评批复</w:t>
                  </w:r>
                </w:p>
              </w:tc>
            </w:tr>
            <w:tr w14:paraId="54AE1E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FABCDC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1</w:t>
                  </w:r>
                </w:p>
              </w:tc>
              <w:tc>
                <w:tcPr>
                  <w:tcW w:w="961" w:type="dxa"/>
                  <w:vAlign w:val="center"/>
                </w:tcPr>
                <w:p w14:paraId="61F0DB5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乐昌市金丰机械有限公司</w:t>
                  </w:r>
                </w:p>
              </w:tc>
              <w:tc>
                <w:tcPr>
                  <w:tcW w:w="600" w:type="dxa"/>
                  <w:vAlign w:val="center"/>
                </w:tcPr>
                <w:p w14:paraId="50239D1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B52BC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hint="eastAsia" w:ascii="宋体" w:hAnsi="宋体" w:eastAsia="宋体" w:cs="宋体"/>
                      <w:color w:val="auto"/>
                      <w:spacing w:val="-1"/>
                      <w:sz w:val="21"/>
                      <w:szCs w:val="21"/>
                      <w:lang w:val="en-US" w:eastAsia="zh-CN"/>
                    </w:rPr>
                    <w:t>金属制造业、</w:t>
                  </w:r>
                  <w:r>
                    <w:rPr>
                      <w:rFonts w:ascii="宋体" w:hAnsi="宋体" w:eastAsia="宋体" w:cs="宋体"/>
                      <w:color w:val="auto"/>
                      <w:spacing w:val="-1"/>
                      <w:sz w:val="21"/>
                      <w:szCs w:val="21"/>
                    </w:rPr>
                    <w:t>通用</w:t>
                  </w:r>
                  <w:r>
                    <w:rPr>
                      <w:rFonts w:ascii="宋体" w:hAnsi="宋体" w:eastAsia="宋体" w:cs="宋体"/>
                      <w:color w:val="auto"/>
                      <w:spacing w:val="-2"/>
                      <w:sz w:val="21"/>
                      <w:szCs w:val="21"/>
                    </w:rPr>
                    <w:t>设备制造业</w:t>
                  </w:r>
                </w:p>
              </w:tc>
              <w:tc>
                <w:tcPr>
                  <w:tcW w:w="1140" w:type="dxa"/>
                  <w:vAlign w:val="center"/>
                </w:tcPr>
                <w:p w14:paraId="0D40AE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38528.3</w:t>
                  </w:r>
                </w:p>
              </w:tc>
              <w:tc>
                <w:tcPr>
                  <w:tcW w:w="2053" w:type="dxa"/>
                  <w:vAlign w:val="center"/>
                </w:tcPr>
                <w:p w14:paraId="24F71A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w:t>
                  </w:r>
                  <w:r>
                    <w:rPr>
                      <w:rFonts w:ascii="宋体" w:hAnsi="宋体" w:eastAsia="宋体" w:cs="宋体"/>
                      <w:color w:val="auto"/>
                      <w:spacing w:val="-41"/>
                      <w:sz w:val="21"/>
                      <w:szCs w:val="21"/>
                    </w:rPr>
                    <w:t xml:space="preserve"> </w:t>
                  </w:r>
                  <w:r>
                    <w:rPr>
                      <w:color w:val="auto"/>
                      <w:spacing w:val="-3"/>
                      <w:sz w:val="21"/>
                      <w:szCs w:val="21"/>
                    </w:rPr>
                    <w:t>2.4</w:t>
                  </w:r>
                  <w:r>
                    <w:rPr>
                      <w:color w:val="auto"/>
                      <w:spacing w:val="14"/>
                      <w:sz w:val="21"/>
                      <w:szCs w:val="21"/>
                    </w:rPr>
                    <w:t xml:space="preserve"> </w:t>
                  </w:r>
                  <w:r>
                    <w:rPr>
                      <w:rFonts w:ascii="宋体" w:hAnsi="宋体" w:eastAsia="宋体" w:cs="宋体"/>
                      <w:color w:val="auto"/>
                      <w:spacing w:val="-3"/>
                      <w:sz w:val="21"/>
                      <w:szCs w:val="21"/>
                    </w:rPr>
                    <w:t>万吨金属铸件，年加工</w:t>
                  </w:r>
                  <w:r>
                    <w:rPr>
                      <w:rFonts w:ascii="宋体" w:hAnsi="宋体" w:eastAsia="宋体" w:cs="宋体"/>
                      <w:color w:val="auto"/>
                      <w:spacing w:val="-28"/>
                      <w:sz w:val="21"/>
                      <w:szCs w:val="21"/>
                    </w:rPr>
                    <w:t xml:space="preserve"> </w:t>
                  </w:r>
                  <w:r>
                    <w:rPr>
                      <w:color w:val="auto"/>
                      <w:spacing w:val="-3"/>
                      <w:sz w:val="21"/>
                      <w:szCs w:val="21"/>
                    </w:rPr>
                    <w:t>1800</w:t>
                  </w:r>
                  <w:r>
                    <w:rPr>
                      <w:color w:val="auto"/>
                      <w:spacing w:val="19"/>
                      <w:sz w:val="21"/>
                      <w:szCs w:val="21"/>
                    </w:rPr>
                    <w:t xml:space="preserve"> </w:t>
                  </w:r>
                  <w:r>
                    <w:rPr>
                      <w:rFonts w:ascii="宋体" w:hAnsi="宋体" w:eastAsia="宋体" w:cs="宋体"/>
                      <w:color w:val="auto"/>
                      <w:spacing w:val="-3"/>
                      <w:sz w:val="21"/>
                      <w:szCs w:val="21"/>
                    </w:rPr>
                    <w:t>吨机械零部件</w:t>
                  </w:r>
                </w:p>
              </w:tc>
              <w:tc>
                <w:tcPr>
                  <w:tcW w:w="1878" w:type="dxa"/>
                  <w:vAlign w:val="center"/>
                </w:tcPr>
                <w:p w14:paraId="70CBD9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pacing w:val="-2"/>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"bookmark202"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w:t>
                  </w:r>
                </w:p>
                <w:p w14:paraId="18B17D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33</w:t>
                  </w:r>
                  <w:r>
                    <w:rPr>
                      <w:color w:val="auto"/>
                      <w:spacing w:val="20"/>
                      <w:sz w:val="21"/>
                      <w:szCs w:val="21"/>
                    </w:rPr>
                    <w:t xml:space="preserve"> </w:t>
                  </w:r>
                  <w:r>
                    <w:rPr>
                      <w:rFonts w:ascii="宋体" w:hAnsi="宋体" w:eastAsia="宋体" w:cs="宋体"/>
                      <w:color w:val="auto"/>
                      <w:spacing w:val="-2"/>
                      <w:sz w:val="21"/>
                      <w:szCs w:val="21"/>
                    </w:rPr>
                    <w:t>号、韶环乐审</w:t>
                  </w: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01</w:t>
                  </w:r>
                  <w:r>
                    <w:rPr>
                      <w:color w:val="auto"/>
                      <w:spacing w:val="17"/>
                      <w:sz w:val="21"/>
                      <w:szCs w:val="21"/>
                    </w:rPr>
                    <w:t xml:space="preserve"> </w:t>
                  </w:r>
                  <w:r>
                    <w:rPr>
                      <w:rFonts w:ascii="宋体" w:hAnsi="宋体" w:eastAsia="宋体" w:cs="宋体"/>
                      <w:color w:val="auto"/>
                      <w:spacing w:val="-4"/>
                      <w:sz w:val="21"/>
                      <w:szCs w:val="21"/>
                    </w:rPr>
                    <w:t>号</w:t>
                  </w:r>
                </w:p>
              </w:tc>
            </w:tr>
            <w:tr w14:paraId="7888C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FDB454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2</w:t>
                  </w:r>
                </w:p>
              </w:tc>
              <w:tc>
                <w:tcPr>
                  <w:tcW w:w="961" w:type="dxa"/>
                  <w:vAlign w:val="center"/>
                </w:tcPr>
                <w:p w14:paraId="2BECC6B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乐昌市捷凯家具有限公司</w:t>
                  </w:r>
                </w:p>
              </w:tc>
              <w:tc>
                <w:tcPr>
                  <w:tcW w:w="600" w:type="dxa"/>
                  <w:vAlign w:val="center"/>
                </w:tcPr>
                <w:p w14:paraId="1E4F66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5E30C0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A853C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19980</w:t>
                  </w:r>
                </w:p>
              </w:tc>
              <w:tc>
                <w:tcPr>
                  <w:tcW w:w="2053" w:type="dxa"/>
                  <w:vAlign w:val="center"/>
                </w:tcPr>
                <w:p w14:paraId="1A16D0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年产家具铸铁件</w:t>
                  </w:r>
                  <w:r>
                    <w:rPr>
                      <w:rFonts w:ascii="宋体" w:hAnsi="宋体" w:eastAsia="宋体" w:cs="宋体"/>
                      <w:color w:val="auto"/>
                      <w:spacing w:val="-28"/>
                      <w:sz w:val="21"/>
                      <w:szCs w:val="21"/>
                    </w:rPr>
                    <w:t xml:space="preserve"> </w:t>
                  </w:r>
                  <w:r>
                    <w:rPr>
                      <w:color w:val="auto"/>
                      <w:spacing w:val="-2"/>
                      <w:sz w:val="21"/>
                      <w:szCs w:val="21"/>
                    </w:rPr>
                    <w:t xml:space="preserve">1.2 </w:t>
                  </w:r>
                  <w:r>
                    <w:rPr>
                      <w:rFonts w:ascii="宋体" w:hAnsi="宋体" w:eastAsia="宋体" w:cs="宋体"/>
                      <w:color w:val="auto"/>
                      <w:spacing w:val="-2"/>
                      <w:sz w:val="21"/>
                      <w:szCs w:val="21"/>
                    </w:rPr>
                    <w:t>万件</w:t>
                  </w:r>
                </w:p>
              </w:tc>
              <w:tc>
                <w:tcPr>
                  <w:tcW w:w="1878" w:type="dxa"/>
                  <w:vAlign w:val="center"/>
                </w:tcPr>
                <w:p w14:paraId="390448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"bookmark203"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]38</w:t>
                  </w:r>
                  <w:r>
                    <w:rPr>
                      <w:color w:val="auto"/>
                      <w:spacing w:val="24"/>
                      <w:sz w:val="21"/>
                      <w:szCs w:val="21"/>
                    </w:rPr>
                    <w:t xml:space="preserve"> </w:t>
                  </w:r>
                  <w:r>
                    <w:rPr>
                      <w:rFonts w:ascii="宋体" w:hAnsi="宋体" w:eastAsia="宋体" w:cs="宋体"/>
                      <w:color w:val="auto"/>
                      <w:spacing w:val="-2"/>
                      <w:sz w:val="21"/>
                      <w:szCs w:val="21"/>
                    </w:rPr>
                    <w:t>号</w:t>
                  </w:r>
                </w:p>
              </w:tc>
            </w:tr>
            <w:tr w14:paraId="7FE38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AD154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3</w:t>
                  </w:r>
                </w:p>
              </w:tc>
              <w:tc>
                <w:tcPr>
                  <w:tcW w:w="961" w:type="dxa"/>
                  <w:vAlign w:val="center"/>
                </w:tcPr>
                <w:p w14:paraId="139EA9C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乐昌市瑞创精工制造有限公</w:t>
                  </w:r>
                </w:p>
                <w:p w14:paraId="15DAEE7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2B3E1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0239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1D02FD0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19600</w:t>
                  </w:r>
                </w:p>
              </w:tc>
              <w:tc>
                <w:tcPr>
                  <w:tcW w:w="2053" w:type="dxa"/>
                  <w:vAlign w:val="center"/>
                </w:tcPr>
                <w:p w14:paraId="489E6BB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13" w:hanging="356"/>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年产铸铁电饭煲内胆</w:t>
                  </w:r>
                  <w:r>
                    <w:rPr>
                      <w:rFonts w:ascii="宋体" w:hAnsi="宋体" w:eastAsia="宋体" w:cs="宋体"/>
                      <w:color w:val="auto"/>
                      <w:spacing w:val="-21"/>
                      <w:sz w:val="21"/>
                      <w:szCs w:val="21"/>
                    </w:rPr>
                    <w:t xml:space="preserve"> </w:t>
                  </w:r>
                  <w:r>
                    <w:rPr>
                      <w:color w:val="auto"/>
                      <w:sz w:val="21"/>
                      <w:szCs w:val="21"/>
                    </w:rPr>
                    <w:t xml:space="preserve">10 </w:t>
                  </w:r>
                  <w:r>
                    <w:rPr>
                      <w:rFonts w:ascii="宋体" w:hAnsi="宋体" w:eastAsia="宋体" w:cs="宋体"/>
                      <w:color w:val="auto"/>
                      <w:sz w:val="21"/>
                      <w:szCs w:val="21"/>
                    </w:rPr>
                    <w:t>万件、水泵铸件</w:t>
                  </w:r>
                  <w:r>
                    <w:rPr>
                      <w:color w:val="auto"/>
                      <w:sz w:val="21"/>
                      <w:szCs w:val="21"/>
                    </w:rPr>
                    <w:t>20</w:t>
                  </w:r>
                  <w:r>
                    <w:rPr>
                      <w:color w:val="auto"/>
                      <w:spacing w:val="13"/>
                      <w:w w:val="101"/>
                      <w:sz w:val="21"/>
                      <w:szCs w:val="21"/>
                    </w:rPr>
                    <w:t xml:space="preserve"> </w:t>
                  </w:r>
                  <w:r>
                    <w:rPr>
                      <w:rFonts w:ascii="宋体" w:hAnsi="宋体" w:eastAsia="宋体" w:cs="宋体"/>
                      <w:color w:val="auto"/>
                      <w:sz w:val="21"/>
                      <w:szCs w:val="21"/>
                    </w:rPr>
                    <w:t>万件、铸铁烤网</w:t>
                  </w:r>
                  <w:r>
                    <w:rPr>
                      <w:color w:val="auto"/>
                      <w:spacing w:val="-4"/>
                      <w:sz w:val="21"/>
                      <w:szCs w:val="21"/>
                    </w:rPr>
                    <w:t>100</w:t>
                  </w:r>
                  <w:r>
                    <w:rPr>
                      <w:color w:val="auto"/>
                      <w:spacing w:val="31"/>
                      <w:w w:val="101"/>
                      <w:sz w:val="21"/>
                      <w:szCs w:val="21"/>
                    </w:rPr>
                    <w:t xml:space="preserve"> </w:t>
                  </w:r>
                  <w:r>
                    <w:rPr>
                      <w:rFonts w:ascii="宋体" w:hAnsi="宋体" w:eastAsia="宋体" w:cs="宋体"/>
                      <w:color w:val="auto"/>
                      <w:spacing w:val="-4"/>
                      <w:sz w:val="21"/>
                      <w:szCs w:val="21"/>
                    </w:rPr>
                    <w:t>万件、铸铁发热板</w:t>
                  </w:r>
                  <w:r>
                    <w:rPr>
                      <w:rFonts w:ascii="宋体" w:hAnsi="宋体" w:eastAsia="宋体" w:cs="宋体"/>
                      <w:color w:val="auto"/>
                      <w:spacing w:val="-48"/>
                      <w:sz w:val="21"/>
                      <w:szCs w:val="21"/>
                    </w:rPr>
                    <w:t xml:space="preserve"> </w:t>
                  </w:r>
                  <w:r>
                    <w:rPr>
                      <w:color w:val="auto"/>
                      <w:spacing w:val="-4"/>
                      <w:sz w:val="21"/>
                      <w:szCs w:val="21"/>
                    </w:rPr>
                    <w:t>220</w:t>
                  </w:r>
                  <w:r>
                    <w:rPr>
                      <w:color w:val="auto"/>
                      <w:spacing w:val="14"/>
                      <w:sz w:val="21"/>
                      <w:szCs w:val="21"/>
                    </w:rPr>
                    <w:t xml:space="preserve"> </w:t>
                  </w:r>
                  <w:r>
                    <w:rPr>
                      <w:rFonts w:ascii="宋体" w:hAnsi="宋体" w:eastAsia="宋体" w:cs="宋体"/>
                      <w:color w:val="auto"/>
                      <w:spacing w:val="-4"/>
                      <w:sz w:val="21"/>
                      <w:szCs w:val="21"/>
                    </w:rPr>
                    <w:t>万件、搪瓷炉架</w:t>
                  </w:r>
                  <w:r>
                    <w:rPr>
                      <w:rFonts w:ascii="宋体" w:hAnsi="宋体" w:eastAsia="宋体" w:cs="宋体"/>
                      <w:color w:val="auto"/>
                      <w:spacing w:val="-28"/>
                      <w:sz w:val="21"/>
                      <w:szCs w:val="21"/>
                    </w:rPr>
                    <w:t xml:space="preserve"> </w:t>
                  </w:r>
                  <w:r>
                    <w:rPr>
                      <w:color w:val="auto"/>
                      <w:spacing w:val="-4"/>
                      <w:sz w:val="21"/>
                      <w:szCs w:val="21"/>
                    </w:rPr>
                    <w:t>100</w:t>
                  </w:r>
                  <w:r>
                    <w:rPr>
                      <w:color w:val="auto"/>
                      <w:spacing w:val="14"/>
                      <w:sz w:val="21"/>
                      <w:szCs w:val="21"/>
                    </w:rPr>
                    <w:t xml:space="preserve"> </w:t>
                  </w:r>
                  <w:r>
                    <w:rPr>
                      <w:rFonts w:ascii="宋体" w:hAnsi="宋体" w:eastAsia="宋体" w:cs="宋体"/>
                      <w:color w:val="auto"/>
                      <w:spacing w:val="-4"/>
                      <w:sz w:val="21"/>
                      <w:szCs w:val="21"/>
                    </w:rPr>
                    <w:t>万件</w:t>
                  </w:r>
                </w:p>
              </w:tc>
              <w:tc>
                <w:tcPr>
                  <w:tcW w:w="1878" w:type="dxa"/>
                  <w:vAlign w:val="center"/>
                </w:tcPr>
                <w:p w14:paraId="67FFE1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"bookmark204"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]48</w:t>
                  </w:r>
                  <w:r>
                    <w:rPr>
                      <w:color w:val="auto"/>
                      <w:spacing w:val="24"/>
                      <w:sz w:val="21"/>
                      <w:szCs w:val="21"/>
                    </w:rPr>
                    <w:t xml:space="preserve"> </w:t>
                  </w:r>
                  <w:r>
                    <w:rPr>
                      <w:rFonts w:ascii="宋体" w:hAnsi="宋体" w:eastAsia="宋体" w:cs="宋体"/>
                      <w:color w:val="auto"/>
                      <w:spacing w:val="-2"/>
                      <w:sz w:val="21"/>
                      <w:szCs w:val="21"/>
                    </w:rPr>
                    <w:t>号</w:t>
                  </w:r>
                </w:p>
              </w:tc>
            </w:tr>
            <w:tr w14:paraId="77C33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413D375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4</w:t>
                  </w:r>
                </w:p>
              </w:tc>
              <w:tc>
                <w:tcPr>
                  <w:tcW w:w="961" w:type="dxa"/>
                  <w:vAlign w:val="center"/>
                </w:tcPr>
                <w:p w14:paraId="37E36C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乐昌市瑛龙高精铸造有限公</w:t>
                  </w:r>
                </w:p>
                <w:p w14:paraId="6057A3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1246A8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66AF28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8E9053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10702.96</w:t>
                  </w:r>
                </w:p>
              </w:tc>
              <w:tc>
                <w:tcPr>
                  <w:tcW w:w="2053" w:type="dxa"/>
                  <w:vAlign w:val="center"/>
                </w:tcPr>
                <w:p w14:paraId="49CE8D6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年产机械设备类的机械设备</w:t>
                  </w:r>
                  <w:r>
                    <w:rPr>
                      <w:rFonts w:ascii="宋体" w:hAnsi="宋体" w:eastAsia="宋体" w:cs="宋体"/>
                      <w:color w:val="auto"/>
                      <w:spacing w:val="-17"/>
                      <w:sz w:val="21"/>
                      <w:szCs w:val="21"/>
                    </w:rPr>
                    <w:t xml:space="preserve"> </w:t>
                  </w:r>
                  <w:r>
                    <w:rPr>
                      <w:color w:val="auto"/>
                      <w:spacing w:val="-2"/>
                      <w:sz w:val="21"/>
                      <w:szCs w:val="21"/>
                    </w:rPr>
                    <w:t xml:space="preserve">1.1 </w:t>
                  </w:r>
                  <w:r>
                    <w:rPr>
                      <w:rFonts w:ascii="宋体" w:hAnsi="宋体" w:eastAsia="宋体" w:cs="宋体"/>
                      <w:color w:val="auto"/>
                      <w:spacing w:val="-2"/>
                      <w:sz w:val="21"/>
                      <w:szCs w:val="21"/>
                    </w:rPr>
                    <w:t>万吨</w:t>
                  </w:r>
                </w:p>
              </w:tc>
              <w:tc>
                <w:tcPr>
                  <w:tcW w:w="1878" w:type="dxa"/>
                  <w:vAlign w:val="center"/>
                </w:tcPr>
                <w:p w14:paraId="3748BA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]40</w:t>
                  </w:r>
                  <w:r>
                    <w:rPr>
                      <w:color w:val="auto"/>
                      <w:spacing w:val="24"/>
                      <w:sz w:val="21"/>
                      <w:szCs w:val="21"/>
                    </w:rPr>
                    <w:t xml:space="preserve"> </w:t>
                  </w:r>
                  <w:r>
                    <w:rPr>
                      <w:rFonts w:ascii="宋体" w:hAnsi="宋体" w:eastAsia="宋体" w:cs="宋体"/>
                      <w:color w:val="auto"/>
                      <w:spacing w:val="-2"/>
                      <w:sz w:val="21"/>
                      <w:szCs w:val="21"/>
                    </w:rPr>
                    <w:t>号</w:t>
                  </w:r>
                </w:p>
              </w:tc>
            </w:tr>
            <w:tr w14:paraId="76D53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7F4FB5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5</w:t>
                  </w:r>
                </w:p>
              </w:tc>
              <w:tc>
                <w:tcPr>
                  <w:tcW w:w="961" w:type="dxa"/>
                  <w:vAlign w:val="center"/>
                </w:tcPr>
                <w:p w14:paraId="02849A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乐昌市湘源金属制品有限公</w:t>
                  </w:r>
                </w:p>
                <w:p w14:paraId="7D03E5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8AAF9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DD0B2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C3A08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13339.8</w:t>
                  </w:r>
                </w:p>
              </w:tc>
              <w:tc>
                <w:tcPr>
                  <w:tcW w:w="2053" w:type="dxa"/>
                  <w:vAlign w:val="center"/>
                </w:tcPr>
                <w:p w14:paraId="7B9264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年产铸件</w:t>
                  </w:r>
                  <w:r>
                    <w:rPr>
                      <w:rFonts w:ascii="宋体" w:hAnsi="宋体" w:eastAsia="宋体" w:cs="宋体"/>
                      <w:color w:val="auto"/>
                      <w:spacing w:val="-29"/>
                      <w:sz w:val="21"/>
                      <w:szCs w:val="21"/>
                    </w:rPr>
                    <w:t xml:space="preserve"> </w:t>
                  </w:r>
                  <w:r>
                    <w:rPr>
                      <w:color w:val="auto"/>
                      <w:spacing w:val="-4"/>
                      <w:sz w:val="21"/>
                      <w:szCs w:val="21"/>
                    </w:rPr>
                    <w:t>11500</w:t>
                  </w:r>
                  <w:r>
                    <w:rPr>
                      <w:color w:val="auto"/>
                      <w:spacing w:val="18"/>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320461E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"bookmark206"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]43</w:t>
                  </w:r>
                  <w:r>
                    <w:rPr>
                      <w:color w:val="auto"/>
                      <w:spacing w:val="20"/>
                      <w:sz w:val="21"/>
                      <w:szCs w:val="21"/>
                    </w:rPr>
                    <w:t xml:space="preserve"> </w:t>
                  </w:r>
                  <w:r>
                    <w:rPr>
                      <w:rFonts w:ascii="宋体" w:hAnsi="宋体" w:eastAsia="宋体" w:cs="宋体"/>
                      <w:color w:val="auto"/>
                      <w:spacing w:val="-2"/>
                      <w:sz w:val="21"/>
                      <w:szCs w:val="21"/>
                    </w:rPr>
                    <w:t>号、韶环乐审</w:t>
                  </w: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13</w:t>
                  </w:r>
                  <w:r>
                    <w:rPr>
                      <w:color w:val="auto"/>
                      <w:spacing w:val="17"/>
                      <w:sz w:val="21"/>
                      <w:szCs w:val="21"/>
                    </w:rPr>
                    <w:t xml:space="preserve"> </w:t>
                  </w:r>
                  <w:r>
                    <w:rPr>
                      <w:rFonts w:ascii="宋体" w:hAnsi="宋体" w:eastAsia="宋体" w:cs="宋体"/>
                      <w:color w:val="auto"/>
                      <w:spacing w:val="-4"/>
                      <w:sz w:val="21"/>
                      <w:szCs w:val="21"/>
                    </w:rPr>
                    <w:t>号</w:t>
                  </w:r>
                </w:p>
              </w:tc>
            </w:tr>
            <w:tr w14:paraId="11664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50556F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6DEF1D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6</w:t>
                  </w:r>
                </w:p>
              </w:tc>
              <w:tc>
                <w:tcPr>
                  <w:tcW w:w="961" w:type="dxa"/>
                  <w:vAlign w:val="center"/>
                </w:tcPr>
                <w:p w14:paraId="50ED19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乐昌市钜宝科技制造有限公</w:t>
                  </w:r>
                </w:p>
                <w:p w14:paraId="18A3F5C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0F783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43BB6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金属制品业、通用</w:t>
                  </w:r>
                  <w:r>
                    <w:rPr>
                      <w:rFonts w:ascii="宋体" w:hAnsi="宋体" w:eastAsia="宋体" w:cs="宋体"/>
                      <w:color w:val="auto"/>
                      <w:spacing w:val="-2"/>
                      <w:sz w:val="21"/>
                      <w:szCs w:val="21"/>
                    </w:rPr>
                    <w:t>设备制造业</w:t>
                  </w:r>
                </w:p>
              </w:tc>
              <w:tc>
                <w:tcPr>
                  <w:tcW w:w="1140" w:type="dxa"/>
                  <w:vAlign w:val="center"/>
                </w:tcPr>
                <w:p w14:paraId="5BEBDBF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23539.9</w:t>
                  </w:r>
                </w:p>
              </w:tc>
              <w:tc>
                <w:tcPr>
                  <w:tcW w:w="2053" w:type="dxa"/>
                  <w:vAlign w:val="center"/>
                </w:tcPr>
                <w:p w14:paraId="4DA6A22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1"/>
                      <w:sz w:val="21"/>
                      <w:szCs w:val="21"/>
                    </w:rPr>
                    <w:t>年产户外家具</w:t>
                  </w:r>
                  <w:r>
                    <w:rPr>
                      <w:rFonts w:ascii="宋体" w:hAnsi="宋体" w:eastAsia="宋体" w:cs="宋体"/>
                      <w:color w:val="auto"/>
                      <w:spacing w:val="-45"/>
                      <w:sz w:val="21"/>
                      <w:szCs w:val="21"/>
                    </w:rPr>
                    <w:t xml:space="preserve"> </w:t>
                  </w:r>
                  <w:r>
                    <w:rPr>
                      <w:color w:val="auto"/>
                      <w:spacing w:val="-1"/>
                      <w:sz w:val="21"/>
                      <w:szCs w:val="21"/>
                    </w:rPr>
                    <w:t xml:space="preserve">49.8 </w:t>
                  </w:r>
                  <w:r>
                    <w:rPr>
                      <w:rFonts w:ascii="宋体" w:hAnsi="宋体" w:eastAsia="宋体" w:cs="宋体"/>
                      <w:color w:val="auto"/>
                      <w:spacing w:val="-1"/>
                      <w:sz w:val="21"/>
                      <w:szCs w:val="21"/>
                    </w:rPr>
                    <w:t>万件、水泵铸件</w:t>
                  </w:r>
                  <w:r>
                    <w:rPr>
                      <w:rFonts w:ascii="宋体" w:hAnsi="宋体" w:eastAsia="宋体" w:cs="宋体"/>
                      <w:color w:val="auto"/>
                      <w:spacing w:val="-43"/>
                      <w:sz w:val="21"/>
                      <w:szCs w:val="21"/>
                    </w:rPr>
                    <w:t xml:space="preserve"> </w:t>
                  </w:r>
                  <w:r>
                    <w:rPr>
                      <w:color w:val="auto"/>
                      <w:spacing w:val="-1"/>
                      <w:sz w:val="21"/>
                      <w:szCs w:val="21"/>
                    </w:rPr>
                    <w:t xml:space="preserve">6.52 </w:t>
                  </w:r>
                  <w:r>
                    <w:rPr>
                      <w:rFonts w:ascii="宋体" w:hAnsi="宋体" w:eastAsia="宋体" w:cs="宋体"/>
                      <w:color w:val="auto"/>
                      <w:spacing w:val="-1"/>
                      <w:sz w:val="21"/>
                      <w:szCs w:val="21"/>
                    </w:rPr>
                    <w:t>万件、铸铁烤网</w:t>
                  </w:r>
                  <w:r>
                    <w:rPr>
                      <w:rFonts w:ascii="宋体" w:hAnsi="宋体" w:eastAsia="宋体" w:cs="宋体"/>
                      <w:color w:val="auto"/>
                      <w:spacing w:val="-42"/>
                      <w:sz w:val="21"/>
                      <w:szCs w:val="21"/>
                    </w:rPr>
                    <w:t xml:space="preserve"> </w:t>
                  </w:r>
                  <w:r>
                    <w:rPr>
                      <w:color w:val="auto"/>
                      <w:spacing w:val="-1"/>
                      <w:sz w:val="21"/>
                      <w:szCs w:val="21"/>
                    </w:rPr>
                    <w:t>51</w:t>
                  </w:r>
                </w:p>
                <w:p w14:paraId="4E26E3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万件、铸铁发热板</w:t>
                  </w:r>
                  <w:r>
                    <w:rPr>
                      <w:rFonts w:ascii="宋体" w:hAnsi="宋体" w:eastAsia="宋体" w:cs="宋体"/>
                      <w:color w:val="auto"/>
                      <w:spacing w:val="-20"/>
                      <w:sz w:val="21"/>
                      <w:szCs w:val="21"/>
                    </w:rPr>
                    <w:t xml:space="preserve"> </w:t>
                  </w:r>
                  <w:r>
                    <w:rPr>
                      <w:color w:val="auto"/>
                      <w:spacing w:val="-5"/>
                      <w:sz w:val="21"/>
                      <w:szCs w:val="21"/>
                    </w:rPr>
                    <w:t xml:space="preserve">161 </w:t>
                  </w:r>
                  <w:r>
                    <w:rPr>
                      <w:rFonts w:ascii="宋体" w:hAnsi="宋体" w:eastAsia="宋体" w:cs="宋体"/>
                      <w:color w:val="auto"/>
                      <w:spacing w:val="-5"/>
                      <w:sz w:val="21"/>
                      <w:szCs w:val="21"/>
                    </w:rPr>
                    <w:t>万件、机加工铸铁件</w:t>
                  </w:r>
                  <w:r>
                    <w:rPr>
                      <w:rFonts w:ascii="宋体" w:hAnsi="宋体" w:eastAsia="宋体" w:cs="宋体"/>
                      <w:color w:val="auto"/>
                      <w:spacing w:val="-51"/>
                      <w:sz w:val="21"/>
                      <w:szCs w:val="21"/>
                    </w:rPr>
                    <w:t xml:space="preserve"> </w:t>
                  </w:r>
                  <w:r>
                    <w:rPr>
                      <w:color w:val="auto"/>
                      <w:spacing w:val="-5"/>
                      <w:sz w:val="21"/>
                      <w:szCs w:val="21"/>
                    </w:rPr>
                    <w:t>4000</w:t>
                  </w:r>
                  <w:r>
                    <w:rPr>
                      <w:color w:val="auto"/>
                      <w:spacing w:val="16"/>
                      <w:w w:val="101"/>
                      <w:sz w:val="21"/>
                      <w:szCs w:val="21"/>
                    </w:rPr>
                    <w:t xml:space="preserve"> </w:t>
                  </w:r>
                  <w:r>
                    <w:rPr>
                      <w:rFonts w:ascii="宋体" w:hAnsi="宋体" w:eastAsia="宋体" w:cs="宋体"/>
                      <w:color w:val="auto"/>
                      <w:spacing w:val="-5"/>
                      <w:sz w:val="21"/>
                      <w:szCs w:val="21"/>
                    </w:rPr>
                    <w:t>吨、喷粉铸</w:t>
                  </w:r>
                </w:p>
                <w:p w14:paraId="50006D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铁件</w:t>
                  </w:r>
                  <w:r>
                    <w:rPr>
                      <w:rFonts w:ascii="宋体" w:hAnsi="宋体" w:eastAsia="宋体" w:cs="宋体"/>
                      <w:color w:val="auto"/>
                      <w:spacing w:val="-28"/>
                      <w:sz w:val="21"/>
                      <w:szCs w:val="21"/>
                    </w:rPr>
                    <w:t xml:space="preserve"> </w:t>
                  </w:r>
                  <w:r>
                    <w:rPr>
                      <w:color w:val="auto"/>
                      <w:spacing w:val="-4"/>
                      <w:sz w:val="21"/>
                      <w:szCs w:val="21"/>
                    </w:rPr>
                    <w:t>1000</w:t>
                  </w:r>
                  <w:r>
                    <w:rPr>
                      <w:color w:val="auto"/>
                      <w:spacing w:val="16"/>
                      <w:sz w:val="21"/>
                      <w:szCs w:val="21"/>
                    </w:rPr>
                    <w:t xml:space="preserve"> </w:t>
                  </w:r>
                  <w:r>
                    <w:rPr>
                      <w:rFonts w:ascii="宋体" w:hAnsi="宋体" w:eastAsia="宋体" w:cs="宋体"/>
                      <w:color w:val="auto"/>
                      <w:spacing w:val="-4"/>
                      <w:sz w:val="21"/>
                      <w:szCs w:val="21"/>
                    </w:rPr>
                    <w:t>吨、搪瓷铸铁件</w:t>
                  </w:r>
                  <w:r>
                    <w:rPr>
                      <w:rFonts w:ascii="宋体" w:hAnsi="宋体" w:eastAsia="宋体" w:cs="宋体"/>
                      <w:color w:val="auto"/>
                      <w:spacing w:val="-27"/>
                      <w:sz w:val="21"/>
                      <w:szCs w:val="21"/>
                    </w:rPr>
                    <w:t xml:space="preserve"> </w:t>
                  </w:r>
                  <w:r>
                    <w:rPr>
                      <w:color w:val="auto"/>
                      <w:spacing w:val="-4"/>
                      <w:sz w:val="21"/>
                      <w:szCs w:val="21"/>
                    </w:rPr>
                    <w:t>1000</w:t>
                  </w:r>
                  <w:r>
                    <w:rPr>
                      <w:color w:val="auto"/>
                      <w:spacing w:val="18"/>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775BAB9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]47</w:t>
                  </w:r>
                  <w:r>
                    <w:rPr>
                      <w:color w:val="auto"/>
                      <w:spacing w:val="20"/>
                      <w:sz w:val="21"/>
                      <w:szCs w:val="21"/>
                    </w:rPr>
                    <w:t xml:space="preserve"> </w:t>
                  </w:r>
                  <w:r>
                    <w:rPr>
                      <w:rFonts w:ascii="宋体" w:hAnsi="宋体" w:eastAsia="宋体" w:cs="宋体"/>
                      <w:color w:val="auto"/>
                      <w:spacing w:val="-2"/>
                      <w:sz w:val="21"/>
                      <w:szCs w:val="21"/>
                    </w:rPr>
                    <w:t>号、韶环乐审</w:t>
                  </w:r>
                </w:p>
                <w:p w14:paraId="5BC7417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"bookmark208" </w:instrText>
                  </w:r>
                  <w:r>
                    <w:rPr>
                      <w:color w:val="auto"/>
                      <w:sz w:val="21"/>
                      <w:szCs w:val="21"/>
                    </w:rPr>
                    <w:fldChar w:fldCharType="separate"/>
                  </w:r>
                  <w:r>
                    <w:rPr>
                      <w:color w:val="auto"/>
                      <w:spacing w:val="-2"/>
                      <w:sz w:val="21"/>
                      <w:szCs w:val="21"/>
                    </w:rPr>
                    <w:t>2021</w:t>
                  </w:r>
                  <w:r>
                    <w:rPr>
                      <w:color w:val="auto"/>
                      <w:spacing w:val="-2"/>
                      <w:sz w:val="21"/>
                      <w:szCs w:val="21"/>
                    </w:rPr>
                    <w:fldChar w:fldCharType="end"/>
                  </w:r>
                  <w:r>
                    <w:rPr>
                      <w:color w:val="auto"/>
                      <w:spacing w:val="-2"/>
                      <w:sz w:val="21"/>
                      <w:szCs w:val="21"/>
                    </w:rPr>
                    <w:t>]30</w:t>
                  </w:r>
                  <w:r>
                    <w:rPr>
                      <w:color w:val="auto"/>
                      <w:spacing w:val="13"/>
                      <w:w w:val="101"/>
                      <w:sz w:val="21"/>
                      <w:szCs w:val="21"/>
                    </w:rPr>
                    <w:t xml:space="preserve"> </w:t>
                  </w:r>
                  <w:r>
                    <w:rPr>
                      <w:rFonts w:ascii="宋体" w:hAnsi="宋体" w:eastAsia="宋体" w:cs="宋体"/>
                      <w:color w:val="auto"/>
                      <w:spacing w:val="-2"/>
                      <w:sz w:val="21"/>
                      <w:szCs w:val="21"/>
                    </w:rPr>
                    <w:t>号</w:t>
                  </w:r>
                </w:p>
              </w:tc>
            </w:tr>
            <w:tr w14:paraId="328DB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371D6C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7</w:t>
                  </w:r>
                </w:p>
              </w:tc>
              <w:tc>
                <w:tcPr>
                  <w:tcW w:w="961" w:type="dxa"/>
                  <w:vAlign w:val="center"/>
                </w:tcPr>
                <w:p w14:paraId="2CBFDB5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乐昌胜旗精工科技有限公司</w:t>
                  </w:r>
                </w:p>
              </w:tc>
              <w:tc>
                <w:tcPr>
                  <w:tcW w:w="600" w:type="dxa"/>
                  <w:vAlign w:val="center"/>
                </w:tcPr>
                <w:p w14:paraId="53BFA4C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76A28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0AAE9F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13322</w:t>
                  </w:r>
                </w:p>
              </w:tc>
              <w:tc>
                <w:tcPr>
                  <w:tcW w:w="2053" w:type="dxa"/>
                  <w:vAlign w:val="center"/>
                </w:tcPr>
                <w:p w14:paraId="4D529F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年产炉架</w:t>
                  </w:r>
                  <w:r>
                    <w:rPr>
                      <w:rFonts w:ascii="宋体" w:hAnsi="宋体" w:eastAsia="宋体" w:cs="宋体"/>
                      <w:color w:val="auto"/>
                      <w:spacing w:val="-24"/>
                      <w:sz w:val="21"/>
                      <w:szCs w:val="21"/>
                    </w:rPr>
                    <w:t xml:space="preserve"> </w:t>
                  </w:r>
                  <w:r>
                    <w:rPr>
                      <w:color w:val="auto"/>
                      <w:spacing w:val="-5"/>
                      <w:sz w:val="21"/>
                      <w:szCs w:val="21"/>
                    </w:rPr>
                    <w:t>10</w:t>
                  </w:r>
                  <w:r>
                    <w:rPr>
                      <w:color w:val="auto"/>
                      <w:spacing w:val="14"/>
                      <w:sz w:val="21"/>
                      <w:szCs w:val="21"/>
                    </w:rPr>
                    <w:t xml:space="preserve"> </w:t>
                  </w:r>
                  <w:r>
                    <w:rPr>
                      <w:rFonts w:ascii="宋体" w:hAnsi="宋体" w:eastAsia="宋体" w:cs="宋体"/>
                      <w:color w:val="auto"/>
                      <w:spacing w:val="-5"/>
                      <w:sz w:val="21"/>
                      <w:szCs w:val="21"/>
                    </w:rPr>
                    <w:t>万件、炉排、炉头、家具件、机械件、减速机波</w:t>
                  </w:r>
                </w:p>
                <w:p w14:paraId="29C24DB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箱各</w:t>
                  </w:r>
                  <w:r>
                    <w:rPr>
                      <w:rFonts w:ascii="宋体" w:hAnsi="宋体" w:eastAsia="宋体" w:cs="宋体"/>
                      <w:color w:val="auto"/>
                      <w:spacing w:val="-38"/>
                      <w:sz w:val="21"/>
                      <w:szCs w:val="21"/>
                    </w:rPr>
                    <w:t xml:space="preserve"> </w:t>
                  </w:r>
                  <w:r>
                    <w:rPr>
                      <w:color w:val="auto"/>
                      <w:spacing w:val="-3"/>
                      <w:sz w:val="21"/>
                      <w:szCs w:val="21"/>
                    </w:rPr>
                    <w:t xml:space="preserve">5 </w:t>
                  </w:r>
                  <w:r>
                    <w:rPr>
                      <w:rFonts w:ascii="宋体" w:hAnsi="宋体" w:eastAsia="宋体" w:cs="宋体"/>
                      <w:color w:val="auto"/>
                      <w:spacing w:val="-3"/>
                      <w:sz w:val="21"/>
                      <w:szCs w:val="21"/>
                    </w:rPr>
                    <w:t>万件、发热盘</w:t>
                  </w:r>
                  <w:r>
                    <w:rPr>
                      <w:rFonts w:ascii="宋体" w:hAnsi="宋体" w:eastAsia="宋体" w:cs="宋体"/>
                      <w:color w:val="auto"/>
                      <w:spacing w:val="-44"/>
                      <w:sz w:val="21"/>
                      <w:szCs w:val="21"/>
                    </w:rPr>
                    <w:t xml:space="preserve"> </w:t>
                  </w:r>
                  <w:r>
                    <w:rPr>
                      <w:color w:val="auto"/>
                      <w:spacing w:val="-3"/>
                      <w:sz w:val="21"/>
                      <w:szCs w:val="21"/>
                    </w:rPr>
                    <w:t>3</w:t>
                  </w:r>
                  <w:r>
                    <w:rPr>
                      <w:color w:val="auto"/>
                      <w:spacing w:val="14"/>
                      <w:w w:val="101"/>
                      <w:sz w:val="21"/>
                      <w:szCs w:val="21"/>
                    </w:rPr>
                    <w:t xml:space="preserve"> </w:t>
                  </w:r>
                  <w:r>
                    <w:rPr>
                      <w:rFonts w:ascii="宋体" w:hAnsi="宋体" w:eastAsia="宋体" w:cs="宋体"/>
                      <w:color w:val="auto"/>
                      <w:spacing w:val="-3"/>
                      <w:sz w:val="21"/>
                      <w:szCs w:val="21"/>
                    </w:rPr>
                    <w:t>万件</w:t>
                  </w:r>
                </w:p>
              </w:tc>
              <w:tc>
                <w:tcPr>
                  <w:tcW w:w="1878" w:type="dxa"/>
                  <w:vAlign w:val="center"/>
                </w:tcPr>
                <w:p w14:paraId="1D1F20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"bookmark209"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]44</w:t>
                  </w:r>
                  <w:r>
                    <w:rPr>
                      <w:color w:val="auto"/>
                      <w:spacing w:val="24"/>
                      <w:sz w:val="21"/>
                      <w:szCs w:val="21"/>
                    </w:rPr>
                    <w:t xml:space="preserve"> </w:t>
                  </w:r>
                  <w:r>
                    <w:rPr>
                      <w:rFonts w:ascii="宋体" w:hAnsi="宋体" w:eastAsia="宋体" w:cs="宋体"/>
                      <w:color w:val="auto"/>
                      <w:spacing w:val="-2"/>
                      <w:sz w:val="21"/>
                      <w:szCs w:val="21"/>
                    </w:rPr>
                    <w:t>号</w:t>
                  </w:r>
                </w:p>
              </w:tc>
            </w:tr>
            <w:tr w14:paraId="569237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3CD71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8</w:t>
                  </w:r>
                </w:p>
              </w:tc>
              <w:tc>
                <w:tcPr>
                  <w:tcW w:w="961" w:type="dxa"/>
                  <w:vAlign w:val="center"/>
                </w:tcPr>
                <w:p w14:paraId="390E4F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乐昌市钜烽机械制造有限公</w:t>
                  </w:r>
                </w:p>
                <w:p w14:paraId="422399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497ACD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4B32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66FFD6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280BD6D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年产机械铸件</w:t>
                  </w:r>
                  <w:r>
                    <w:rPr>
                      <w:rFonts w:ascii="宋体" w:hAnsi="宋体" w:eastAsia="宋体" w:cs="宋体"/>
                      <w:color w:val="auto"/>
                      <w:spacing w:val="-24"/>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万吨</w:t>
                  </w:r>
                </w:p>
              </w:tc>
              <w:tc>
                <w:tcPr>
                  <w:tcW w:w="1878" w:type="dxa"/>
                  <w:vAlign w:val="center"/>
                </w:tcPr>
                <w:p w14:paraId="76187EB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"bookmark210"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]41</w:t>
                  </w:r>
                  <w:r>
                    <w:rPr>
                      <w:color w:val="auto"/>
                      <w:spacing w:val="24"/>
                      <w:sz w:val="21"/>
                      <w:szCs w:val="21"/>
                    </w:rPr>
                    <w:t xml:space="preserve"> </w:t>
                  </w:r>
                  <w:r>
                    <w:rPr>
                      <w:rFonts w:ascii="宋体" w:hAnsi="宋体" w:eastAsia="宋体" w:cs="宋体"/>
                      <w:color w:val="auto"/>
                      <w:spacing w:val="-2"/>
                      <w:sz w:val="21"/>
                      <w:szCs w:val="21"/>
                    </w:rPr>
                    <w:t>号</w:t>
                  </w:r>
                </w:p>
              </w:tc>
            </w:tr>
            <w:tr w14:paraId="186DC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7C9F4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z w:val="21"/>
                      <w:szCs w:val="21"/>
                    </w:rPr>
                    <w:t>9</w:t>
                  </w:r>
                </w:p>
              </w:tc>
              <w:tc>
                <w:tcPr>
                  <w:tcW w:w="961" w:type="dxa"/>
                  <w:vAlign w:val="center"/>
                </w:tcPr>
                <w:p w14:paraId="6A2A9F3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乐昌市金利华机械制造有限</w:t>
                  </w:r>
                </w:p>
                <w:p w14:paraId="1951DC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595FFF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7C6BC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1E0236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5212446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年产食品机械铸件</w:t>
                  </w:r>
                  <w:r>
                    <w:rPr>
                      <w:rFonts w:ascii="宋体" w:hAnsi="宋体" w:eastAsia="宋体" w:cs="宋体"/>
                      <w:color w:val="auto"/>
                      <w:spacing w:val="-18"/>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万件</w:t>
                  </w:r>
                </w:p>
              </w:tc>
              <w:tc>
                <w:tcPr>
                  <w:tcW w:w="1878" w:type="dxa"/>
                  <w:vAlign w:val="center"/>
                </w:tcPr>
                <w:p w14:paraId="0159FD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"bookmark211"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]42</w:t>
                  </w:r>
                  <w:r>
                    <w:rPr>
                      <w:color w:val="auto"/>
                      <w:spacing w:val="24"/>
                      <w:sz w:val="21"/>
                      <w:szCs w:val="21"/>
                    </w:rPr>
                    <w:t xml:space="preserve"> </w:t>
                  </w:r>
                  <w:r>
                    <w:rPr>
                      <w:rFonts w:ascii="宋体" w:hAnsi="宋体" w:eastAsia="宋体" w:cs="宋体"/>
                      <w:color w:val="auto"/>
                      <w:spacing w:val="-2"/>
                      <w:sz w:val="21"/>
                      <w:szCs w:val="21"/>
                    </w:rPr>
                    <w:t>号</w:t>
                  </w:r>
                </w:p>
              </w:tc>
            </w:tr>
            <w:tr w14:paraId="4F031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B3C2E9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w:t>
                  </w:r>
                </w:p>
              </w:tc>
              <w:tc>
                <w:tcPr>
                  <w:tcW w:w="961" w:type="dxa"/>
                  <w:vAlign w:val="center"/>
                </w:tcPr>
                <w:p w14:paraId="273D96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乐昌市宏信精工制造有限公</w:t>
                  </w:r>
                </w:p>
                <w:p w14:paraId="395E9D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088BAF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A5B523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6D84E4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10000</w:t>
                  </w:r>
                </w:p>
              </w:tc>
              <w:tc>
                <w:tcPr>
                  <w:tcW w:w="2053" w:type="dxa"/>
                  <w:vAlign w:val="center"/>
                </w:tcPr>
                <w:p w14:paraId="5B842FB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年产球墨模具、零件</w:t>
                  </w:r>
                  <w:r>
                    <w:rPr>
                      <w:rFonts w:ascii="宋体" w:hAnsi="宋体" w:eastAsia="宋体" w:cs="宋体"/>
                      <w:color w:val="auto"/>
                      <w:spacing w:val="-33"/>
                      <w:sz w:val="21"/>
                      <w:szCs w:val="21"/>
                    </w:rPr>
                    <w:t xml:space="preserve"> </w:t>
                  </w:r>
                  <w:r>
                    <w:rPr>
                      <w:color w:val="auto"/>
                      <w:spacing w:val="-2"/>
                      <w:sz w:val="21"/>
                      <w:szCs w:val="21"/>
                    </w:rPr>
                    <w:t>4000</w:t>
                  </w:r>
                  <w:r>
                    <w:rPr>
                      <w:color w:val="auto"/>
                      <w:spacing w:val="16"/>
                      <w:w w:val="101"/>
                      <w:sz w:val="21"/>
                      <w:szCs w:val="21"/>
                    </w:rPr>
                    <w:t xml:space="preserve"> </w:t>
                  </w:r>
                  <w:r>
                    <w:rPr>
                      <w:rFonts w:ascii="宋体" w:hAnsi="宋体" w:eastAsia="宋体" w:cs="宋体"/>
                      <w:color w:val="auto"/>
                      <w:spacing w:val="-2"/>
                      <w:sz w:val="21"/>
                      <w:szCs w:val="21"/>
                    </w:rPr>
                    <w:t>吨、灰口模具、零件</w:t>
                  </w:r>
                  <w:r>
                    <w:rPr>
                      <w:rFonts w:ascii="宋体" w:hAnsi="宋体" w:eastAsia="宋体" w:cs="宋体"/>
                      <w:color w:val="auto"/>
                      <w:spacing w:val="-44"/>
                      <w:sz w:val="21"/>
                      <w:szCs w:val="21"/>
                    </w:rPr>
                    <w:t xml:space="preserve"> </w:t>
                  </w:r>
                  <w:r>
                    <w:rPr>
                      <w:color w:val="auto"/>
                      <w:spacing w:val="-2"/>
                      <w:sz w:val="21"/>
                      <w:szCs w:val="21"/>
                    </w:rPr>
                    <w:t>6000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6DC103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"bookmark212"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]39</w:t>
                  </w:r>
                  <w:r>
                    <w:rPr>
                      <w:color w:val="auto"/>
                      <w:spacing w:val="20"/>
                      <w:sz w:val="21"/>
                      <w:szCs w:val="21"/>
                    </w:rPr>
                    <w:t xml:space="preserve"> </w:t>
                  </w:r>
                  <w:r>
                    <w:rPr>
                      <w:rFonts w:ascii="宋体" w:hAnsi="宋体" w:eastAsia="宋体" w:cs="宋体"/>
                      <w:color w:val="auto"/>
                      <w:spacing w:val="-2"/>
                      <w:sz w:val="21"/>
                      <w:szCs w:val="21"/>
                    </w:rPr>
                    <w:t>号、韶环乐审</w:t>
                  </w:r>
                </w:p>
                <w:p w14:paraId="777DD83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"bookmark213" </w:instrText>
                  </w:r>
                  <w:r>
                    <w:rPr>
                      <w:color w:val="auto"/>
                      <w:sz w:val="21"/>
                      <w:szCs w:val="21"/>
                    </w:rPr>
                    <w:fldChar w:fldCharType="separate"/>
                  </w:r>
                  <w:r>
                    <w:rPr>
                      <w:color w:val="auto"/>
                      <w:spacing w:val="-2"/>
                      <w:sz w:val="21"/>
                      <w:szCs w:val="21"/>
                    </w:rPr>
                    <w:t>2022</w:t>
                  </w:r>
                  <w:r>
                    <w:rPr>
                      <w:color w:val="auto"/>
                      <w:spacing w:val="-2"/>
                      <w:sz w:val="21"/>
                      <w:szCs w:val="21"/>
                    </w:rPr>
                    <w:fldChar w:fldCharType="end"/>
                  </w:r>
                  <w:r>
                    <w:rPr>
                      <w:color w:val="auto"/>
                      <w:spacing w:val="-2"/>
                      <w:sz w:val="21"/>
                      <w:szCs w:val="21"/>
                    </w:rPr>
                    <w:t>]23</w:t>
                  </w:r>
                  <w:r>
                    <w:rPr>
                      <w:color w:val="auto"/>
                      <w:spacing w:val="13"/>
                      <w:w w:val="101"/>
                      <w:sz w:val="21"/>
                      <w:szCs w:val="21"/>
                    </w:rPr>
                    <w:t xml:space="preserve"> </w:t>
                  </w:r>
                  <w:r>
                    <w:rPr>
                      <w:rFonts w:ascii="宋体" w:hAnsi="宋体" w:eastAsia="宋体" w:cs="宋体"/>
                      <w:color w:val="auto"/>
                      <w:spacing w:val="-2"/>
                      <w:sz w:val="21"/>
                      <w:szCs w:val="21"/>
                    </w:rPr>
                    <w:t>号</w:t>
                  </w:r>
                </w:p>
              </w:tc>
            </w:tr>
            <w:tr w14:paraId="5285A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FD77F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8"/>
                      <w:sz w:val="21"/>
                      <w:szCs w:val="21"/>
                    </w:rPr>
                    <w:t>11</w:t>
                  </w:r>
                </w:p>
              </w:tc>
              <w:tc>
                <w:tcPr>
                  <w:tcW w:w="961" w:type="dxa"/>
                  <w:vAlign w:val="center"/>
                </w:tcPr>
                <w:p w14:paraId="781E2B8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乐昌市金来得实业有限公司</w:t>
                  </w:r>
                </w:p>
              </w:tc>
              <w:tc>
                <w:tcPr>
                  <w:tcW w:w="600" w:type="dxa"/>
                  <w:vAlign w:val="center"/>
                </w:tcPr>
                <w:p w14:paraId="696D9D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57C50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橡胶和塑料制品业、家具制造业</w:t>
                  </w:r>
                </w:p>
              </w:tc>
              <w:tc>
                <w:tcPr>
                  <w:tcW w:w="1140" w:type="dxa"/>
                  <w:vAlign w:val="center"/>
                </w:tcPr>
                <w:p w14:paraId="5FF2B40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23018.4</w:t>
                  </w:r>
                </w:p>
              </w:tc>
              <w:tc>
                <w:tcPr>
                  <w:tcW w:w="2053" w:type="dxa"/>
                  <w:vAlign w:val="center"/>
                </w:tcPr>
                <w:p w14:paraId="3C2BE8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年产卫浴、衣柜</w:t>
                  </w:r>
                  <w:r>
                    <w:rPr>
                      <w:rFonts w:ascii="宋体" w:hAnsi="宋体" w:eastAsia="宋体" w:cs="宋体"/>
                      <w:color w:val="auto"/>
                      <w:spacing w:val="-28"/>
                      <w:sz w:val="21"/>
                      <w:szCs w:val="21"/>
                    </w:rPr>
                    <w:t xml:space="preserve"> </w:t>
                  </w:r>
                  <w:r>
                    <w:rPr>
                      <w:color w:val="auto"/>
                      <w:spacing w:val="-1"/>
                      <w:sz w:val="21"/>
                      <w:szCs w:val="21"/>
                    </w:rPr>
                    <w:t xml:space="preserve">1.6 </w:t>
                  </w:r>
                  <w:r>
                    <w:rPr>
                      <w:rFonts w:ascii="宋体" w:hAnsi="宋体" w:eastAsia="宋体" w:cs="宋体"/>
                      <w:color w:val="auto"/>
                      <w:spacing w:val="-1"/>
                      <w:sz w:val="21"/>
                      <w:szCs w:val="21"/>
                    </w:rPr>
                    <w:t>万套；聚乙烯高分子材料</w:t>
                  </w:r>
                  <w:r>
                    <w:rPr>
                      <w:rFonts w:ascii="宋体" w:hAnsi="宋体" w:eastAsia="宋体" w:cs="宋体"/>
                      <w:color w:val="auto"/>
                      <w:spacing w:val="-49"/>
                      <w:sz w:val="21"/>
                      <w:szCs w:val="21"/>
                    </w:rPr>
                    <w:t xml:space="preserve"> </w:t>
                  </w:r>
                  <w:r>
                    <w:rPr>
                      <w:color w:val="auto"/>
                      <w:spacing w:val="-1"/>
                      <w:sz w:val="21"/>
                      <w:szCs w:val="21"/>
                    </w:rPr>
                    <w:t xml:space="preserve">4.8 </w:t>
                  </w:r>
                  <w:r>
                    <w:rPr>
                      <w:rFonts w:ascii="宋体" w:hAnsi="宋体" w:eastAsia="宋体" w:cs="宋体"/>
                      <w:color w:val="auto"/>
                      <w:spacing w:val="-1"/>
                      <w:sz w:val="21"/>
                      <w:szCs w:val="21"/>
                    </w:rPr>
                    <w:t>万</w:t>
                  </w:r>
                  <w:r>
                    <w:rPr>
                      <w:rFonts w:ascii="宋体" w:hAnsi="宋体" w:eastAsia="宋体" w:cs="宋体"/>
                      <w:color w:val="auto"/>
                      <w:spacing w:val="-2"/>
                      <w:sz w:val="21"/>
                      <w:szCs w:val="21"/>
                    </w:rPr>
                    <w:t>立方米</w:t>
                  </w:r>
                </w:p>
              </w:tc>
              <w:tc>
                <w:tcPr>
                  <w:tcW w:w="1878" w:type="dxa"/>
                  <w:vAlign w:val="center"/>
                </w:tcPr>
                <w:p w14:paraId="7ADF22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乐环审</w:t>
                  </w:r>
                  <w:r>
                    <w:rPr>
                      <w:color w:val="auto"/>
                      <w:spacing w:val="-13"/>
                      <w:sz w:val="21"/>
                      <w:szCs w:val="21"/>
                    </w:rPr>
                    <w:t>[</w:t>
                  </w:r>
                  <w:r>
                    <w:rPr>
                      <w:color w:val="auto"/>
                      <w:sz w:val="21"/>
                      <w:szCs w:val="21"/>
                    </w:rPr>
                    <w:fldChar w:fldCharType="begin"/>
                  </w:r>
                  <w:r>
                    <w:rPr>
                      <w:color w:val="auto"/>
                      <w:sz w:val="21"/>
                      <w:szCs w:val="21"/>
                    </w:rPr>
                    <w:instrText xml:space="preserve"> HYPERLINK \l "bookmark214" </w:instrText>
                  </w:r>
                  <w:r>
                    <w:rPr>
                      <w:color w:val="auto"/>
                      <w:sz w:val="21"/>
                      <w:szCs w:val="21"/>
                    </w:rPr>
                    <w:fldChar w:fldCharType="separate"/>
                  </w:r>
                  <w:r>
                    <w:rPr>
                      <w:color w:val="auto"/>
                      <w:spacing w:val="-13"/>
                      <w:sz w:val="21"/>
                      <w:szCs w:val="21"/>
                    </w:rPr>
                    <w:t>2018</w:t>
                  </w:r>
                  <w:r>
                    <w:rPr>
                      <w:color w:val="auto"/>
                      <w:spacing w:val="-13"/>
                      <w:sz w:val="21"/>
                      <w:szCs w:val="21"/>
                    </w:rPr>
                    <w:fldChar w:fldCharType="end"/>
                  </w:r>
                  <w:r>
                    <w:rPr>
                      <w:color w:val="auto"/>
                      <w:spacing w:val="-13"/>
                      <w:sz w:val="21"/>
                      <w:szCs w:val="21"/>
                    </w:rPr>
                    <w:t>]03</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2020</w:t>
                  </w:r>
                  <w:r>
                    <w:rPr>
                      <w:rFonts w:ascii="宋体" w:hAnsi="宋体" w:eastAsia="宋体" w:cs="宋体"/>
                      <w:color w:val="auto"/>
                      <w:spacing w:val="-13"/>
                      <w:sz w:val="21"/>
                      <w:szCs w:val="21"/>
                    </w:rPr>
                    <w:t>〕</w:t>
                  </w:r>
                </w:p>
                <w:p w14:paraId="79B8B37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8"/>
                      <w:sz w:val="21"/>
                      <w:szCs w:val="21"/>
                    </w:rPr>
                    <w:t>14</w:t>
                  </w:r>
                  <w:r>
                    <w:rPr>
                      <w:color w:val="auto"/>
                      <w:spacing w:val="13"/>
                      <w:w w:val="101"/>
                      <w:sz w:val="21"/>
                      <w:szCs w:val="21"/>
                    </w:rPr>
                    <w:t xml:space="preserve"> </w:t>
                  </w:r>
                  <w:r>
                    <w:rPr>
                      <w:rFonts w:ascii="宋体" w:hAnsi="宋体" w:eastAsia="宋体" w:cs="宋体"/>
                      <w:color w:val="auto"/>
                      <w:spacing w:val="-8"/>
                      <w:sz w:val="21"/>
                      <w:szCs w:val="21"/>
                    </w:rPr>
                    <w:t>号</w:t>
                  </w:r>
                </w:p>
              </w:tc>
            </w:tr>
            <w:tr w14:paraId="425F0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11" w:type="dxa"/>
                  <w:vAlign w:val="center"/>
                </w:tcPr>
                <w:p w14:paraId="3EBE8A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DC7DB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12</w:t>
                  </w:r>
                </w:p>
              </w:tc>
              <w:tc>
                <w:tcPr>
                  <w:tcW w:w="961" w:type="dxa"/>
                  <w:vAlign w:val="center"/>
                </w:tcPr>
                <w:p w14:paraId="0EC1BFA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广东沃府实业有限公司</w:t>
                  </w:r>
                </w:p>
              </w:tc>
              <w:tc>
                <w:tcPr>
                  <w:tcW w:w="600" w:type="dxa"/>
                  <w:vAlign w:val="center"/>
                </w:tcPr>
                <w:p w14:paraId="56640A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92175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190CB4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0AF903A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6C62EC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73337</w:t>
                  </w:r>
                </w:p>
              </w:tc>
              <w:tc>
                <w:tcPr>
                  <w:tcW w:w="2053" w:type="dxa"/>
                  <w:vAlign w:val="center"/>
                </w:tcPr>
                <w:p w14:paraId="4FD0C1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年产改性塑料</w:t>
                  </w:r>
                  <w:r>
                    <w:rPr>
                      <w:rFonts w:ascii="宋体" w:hAnsi="宋体" w:eastAsia="宋体" w:cs="宋体"/>
                      <w:color w:val="auto"/>
                      <w:spacing w:val="-23"/>
                      <w:sz w:val="21"/>
                      <w:szCs w:val="21"/>
                    </w:rPr>
                    <w:t xml:space="preserve"> </w:t>
                  </w:r>
                  <w:r>
                    <w:rPr>
                      <w:color w:val="auto"/>
                      <w:sz w:val="21"/>
                      <w:szCs w:val="21"/>
                    </w:rPr>
                    <w:t>10</w:t>
                  </w:r>
                  <w:r>
                    <w:rPr>
                      <w:color w:val="auto"/>
                      <w:spacing w:val="14"/>
                      <w:sz w:val="21"/>
                      <w:szCs w:val="21"/>
                    </w:rPr>
                    <w:t xml:space="preserve"> </w:t>
                  </w:r>
                  <w:r>
                    <w:rPr>
                      <w:rFonts w:ascii="宋体" w:hAnsi="宋体" w:eastAsia="宋体" w:cs="宋体"/>
                      <w:color w:val="auto"/>
                      <w:sz w:val="21"/>
                      <w:szCs w:val="21"/>
                    </w:rPr>
                    <w:t>万吨、家电塑料配件</w:t>
                  </w:r>
                  <w:r>
                    <w:rPr>
                      <w:color w:val="auto"/>
                      <w:sz w:val="21"/>
                      <w:szCs w:val="21"/>
                    </w:rPr>
                    <w:t>2000</w:t>
                  </w:r>
                  <w:r>
                    <w:rPr>
                      <w:color w:val="auto"/>
                      <w:spacing w:val="18"/>
                      <w:w w:val="101"/>
                      <w:sz w:val="21"/>
                      <w:szCs w:val="21"/>
                    </w:rPr>
                    <w:t xml:space="preserve"> </w:t>
                  </w:r>
                  <w:r>
                    <w:rPr>
                      <w:rFonts w:ascii="宋体" w:hAnsi="宋体" w:eastAsia="宋体" w:cs="宋体"/>
                      <w:color w:val="auto"/>
                      <w:sz w:val="21"/>
                      <w:szCs w:val="21"/>
                    </w:rPr>
                    <w:t>吨</w:t>
                  </w:r>
                </w:p>
              </w:tc>
              <w:tc>
                <w:tcPr>
                  <w:tcW w:w="1878" w:type="dxa"/>
                  <w:vAlign w:val="center"/>
                </w:tcPr>
                <w:p w14:paraId="194C8C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韶环审</w:t>
                  </w:r>
                  <w:r>
                    <w:rPr>
                      <w:color w:val="auto"/>
                      <w:spacing w:val="-2"/>
                      <w:sz w:val="21"/>
                      <w:szCs w:val="21"/>
                    </w:rPr>
                    <w:t>[</w:t>
                  </w:r>
                  <w:r>
                    <w:rPr>
                      <w:color w:val="auto"/>
                      <w:sz w:val="21"/>
                      <w:szCs w:val="21"/>
                    </w:rPr>
                    <w:fldChar w:fldCharType="begin"/>
                  </w:r>
                  <w:r>
                    <w:rPr>
                      <w:color w:val="auto"/>
                      <w:sz w:val="21"/>
                      <w:szCs w:val="21"/>
                    </w:rPr>
                    <w:instrText xml:space="preserve"> HYPERLINK \l "bookmark215"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w:t>
                  </w:r>
                  <w:r>
                    <w:rPr>
                      <w:color w:val="auto"/>
                      <w:spacing w:val="-24"/>
                      <w:sz w:val="21"/>
                      <w:szCs w:val="21"/>
                    </w:rPr>
                    <w:t xml:space="preserve"> </w:t>
                  </w:r>
                  <w:r>
                    <w:rPr>
                      <w:color w:val="auto"/>
                      <w:spacing w:val="-2"/>
                      <w:sz w:val="21"/>
                      <w:szCs w:val="21"/>
                    </w:rPr>
                    <w:t xml:space="preserve">177 </w:t>
                  </w:r>
                  <w:r>
                    <w:rPr>
                      <w:rFonts w:ascii="宋体" w:hAnsi="宋体" w:eastAsia="宋体" w:cs="宋体"/>
                      <w:color w:val="auto"/>
                      <w:spacing w:val="-2"/>
                      <w:sz w:val="21"/>
                      <w:szCs w:val="21"/>
                    </w:rPr>
                    <w:t>号、乐环审</w:t>
                  </w:r>
                  <w:r>
                    <w:rPr>
                      <w:rFonts w:ascii="宋体" w:hAnsi="宋体" w:eastAsia="宋体" w:cs="宋体"/>
                      <w:color w:val="auto"/>
                      <w:spacing w:val="-8"/>
                      <w:sz w:val="21"/>
                      <w:szCs w:val="21"/>
                    </w:rPr>
                    <w:t>〔</w:t>
                  </w:r>
                  <w:r>
                    <w:rPr>
                      <w:color w:val="auto"/>
                      <w:spacing w:val="-8"/>
                      <w:sz w:val="21"/>
                      <w:szCs w:val="21"/>
                    </w:rPr>
                    <w:t>2021</w:t>
                  </w:r>
                  <w:r>
                    <w:rPr>
                      <w:rFonts w:ascii="宋体" w:hAnsi="宋体" w:eastAsia="宋体" w:cs="宋体"/>
                      <w:color w:val="auto"/>
                      <w:spacing w:val="-8"/>
                      <w:sz w:val="21"/>
                      <w:szCs w:val="21"/>
                    </w:rPr>
                    <w:t>〕</w:t>
                  </w:r>
                  <w:r>
                    <w:rPr>
                      <w:color w:val="auto"/>
                      <w:spacing w:val="-8"/>
                      <w:sz w:val="21"/>
                      <w:szCs w:val="21"/>
                    </w:rPr>
                    <w:t>05</w:t>
                  </w:r>
                  <w:r>
                    <w:rPr>
                      <w:color w:val="auto"/>
                      <w:spacing w:val="25"/>
                      <w:w w:val="101"/>
                      <w:sz w:val="21"/>
                      <w:szCs w:val="21"/>
                    </w:rPr>
                    <w:t xml:space="preserve"> </w:t>
                  </w:r>
                  <w:r>
                    <w:rPr>
                      <w:rFonts w:ascii="宋体" w:hAnsi="宋体" w:eastAsia="宋体" w:cs="宋体"/>
                      <w:color w:val="auto"/>
                      <w:spacing w:val="-8"/>
                      <w:sz w:val="21"/>
                      <w:szCs w:val="21"/>
                    </w:rPr>
                    <w:t>号、韶环乐审〔</w:t>
                  </w:r>
                  <w:r>
                    <w:rPr>
                      <w:color w:val="auto"/>
                      <w:spacing w:val="-8"/>
                      <w:sz w:val="21"/>
                      <w:szCs w:val="21"/>
                    </w:rPr>
                    <w:t>2025</w:t>
                  </w:r>
                  <w:r>
                    <w:rPr>
                      <w:rFonts w:ascii="宋体" w:hAnsi="宋体" w:eastAsia="宋体" w:cs="宋体"/>
                      <w:color w:val="auto"/>
                      <w:spacing w:val="-8"/>
                      <w:sz w:val="21"/>
                      <w:szCs w:val="21"/>
                    </w:rPr>
                    <w:t>〕</w:t>
                  </w:r>
                </w:p>
                <w:p w14:paraId="3B2E28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8"/>
                      <w:sz w:val="21"/>
                      <w:szCs w:val="21"/>
                    </w:rPr>
                    <w:t>17</w:t>
                  </w:r>
                  <w:r>
                    <w:rPr>
                      <w:color w:val="auto"/>
                      <w:spacing w:val="13"/>
                      <w:w w:val="101"/>
                      <w:sz w:val="21"/>
                      <w:szCs w:val="21"/>
                    </w:rPr>
                    <w:t xml:space="preserve"> </w:t>
                  </w:r>
                  <w:r>
                    <w:rPr>
                      <w:rFonts w:ascii="宋体" w:hAnsi="宋体" w:eastAsia="宋体" w:cs="宋体"/>
                      <w:color w:val="auto"/>
                      <w:spacing w:val="-8"/>
                      <w:sz w:val="21"/>
                      <w:szCs w:val="21"/>
                    </w:rPr>
                    <w:t>号</w:t>
                  </w:r>
                </w:p>
              </w:tc>
            </w:tr>
            <w:tr w14:paraId="0FC03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219FCD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346924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13</w:t>
                  </w:r>
                </w:p>
              </w:tc>
              <w:tc>
                <w:tcPr>
                  <w:tcW w:w="961" w:type="dxa"/>
                  <w:vAlign w:val="center"/>
                </w:tcPr>
                <w:p w14:paraId="62D175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韶关乐淇包装材料有限公司</w:t>
                  </w:r>
                </w:p>
              </w:tc>
              <w:tc>
                <w:tcPr>
                  <w:tcW w:w="600" w:type="dxa"/>
                  <w:vAlign w:val="center"/>
                </w:tcPr>
                <w:p w14:paraId="27F10C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323AE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6A3A678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561922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63522C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50991.9</w:t>
                  </w:r>
                </w:p>
              </w:tc>
              <w:tc>
                <w:tcPr>
                  <w:tcW w:w="2053" w:type="dxa"/>
                  <w:vAlign w:val="center"/>
                </w:tcPr>
                <w:p w14:paraId="0703DA8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年产塑料新材料</w:t>
                  </w:r>
                  <w:r>
                    <w:rPr>
                      <w:rFonts w:ascii="宋体" w:hAnsi="宋体" w:eastAsia="宋体" w:cs="宋体"/>
                      <w:color w:val="auto"/>
                      <w:spacing w:val="-42"/>
                      <w:sz w:val="21"/>
                      <w:szCs w:val="21"/>
                    </w:rPr>
                    <w:t xml:space="preserve"> </w:t>
                  </w:r>
                  <w:r>
                    <w:rPr>
                      <w:color w:val="auto"/>
                      <w:spacing w:val="-2"/>
                      <w:sz w:val="21"/>
                      <w:szCs w:val="21"/>
                    </w:rPr>
                    <w:t>7.22</w:t>
                  </w:r>
                  <w:r>
                    <w:rPr>
                      <w:color w:val="auto"/>
                      <w:spacing w:val="13"/>
                      <w:w w:val="101"/>
                      <w:sz w:val="21"/>
                      <w:szCs w:val="21"/>
                    </w:rPr>
                    <w:t xml:space="preserve"> </w:t>
                  </w:r>
                  <w:r>
                    <w:rPr>
                      <w:rFonts w:ascii="宋体" w:hAnsi="宋体" w:eastAsia="宋体" w:cs="宋体"/>
                      <w:color w:val="auto"/>
                      <w:spacing w:val="-2"/>
                      <w:sz w:val="21"/>
                      <w:szCs w:val="21"/>
                    </w:rPr>
                    <w:t>万吨</w:t>
                  </w:r>
                </w:p>
              </w:tc>
              <w:tc>
                <w:tcPr>
                  <w:tcW w:w="1878" w:type="dxa"/>
                  <w:vAlign w:val="center"/>
                </w:tcPr>
                <w:p w14:paraId="27174CB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"bookmark216"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]04</w:t>
                  </w:r>
                  <w:r>
                    <w:rPr>
                      <w:color w:val="auto"/>
                      <w:spacing w:val="24"/>
                      <w:sz w:val="21"/>
                      <w:szCs w:val="21"/>
                    </w:rPr>
                    <w:t xml:space="preserve"> </w:t>
                  </w:r>
                  <w:r>
                    <w:rPr>
                      <w:rFonts w:ascii="宋体" w:hAnsi="宋体" w:eastAsia="宋体" w:cs="宋体"/>
                      <w:color w:val="auto"/>
                      <w:spacing w:val="-2"/>
                      <w:sz w:val="21"/>
                      <w:szCs w:val="21"/>
                    </w:rPr>
                    <w:t>号</w:t>
                  </w:r>
                </w:p>
              </w:tc>
            </w:tr>
            <w:tr w14:paraId="04072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450E84A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14</w:t>
                  </w:r>
                </w:p>
              </w:tc>
              <w:tc>
                <w:tcPr>
                  <w:tcW w:w="961" w:type="dxa"/>
                  <w:vAlign w:val="center"/>
                </w:tcPr>
                <w:p w14:paraId="1185EA4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乐昌市华国艺术装饰建材有</w:t>
                  </w:r>
                </w:p>
                <w:p w14:paraId="580337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4737CB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EABD3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1A6FA1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27375.05</w:t>
                  </w:r>
                </w:p>
              </w:tc>
              <w:tc>
                <w:tcPr>
                  <w:tcW w:w="2053" w:type="dxa"/>
                  <w:vAlign w:val="center"/>
                </w:tcPr>
                <w:p w14:paraId="73DE1B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1500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50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F750E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"bookmark217"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]35</w:t>
                  </w:r>
                  <w:r>
                    <w:rPr>
                      <w:color w:val="auto"/>
                      <w:spacing w:val="24"/>
                      <w:sz w:val="21"/>
                      <w:szCs w:val="21"/>
                    </w:rPr>
                    <w:t xml:space="preserve"> </w:t>
                  </w:r>
                  <w:r>
                    <w:rPr>
                      <w:rFonts w:ascii="宋体" w:hAnsi="宋体" w:eastAsia="宋体" w:cs="宋体"/>
                      <w:color w:val="auto"/>
                      <w:spacing w:val="-2"/>
                      <w:sz w:val="21"/>
                      <w:szCs w:val="21"/>
                    </w:rPr>
                    <w:t>号</w:t>
                  </w:r>
                </w:p>
              </w:tc>
            </w:tr>
            <w:tr w14:paraId="3CDA4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7DE7A56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15</w:t>
                  </w:r>
                </w:p>
              </w:tc>
              <w:tc>
                <w:tcPr>
                  <w:tcW w:w="961" w:type="dxa"/>
                  <w:vAlign w:val="center"/>
                </w:tcPr>
                <w:p w14:paraId="4224E2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汇隽新材料科技（乐昌）有限</w:t>
                  </w:r>
                </w:p>
                <w:p w14:paraId="2B94B4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24A76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8E7FD5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76F7755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7349.3</w:t>
                  </w:r>
                </w:p>
              </w:tc>
              <w:tc>
                <w:tcPr>
                  <w:tcW w:w="2053" w:type="dxa"/>
                  <w:vAlign w:val="center"/>
                </w:tcPr>
                <w:p w14:paraId="1A5AF0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37"/>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47"/>
                      <w:sz w:val="21"/>
                      <w:szCs w:val="21"/>
                    </w:rPr>
                    <w:t xml:space="preserve"> </w:t>
                  </w:r>
                  <w:r>
                    <w:rPr>
                      <w:color w:val="auto"/>
                      <w:spacing w:val="-2"/>
                      <w:sz w:val="21"/>
                      <w:szCs w:val="21"/>
                    </w:rPr>
                    <w:t>750</w:t>
                  </w:r>
                  <w:r>
                    <w:rPr>
                      <w:color w:val="auto"/>
                      <w:spacing w:val="16"/>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250</w:t>
                  </w:r>
                  <w:r>
                    <w:rPr>
                      <w:color w:val="auto"/>
                      <w:spacing w:val="19"/>
                      <w:sz w:val="21"/>
                      <w:szCs w:val="21"/>
                    </w:rPr>
                    <w:t xml:space="preserve"> </w:t>
                  </w:r>
                  <w:r>
                    <w:rPr>
                      <w:rFonts w:ascii="宋体" w:hAnsi="宋体" w:eastAsia="宋体" w:cs="宋体"/>
                      <w:color w:val="auto"/>
                      <w:spacing w:val="-2"/>
                      <w:sz w:val="21"/>
                      <w:szCs w:val="21"/>
                    </w:rPr>
                    <w:t>吨</w:t>
                  </w:r>
                </w:p>
              </w:tc>
              <w:tc>
                <w:tcPr>
                  <w:tcW w:w="1878" w:type="dxa"/>
                  <w:vAlign w:val="center"/>
                </w:tcPr>
                <w:p w14:paraId="7690D66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"bookmark218"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13</w:t>
                  </w:r>
                  <w:r>
                    <w:rPr>
                      <w:color w:val="auto"/>
                      <w:spacing w:val="14"/>
                      <w:w w:val="101"/>
                      <w:sz w:val="21"/>
                      <w:szCs w:val="21"/>
                    </w:rPr>
                    <w:t xml:space="preserve"> </w:t>
                  </w:r>
                  <w:r>
                    <w:rPr>
                      <w:rFonts w:ascii="宋体" w:hAnsi="宋体" w:eastAsia="宋体" w:cs="宋体"/>
                      <w:color w:val="auto"/>
                      <w:spacing w:val="-4"/>
                      <w:sz w:val="21"/>
                      <w:szCs w:val="21"/>
                    </w:rPr>
                    <w:t>号</w:t>
                  </w:r>
                </w:p>
              </w:tc>
            </w:tr>
            <w:tr w14:paraId="2052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311" w:type="dxa"/>
                  <w:vAlign w:val="center"/>
                </w:tcPr>
                <w:p w14:paraId="7249E59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16</w:t>
                  </w:r>
                </w:p>
              </w:tc>
              <w:tc>
                <w:tcPr>
                  <w:tcW w:w="961" w:type="dxa"/>
                  <w:vAlign w:val="center"/>
                </w:tcPr>
                <w:p w14:paraId="085CF1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广东宝创环保新材料制品有</w:t>
                  </w:r>
                </w:p>
                <w:p w14:paraId="6F47B04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6078C59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1C2DC9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4A42E5C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32671.2</w:t>
                  </w:r>
                </w:p>
              </w:tc>
              <w:tc>
                <w:tcPr>
                  <w:tcW w:w="2053" w:type="dxa"/>
                  <w:vAlign w:val="center"/>
                </w:tcPr>
                <w:p w14:paraId="1EE0FE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4"/>
                      <w:sz w:val="21"/>
                      <w:szCs w:val="21"/>
                    </w:rPr>
                    <w:t>年产热轧无纺布</w:t>
                  </w:r>
                  <w:r>
                    <w:rPr>
                      <w:rFonts w:ascii="宋体" w:hAnsi="宋体" w:eastAsia="宋体" w:cs="宋体"/>
                      <w:color w:val="auto"/>
                      <w:spacing w:val="-48"/>
                      <w:sz w:val="21"/>
                      <w:szCs w:val="21"/>
                    </w:rPr>
                    <w:t xml:space="preserve"> </w:t>
                  </w:r>
                  <w:r>
                    <w:rPr>
                      <w:color w:val="auto"/>
                      <w:spacing w:val="-4"/>
                      <w:sz w:val="21"/>
                      <w:szCs w:val="21"/>
                    </w:rPr>
                    <w:t>2800</w:t>
                  </w:r>
                  <w:r>
                    <w:rPr>
                      <w:color w:val="auto"/>
                      <w:spacing w:val="19"/>
                      <w:sz w:val="21"/>
                      <w:szCs w:val="21"/>
                    </w:rPr>
                    <w:t xml:space="preserve"> </w:t>
                  </w:r>
                  <w:r>
                    <w:rPr>
                      <w:rFonts w:ascii="宋体" w:hAnsi="宋体" w:eastAsia="宋体" w:cs="宋体"/>
                      <w:color w:val="auto"/>
                      <w:spacing w:val="-4"/>
                      <w:sz w:val="21"/>
                      <w:szCs w:val="21"/>
                    </w:rPr>
                    <w:t>吨、口罩</w:t>
                  </w:r>
                  <w:r>
                    <w:rPr>
                      <w:rFonts w:ascii="宋体" w:hAnsi="宋体" w:eastAsia="宋体" w:cs="宋体"/>
                      <w:color w:val="auto"/>
                      <w:spacing w:val="-44"/>
                      <w:sz w:val="21"/>
                      <w:szCs w:val="21"/>
                    </w:rPr>
                    <w:t xml:space="preserve"> </w:t>
                  </w:r>
                  <w:r>
                    <w:rPr>
                      <w:color w:val="auto"/>
                      <w:spacing w:val="-4"/>
                      <w:sz w:val="21"/>
                      <w:szCs w:val="21"/>
                    </w:rPr>
                    <w:t xml:space="preserve">30000 </w:t>
                  </w:r>
                  <w:r>
                    <w:rPr>
                      <w:rFonts w:ascii="宋体" w:hAnsi="宋体" w:eastAsia="宋体" w:cs="宋体"/>
                      <w:color w:val="auto"/>
                      <w:spacing w:val="-4"/>
                      <w:sz w:val="21"/>
                      <w:szCs w:val="21"/>
                    </w:rPr>
                    <w:t>万片、纺粘熔喷</w:t>
                  </w:r>
                  <w:r>
                    <w:rPr>
                      <w:rFonts w:ascii="宋体" w:hAnsi="宋体" w:eastAsia="宋体" w:cs="宋体"/>
                      <w:color w:val="auto"/>
                      <w:spacing w:val="-5"/>
                      <w:sz w:val="21"/>
                      <w:szCs w:val="21"/>
                    </w:rPr>
                    <w:t>无纺布</w:t>
                  </w:r>
                  <w:r>
                    <w:rPr>
                      <w:color w:val="auto"/>
                      <w:spacing w:val="-9"/>
                      <w:sz w:val="21"/>
                      <w:szCs w:val="21"/>
                    </w:rPr>
                    <w:t>7440</w:t>
                  </w:r>
                  <w:r>
                    <w:rPr>
                      <w:color w:val="auto"/>
                      <w:spacing w:val="23"/>
                      <w:w w:val="101"/>
                      <w:sz w:val="21"/>
                      <w:szCs w:val="21"/>
                    </w:rPr>
                    <w:t xml:space="preserve"> </w:t>
                  </w:r>
                  <w:r>
                    <w:rPr>
                      <w:rFonts w:ascii="宋体" w:hAnsi="宋体" w:eastAsia="宋体" w:cs="宋体"/>
                      <w:color w:val="auto"/>
                      <w:spacing w:val="-9"/>
                      <w:sz w:val="21"/>
                      <w:szCs w:val="21"/>
                    </w:rPr>
                    <w:t>吨、衬布</w:t>
                  </w:r>
                  <w:r>
                    <w:rPr>
                      <w:rFonts w:ascii="宋体" w:hAnsi="宋体" w:eastAsia="宋体" w:cs="宋体"/>
                      <w:color w:val="auto"/>
                      <w:spacing w:val="-42"/>
                      <w:sz w:val="21"/>
                      <w:szCs w:val="21"/>
                    </w:rPr>
                    <w:t xml:space="preserve"> </w:t>
                  </w:r>
                  <w:r>
                    <w:rPr>
                      <w:color w:val="auto"/>
                      <w:spacing w:val="-9"/>
                      <w:sz w:val="21"/>
                      <w:szCs w:val="21"/>
                    </w:rPr>
                    <w:t>5720</w:t>
                  </w:r>
                  <w:r>
                    <w:rPr>
                      <w:color w:val="auto"/>
                      <w:spacing w:val="11"/>
                      <w:sz w:val="21"/>
                      <w:szCs w:val="21"/>
                    </w:rPr>
                    <w:t xml:space="preserve"> </w:t>
                  </w:r>
                  <w:r>
                    <w:rPr>
                      <w:rFonts w:ascii="宋体" w:hAnsi="宋体" w:eastAsia="宋体" w:cs="宋体"/>
                      <w:color w:val="auto"/>
                      <w:spacing w:val="-9"/>
                      <w:sz w:val="21"/>
                      <w:szCs w:val="21"/>
                    </w:rPr>
                    <w:t>万米、热风无纺布</w:t>
                  </w:r>
                  <w:r>
                    <w:rPr>
                      <w:rFonts w:ascii="宋体" w:hAnsi="宋体" w:eastAsia="宋体" w:cs="宋体"/>
                      <w:color w:val="auto"/>
                      <w:spacing w:val="-39"/>
                      <w:sz w:val="21"/>
                      <w:szCs w:val="21"/>
                    </w:rPr>
                    <w:t xml:space="preserve"> </w:t>
                  </w:r>
                  <w:r>
                    <w:rPr>
                      <w:color w:val="auto"/>
                      <w:spacing w:val="-9"/>
                      <w:sz w:val="21"/>
                      <w:szCs w:val="21"/>
                    </w:rPr>
                    <w:t>860</w:t>
                  </w:r>
                  <w:r>
                    <w:rPr>
                      <w:color w:val="auto"/>
                      <w:spacing w:val="16"/>
                      <w:sz w:val="21"/>
                      <w:szCs w:val="21"/>
                    </w:rPr>
                    <w:t xml:space="preserve"> </w:t>
                  </w:r>
                  <w:r>
                    <w:rPr>
                      <w:rFonts w:ascii="宋体" w:hAnsi="宋体" w:eastAsia="宋体" w:cs="宋体"/>
                      <w:color w:val="auto"/>
                      <w:spacing w:val="-9"/>
                      <w:sz w:val="21"/>
                      <w:szCs w:val="21"/>
                    </w:rPr>
                    <w:t>吨、复合芯体</w:t>
                  </w:r>
                  <w:r>
                    <w:rPr>
                      <w:rFonts w:ascii="宋体" w:hAnsi="宋体" w:eastAsia="宋体" w:cs="宋体"/>
                      <w:color w:val="auto"/>
                      <w:spacing w:val="-28"/>
                      <w:sz w:val="21"/>
                      <w:szCs w:val="21"/>
                    </w:rPr>
                    <w:t xml:space="preserve"> </w:t>
                  </w:r>
                  <w:r>
                    <w:rPr>
                      <w:color w:val="auto"/>
                      <w:spacing w:val="-9"/>
                      <w:sz w:val="21"/>
                      <w:szCs w:val="21"/>
                    </w:rPr>
                    <w:t>1430</w:t>
                  </w:r>
                  <w:r>
                    <w:rPr>
                      <w:rFonts w:ascii="宋体" w:hAnsi="宋体" w:eastAsia="宋体" w:cs="宋体"/>
                      <w:color w:val="auto"/>
                      <w:spacing w:val="-3"/>
                      <w:sz w:val="21"/>
                      <w:szCs w:val="21"/>
                    </w:rPr>
                    <w:t>吨、湿巾</w:t>
                  </w:r>
                  <w:r>
                    <w:rPr>
                      <w:rFonts w:ascii="宋体" w:hAnsi="宋体" w:eastAsia="宋体" w:cs="宋体"/>
                      <w:color w:val="auto"/>
                      <w:spacing w:val="-44"/>
                      <w:sz w:val="21"/>
                      <w:szCs w:val="21"/>
                    </w:rPr>
                    <w:t xml:space="preserve"> </w:t>
                  </w:r>
                  <w:r>
                    <w:rPr>
                      <w:color w:val="auto"/>
                      <w:spacing w:val="-3"/>
                      <w:sz w:val="21"/>
                      <w:szCs w:val="21"/>
                    </w:rPr>
                    <w:t>360</w:t>
                  </w:r>
                  <w:r>
                    <w:rPr>
                      <w:color w:val="auto"/>
                      <w:spacing w:val="13"/>
                      <w:w w:val="101"/>
                      <w:sz w:val="21"/>
                      <w:szCs w:val="21"/>
                    </w:rPr>
                    <w:t xml:space="preserve"> </w:t>
                  </w:r>
                  <w:r>
                    <w:rPr>
                      <w:rFonts w:ascii="宋体" w:hAnsi="宋体" w:eastAsia="宋体" w:cs="宋体"/>
                      <w:color w:val="auto"/>
                      <w:spacing w:val="-3"/>
                      <w:sz w:val="21"/>
                      <w:szCs w:val="21"/>
                    </w:rPr>
                    <w:t>万包、熔喷无纺布</w:t>
                  </w:r>
                  <w:r>
                    <w:rPr>
                      <w:rFonts w:ascii="宋体" w:hAnsi="宋体" w:eastAsia="宋体" w:cs="宋体"/>
                      <w:color w:val="auto"/>
                      <w:spacing w:val="-27"/>
                      <w:sz w:val="21"/>
                      <w:szCs w:val="21"/>
                    </w:rPr>
                    <w:t xml:space="preserve"> </w:t>
                  </w:r>
                  <w:r>
                    <w:rPr>
                      <w:color w:val="auto"/>
                      <w:spacing w:val="-3"/>
                      <w:sz w:val="21"/>
                      <w:szCs w:val="21"/>
                    </w:rPr>
                    <w:t>1500</w:t>
                  </w:r>
                  <w:r>
                    <w:rPr>
                      <w:color w:val="auto"/>
                      <w:spacing w:val="18"/>
                      <w:sz w:val="21"/>
                      <w:szCs w:val="21"/>
                    </w:rPr>
                    <w:t xml:space="preserve"> </w:t>
                  </w:r>
                  <w:r>
                    <w:rPr>
                      <w:rFonts w:ascii="宋体" w:hAnsi="宋体" w:eastAsia="宋体" w:cs="宋体"/>
                      <w:color w:val="auto"/>
                      <w:spacing w:val="-3"/>
                      <w:sz w:val="21"/>
                      <w:szCs w:val="21"/>
                    </w:rPr>
                    <w:t>吨、网膜无纺布</w:t>
                  </w:r>
                  <w:r>
                    <w:rPr>
                      <w:rFonts w:ascii="宋体" w:hAnsi="宋体" w:eastAsia="宋体" w:cs="宋体"/>
                      <w:color w:val="auto"/>
                      <w:spacing w:val="-40"/>
                      <w:sz w:val="21"/>
                      <w:szCs w:val="21"/>
                    </w:rPr>
                    <w:t xml:space="preserve"> </w:t>
                  </w:r>
                  <w:r>
                    <w:rPr>
                      <w:color w:val="auto"/>
                      <w:spacing w:val="-4"/>
                      <w:sz w:val="21"/>
                      <w:szCs w:val="21"/>
                    </w:rPr>
                    <w:t>825</w:t>
                  </w:r>
                </w:p>
                <w:p w14:paraId="5C8D1BA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万米、无纺布抽取式干巾</w:t>
                  </w:r>
                  <w:r>
                    <w:rPr>
                      <w:rFonts w:ascii="宋体" w:hAnsi="宋体" w:eastAsia="宋体" w:cs="宋体"/>
                      <w:color w:val="auto"/>
                      <w:spacing w:val="-42"/>
                      <w:sz w:val="21"/>
                      <w:szCs w:val="21"/>
                    </w:rPr>
                    <w:t xml:space="preserve"> </w:t>
                  </w:r>
                  <w:r>
                    <w:rPr>
                      <w:color w:val="auto"/>
                      <w:spacing w:val="-5"/>
                      <w:sz w:val="21"/>
                      <w:szCs w:val="21"/>
                    </w:rPr>
                    <w:t>57</w:t>
                  </w:r>
                  <w:r>
                    <w:rPr>
                      <w:color w:val="auto"/>
                      <w:spacing w:val="14"/>
                      <w:sz w:val="21"/>
                      <w:szCs w:val="21"/>
                    </w:rPr>
                    <w:t xml:space="preserve"> </w:t>
                  </w:r>
                  <w:r>
                    <w:rPr>
                      <w:rFonts w:ascii="宋体" w:hAnsi="宋体" w:eastAsia="宋体" w:cs="宋体"/>
                      <w:color w:val="auto"/>
                      <w:spacing w:val="-5"/>
                      <w:sz w:val="21"/>
                      <w:szCs w:val="21"/>
                    </w:rPr>
                    <w:t>万盒、无纺布床</w:t>
                  </w:r>
                  <w:r>
                    <w:rPr>
                      <w:rFonts w:ascii="宋体" w:hAnsi="宋体" w:eastAsia="宋体" w:cs="宋体"/>
                      <w:color w:val="auto"/>
                      <w:spacing w:val="-6"/>
                      <w:sz w:val="21"/>
                      <w:szCs w:val="21"/>
                    </w:rPr>
                    <w:t>单</w:t>
                  </w:r>
                  <w:r>
                    <w:rPr>
                      <w:rFonts w:ascii="宋体" w:hAnsi="宋体" w:eastAsia="宋体" w:cs="宋体"/>
                      <w:color w:val="auto"/>
                      <w:spacing w:val="-43"/>
                      <w:sz w:val="21"/>
                      <w:szCs w:val="21"/>
                    </w:rPr>
                    <w:t xml:space="preserve"> </w:t>
                  </w:r>
                  <w:r>
                    <w:rPr>
                      <w:color w:val="auto"/>
                      <w:spacing w:val="-6"/>
                      <w:sz w:val="21"/>
                      <w:szCs w:val="21"/>
                    </w:rPr>
                    <w:t>570</w:t>
                  </w:r>
                  <w:r>
                    <w:rPr>
                      <w:color w:val="auto"/>
                      <w:spacing w:val="14"/>
                      <w:sz w:val="21"/>
                      <w:szCs w:val="21"/>
                    </w:rPr>
                    <w:t xml:space="preserve"> </w:t>
                  </w:r>
                  <w:r>
                    <w:rPr>
                      <w:rFonts w:ascii="宋体" w:hAnsi="宋体" w:eastAsia="宋体" w:cs="宋体"/>
                      <w:color w:val="auto"/>
                      <w:spacing w:val="-6"/>
                      <w:sz w:val="21"/>
                      <w:szCs w:val="21"/>
                    </w:rPr>
                    <w:t>万张、口</w:t>
                  </w:r>
                </w:p>
                <w:p w14:paraId="70DAC2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罩衬布</w:t>
                  </w:r>
                  <w:r>
                    <w:rPr>
                      <w:rFonts w:ascii="宋体" w:hAnsi="宋体" w:eastAsia="宋体" w:cs="宋体"/>
                      <w:color w:val="auto"/>
                      <w:spacing w:val="-48"/>
                      <w:sz w:val="21"/>
                      <w:szCs w:val="21"/>
                    </w:rPr>
                    <w:t xml:space="preserve"> </w:t>
                  </w:r>
                  <w:r>
                    <w:rPr>
                      <w:color w:val="auto"/>
                      <w:spacing w:val="-2"/>
                      <w:sz w:val="21"/>
                      <w:szCs w:val="21"/>
                    </w:rPr>
                    <w:t>2000</w:t>
                  </w:r>
                  <w:r>
                    <w:rPr>
                      <w:color w:val="auto"/>
                      <w:spacing w:val="13"/>
                      <w:w w:val="101"/>
                      <w:sz w:val="21"/>
                      <w:szCs w:val="21"/>
                    </w:rPr>
                    <w:t xml:space="preserve"> </w:t>
                  </w:r>
                  <w:r>
                    <w:rPr>
                      <w:rFonts w:ascii="宋体" w:hAnsi="宋体" w:eastAsia="宋体" w:cs="宋体"/>
                      <w:color w:val="auto"/>
                      <w:spacing w:val="-2"/>
                      <w:sz w:val="21"/>
                      <w:szCs w:val="21"/>
                    </w:rPr>
                    <w:t>万米、其他衬布</w:t>
                  </w:r>
                  <w:r>
                    <w:rPr>
                      <w:rFonts w:ascii="宋体" w:hAnsi="宋体" w:eastAsia="宋体" w:cs="宋体"/>
                      <w:color w:val="auto"/>
                      <w:spacing w:val="-45"/>
                      <w:sz w:val="21"/>
                      <w:szCs w:val="21"/>
                    </w:rPr>
                    <w:t xml:space="preserve"> </w:t>
                  </w:r>
                  <w:r>
                    <w:rPr>
                      <w:color w:val="auto"/>
                      <w:spacing w:val="-2"/>
                      <w:sz w:val="21"/>
                      <w:szCs w:val="21"/>
                    </w:rPr>
                    <w:t>7000</w:t>
                  </w:r>
                  <w:r>
                    <w:rPr>
                      <w:color w:val="auto"/>
                      <w:spacing w:val="13"/>
                      <w:w w:val="101"/>
                      <w:sz w:val="21"/>
                      <w:szCs w:val="21"/>
                    </w:rPr>
                    <w:t xml:space="preserve"> </w:t>
                  </w:r>
                  <w:r>
                    <w:rPr>
                      <w:rFonts w:ascii="宋体" w:hAnsi="宋体" w:eastAsia="宋体" w:cs="宋体"/>
                      <w:color w:val="auto"/>
                      <w:spacing w:val="-2"/>
                      <w:sz w:val="21"/>
                      <w:szCs w:val="21"/>
                    </w:rPr>
                    <w:t>万米</w:t>
                  </w:r>
                </w:p>
              </w:tc>
              <w:tc>
                <w:tcPr>
                  <w:tcW w:w="1878" w:type="dxa"/>
                  <w:vAlign w:val="center"/>
                </w:tcPr>
                <w:p w14:paraId="1C7260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乐环审</w:t>
                  </w:r>
                  <w:r>
                    <w:rPr>
                      <w:color w:val="auto"/>
                      <w:spacing w:val="-13"/>
                      <w:sz w:val="21"/>
                      <w:szCs w:val="21"/>
                    </w:rPr>
                    <w:t>[</w:t>
                  </w:r>
                  <w:r>
                    <w:rPr>
                      <w:color w:val="auto"/>
                      <w:sz w:val="21"/>
                      <w:szCs w:val="21"/>
                    </w:rPr>
                    <w:fldChar w:fldCharType="begin"/>
                  </w:r>
                  <w:r>
                    <w:rPr>
                      <w:color w:val="auto"/>
                      <w:sz w:val="21"/>
                      <w:szCs w:val="21"/>
                    </w:rPr>
                    <w:instrText xml:space="preserve"> HYPERLINK \l "bookmark219" </w:instrText>
                  </w:r>
                  <w:r>
                    <w:rPr>
                      <w:color w:val="auto"/>
                      <w:sz w:val="21"/>
                      <w:szCs w:val="21"/>
                    </w:rPr>
                    <w:fldChar w:fldCharType="separate"/>
                  </w:r>
                  <w:r>
                    <w:rPr>
                      <w:color w:val="auto"/>
                      <w:spacing w:val="-13"/>
                      <w:sz w:val="21"/>
                      <w:szCs w:val="21"/>
                    </w:rPr>
                    <w:t>2017</w:t>
                  </w:r>
                  <w:r>
                    <w:rPr>
                      <w:color w:val="auto"/>
                      <w:spacing w:val="-13"/>
                      <w:sz w:val="21"/>
                      <w:szCs w:val="21"/>
                    </w:rPr>
                    <w:fldChar w:fldCharType="end"/>
                  </w:r>
                  <w:r>
                    <w:rPr>
                      <w:color w:val="auto"/>
                      <w:spacing w:val="-13"/>
                      <w:sz w:val="21"/>
                      <w:szCs w:val="21"/>
                    </w:rPr>
                    <w:t>]50</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2020</w:t>
                  </w:r>
                  <w:r>
                    <w:rPr>
                      <w:rFonts w:ascii="宋体" w:hAnsi="宋体" w:eastAsia="宋体" w:cs="宋体"/>
                      <w:color w:val="auto"/>
                      <w:spacing w:val="-13"/>
                      <w:sz w:val="21"/>
                      <w:szCs w:val="21"/>
                    </w:rPr>
                    <w:t>〕</w:t>
                  </w:r>
                  <w:r>
                    <w:rPr>
                      <w:rFonts w:ascii="宋体" w:hAnsi="宋体" w:eastAsia="宋体" w:cs="宋体"/>
                      <w:color w:val="auto"/>
                      <w:sz w:val="21"/>
                      <w:szCs w:val="21"/>
                    </w:rPr>
                    <w:t xml:space="preserve"> </w:t>
                  </w:r>
                  <w:r>
                    <w:rPr>
                      <w:color w:val="auto"/>
                      <w:spacing w:val="-2"/>
                      <w:sz w:val="21"/>
                      <w:szCs w:val="21"/>
                    </w:rPr>
                    <w:t>23</w:t>
                  </w:r>
                  <w:r>
                    <w:rPr>
                      <w:color w:val="auto"/>
                      <w:spacing w:val="29"/>
                      <w:sz w:val="21"/>
                      <w:szCs w:val="21"/>
                    </w:rPr>
                    <w:t xml:space="preserve"> </w:t>
                  </w:r>
                  <w:r>
                    <w:rPr>
                      <w:rFonts w:ascii="宋体" w:hAnsi="宋体" w:eastAsia="宋体" w:cs="宋体"/>
                      <w:color w:val="auto"/>
                      <w:spacing w:val="-2"/>
                      <w:sz w:val="21"/>
                      <w:szCs w:val="21"/>
                    </w:rPr>
                    <w:t>号、韶环乐审〔</w:t>
                  </w:r>
                  <w:r>
                    <w:rPr>
                      <w:color w:val="auto"/>
                      <w:spacing w:val="-2"/>
                      <w:sz w:val="21"/>
                      <w:szCs w:val="21"/>
                    </w:rPr>
                    <w:t>2021</w:t>
                  </w:r>
                  <w:r>
                    <w:rPr>
                      <w:rFonts w:ascii="宋体" w:hAnsi="宋体" w:eastAsia="宋体" w:cs="宋体"/>
                      <w:color w:val="auto"/>
                      <w:spacing w:val="-2"/>
                      <w:sz w:val="21"/>
                      <w:szCs w:val="21"/>
                    </w:rPr>
                    <w:t>〕</w:t>
                  </w:r>
                  <w:r>
                    <w:rPr>
                      <w:color w:val="auto"/>
                      <w:spacing w:val="-2"/>
                      <w:sz w:val="21"/>
                      <w:szCs w:val="21"/>
                    </w:rPr>
                    <w:t>26</w:t>
                  </w:r>
                  <w:r>
                    <w:rPr>
                      <w:color w:val="auto"/>
                      <w:spacing w:val="14"/>
                      <w:sz w:val="21"/>
                      <w:szCs w:val="21"/>
                    </w:rPr>
                    <w:t xml:space="preserve"> </w:t>
                  </w:r>
                  <w:r>
                    <w:rPr>
                      <w:rFonts w:ascii="宋体" w:hAnsi="宋体" w:eastAsia="宋体" w:cs="宋体"/>
                      <w:color w:val="auto"/>
                      <w:spacing w:val="-2"/>
                      <w:sz w:val="21"/>
                      <w:szCs w:val="21"/>
                    </w:rPr>
                    <w:t>号</w:t>
                  </w:r>
                </w:p>
              </w:tc>
            </w:tr>
            <w:tr w14:paraId="6CBEF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95D90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17</w:t>
                  </w:r>
                </w:p>
              </w:tc>
              <w:tc>
                <w:tcPr>
                  <w:tcW w:w="961" w:type="dxa"/>
                  <w:vAlign w:val="center"/>
                </w:tcPr>
                <w:p w14:paraId="162D024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广东泰邦耐磨金属科技有限</w:t>
                  </w:r>
                </w:p>
                <w:p w14:paraId="7F3A9B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2D6974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C27643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0502F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33583</w:t>
                  </w:r>
                </w:p>
              </w:tc>
              <w:tc>
                <w:tcPr>
                  <w:tcW w:w="2053" w:type="dxa"/>
                  <w:vAlign w:val="center"/>
                </w:tcPr>
                <w:p w14:paraId="669760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年产铸钢</w:t>
                  </w:r>
                  <w:r>
                    <w:rPr>
                      <w:rFonts w:ascii="宋体" w:hAnsi="宋体" w:eastAsia="宋体" w:cs="宋体"/>
                      <w:color w:val="auto"/>
                      <w:spacing w:val="-22"/>
                      <w:sz w:val="21"/>
                      <w:szCs w:val="21"/>
                    </w:rPr>
                    <w:t xml:space="preserve"> </w:t>
                  </w:r>
                  <w:r>
                    <w:rPr>
                      <w:color w:val="auto"/>
                      <w:spacing w:val="-4"/>
                      <w:sz w:val="21"/>
                      <w:szCs w:val="21"/>
                    </w:rPr>
                    <w:t xml:space="preserve">1 </w:t>
                  </w:r>
                  <w:r>
                    <w:rPr>
                      <w:rFonts w:ascii="宋体" w:hAnsi="宋体" w:eastAsia="宋体" w:cs="宋体"/>
                      <w:color w:val="auto"/>
                      <w:spacing w:val="-4"/>
                      <w:sz w:val="21"/>
                      <w:szCs w:val="21"/>
                    </w:rPr>
                    <w:t>万吨</w:t>
                  </w:r>
                </w:p>
              </w:tc>
              <w:tc>
                <w:tcPr>
                  <w:tcW w:w="1878" w:type="dxa"/>
                  <w:vAlign w:val="center"/>
                </w:tcPr>
                <w:p w14:paraId="5F9D38A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"bookmark220" </w:instrText>
                  </w:r>
                  <w:r>
                    <w:rPr>
                      <w:color w:val="auto"/>
                      <w:sz w:val="21"/>
                      <w:szCs w:val="21"/>
                    </w:rPr>
                    <w:fldChar w:fldCharType="separate"/>
                  </w:r>
                  <w:r>
                    <w:rPr>
                      <w:color w:val="auto"/>
                      <w:spacing w:val="-2"/>
                      <w:sz w:val="21"/>
                      <w:szCs w:val="21"/>
                    </w:rPr>
                    <w:t>2011</w:t>
                  </w:r>
                  <w:r>
                    <w:rPr>
                      <w:color w:val="auto"/>
                      <w:spacing w:val="-2"/>
                      <w:sz w:val="21"/>
                      <w:szCs w:val="21"/>
                    </w:rPr>
                    <w:fldChar w:fldCharType="end"/>
                  </w:r>
                  <w:r>
                    <w:rPr>
                      <w:color w:val="auto"/>
                      <w:spacing w:val="-2"/>
                      <w:sz w:val="21"/>
                      <w:szCs w:val="21"/>
                    </w:rPr>
                    <w:t xml:space="preserve">]25 </w:t>
                  </w:r>
                  <w:r>
                    <w:rPr>
                      <w:rFonts w:ascii="宋体" w:hAnsi="宋体" w:eastAsia="宋体" w:cs="宋体"/>
                      <w:color w:val="auto"/>
                      <w:spacing w:val="-2"/>
                      <w:sz w:val="21"/>
                      <w:szCs w:val="21"/>
                    </w:rPr>
                    <w:t>号、乐环审</w:t>
                  </w:r>
                  <w:r>
                    <w:rPr>
                      <w:color w:val="auto"/>
                      <w:spacing w:val="-5"/>
                      <w:sz w:val="21"/>
                      <w:szCs w:val="21"/>
                    </w:rPr>
                    <w:t>[</w:t>
                  </w:r>
                  <w:r>
                    <w:rPr>
                      <w:color w:val="auto"/>
                      <w:sz w:val="21"/>
                      <w:szCs w:val="21"/>
                    </w:rPr>
                    <w:fldChar w:fldCharType="begin"/>
                  </w:r>
                  <w:r>
                    <w:rPr>
                      <w:color w:val="auto"/>
                      <w:sz w:val="21"/>
                      <w:szCs w:val="21"/>
                    </w:rPr>
                    <w:instrText xml:space="preserve"> HYPERLINK \l "bookmark221" </w:instrText>
                  </w:r>
                  <w:r>
                    <w:rPr>
                      <w:color w:val="auto"/>
                      <w:sz w:val="21"/>
                      <w:szCs w:val="21"/>
                    </w:rPr>
                    <w:fldChar w:fldCharType="separate"/>
                  </w:r>
                  <w:r>
                    <w:rPr>
                      <w:color w:val="auto"/>
                      <w:spacing w:val="-5"/>
                      <w:sz w:val="21"/>
                      <w:szCs w:val="21"/>
                    </w:rPr>
                    <w:t>2018</w:t>
                  </w:r>
                  <w:r>
                    <w:rPr>
                      <w:color w:val="auto"/>
                      <w:spacing w:val="-5"/>
                      <w:sz w:val="21"/>
                      <w:szCs w:val="21"/>
                    </w:rPr>
                    <w:fldChar w:fldCharType="end"/>
                  </w:r>
                  <w:r>
                    <w:rPr>
                      <w:color w:val="auto"/>
                      <w:spacing w:val="-5"/>
                      <w:sz w:val="21"/>
                      <w:szCs w:val="21"/>
                    </w:rPr>
                    <w:t>]</w:t>
                  </w:r>
                  <w:r>
                    <w:rPr>
                      <w:color w:val="auto"/>
                      <w:spacing w:val="-23"/>
                      <w:sz w:val="21"/>
                      <w:szCs w:val="21"/>
                    </w:rPr>
                    <w:t xml:space="preserve"> </w:t>
                  </w:r>
                  <w:r>
                    <w:rPr>
                      <w:color w:val="auto"/>
                      <w:spacing w:val="-5"/>
                      <w:sz w:val="21"/>
                      <w:szCs w:val="21"/>
                    </w:rPr>
                    <w:t>17</w:t>
                  </w:r>
                  <w:r>
                    <w:rPr>
                      <w:color w:val="auto"/>
                      <w:spacing w:val="11"/>
                      <w:sz w:val="21"/>
                      <w:szCs w:val="21"/>
                    </w:rPr>
                    <w:t xml:space="preserve"> </w:t>
                  </w:r>
                  <w:r>
                    <w:rPr>
                      <w:rFonts w:ascii="宋体" w:hAnsi="宋体" w:eastAsia="宋体" w:cs="宋体"/>
                      <w:color w:val="auto"/>
                      <w:spacing w:val="-5"/>
                      <w:sz w:val="21"/>
                      <w:szCs w:val="21"/>
                    </w:rPr>
                    <w:t>号</w:t>
                  </w:r>
                </w:p>
              </w:tc>
            </w:tr>
            <w:tr w14:paraId="32616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11" w:type="dxa"/>
                  <w:vAlign w:val="center"/>
                </w:tcPr>
                <w:p w14:paraId="65CBAA8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4DC24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18</w:t>
                  </w:r>
                </w:p>
              </w:tc>
              <w:tc>
                <w:tcPr>
                  <w:tcW w:w="961" w:type="dxa"/>
                  <w:vAlign w:val="center"/>
                </w:tcPr>
                <w:p w14:paraId="4DF433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60289CE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乐昌市明俊铸造有限公司</w:t>
                  </w:r>
                </w:p>
              </w:tc>
              <w:tc>
                <w:tcPr>
                  <w:tcW w:w="600" w:type="dxa"/>
                  <w:vAlign w:val="center"/>
                </w:tcPr>
                <w:p w14:paraId="0423FB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740E8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971FD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0DD397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85EBB8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B7C8E0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12666</w:t>
                  </w:r>
                </w:p>
              </w:tc>
              <w:tc>
                <w:tcPr>
                  <w:tcW w:w="2053" w:type="dxa"/>
                  <w:vAlign w:val="center"/>
                </w:tcPr>
                <w:p w14:paraId="4BBC95D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3E2C8E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年产水泵类铸件、油泵</w:t>
                  </w:r>
                  <w:r>
                    <w:rPr>
                      <w:rFonts w:ascii="宋体" w:hAnsi="宋体" w:eastAsia="宋体" w:cs="宋体"/>
                      <w:color w:val="auto"/>
                      <w:spacing w:val="-32"/>
                      <w:sz w:val="21"/>
                      <w:szCs w:val="21"/>
                    </w:rPr>
                    <w:t xml:space="preserve"> </w:t>
                  </w:r>
                  <w:r>
                    <w:rPr>
                      <w:color w:val="auto"/>
                      <w:spacing w:val="-2"/>
                      <w:sz w:val="21"/>
                      <w:szCs w:val="21"/>
                    </w:rPr>
                    <w:t>6000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499739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乐环函</w:t>
                  </w:r>
                  <w:r>
                    <w:rPr>
                      <w:color w:val="auto"/>
                      <w:spacing w:val="-4"/>
                      <w:sz w:val="21"/>
                      <w:szCs w:val="21"/>
                    </w:rPr>
                    <w:t>[</w:t>
                  </w:r>
                  <w:r>
                    <w:rPr>
                      <w:color w:val="auto"/>
                      <w:sz w:val="21"/>
                      <w:szCs w:val="21"/>
                    </w:rPr>
                    <w:fldChar w:fldCharType="begin"/>
                  </w:r>
                  <w:r>
                    <w:rPr>
                      <w:color w:val="auto"/>
                      <w:sz w:val="21"/>
                      <w:szCs w:val="21"/>
                    </w:rPr>
                    <w:instrText xml:space="preserve"> HYPERLINK \l "bookmark222" </w:instrText>
                  </w:r>
                  <w:r>
                    <w:rPr>
                      <w:color w:val="auto"/>
                      <w:sz w:val="21"/>
                      <w:szCs w:val="21"/>
                    </w:rPr>
                    <w:fldChar w:fldCharType="separate"/>
                  </w:r>
                  <w:r>
                    <w:rPr>
                      <w:color w:val="auto"/>
                      <w:spacing w:val="-4"/>
                      <w:sz w:val="21"/>
                      <w:szCs w:val="21"/>
                    </w:rPr>
                    <w:t>2008</w:t>
                  </w:r>
                  <w:r>
                    <w:rPr>
                      <w:color w:val="auto"/>
                      <w:spacing w:val="-4"/>
                      <w:sz w:val="21"/>
                      <w:szCs w:val="21"/>
                    </w:rPr>
                    <w:fldChar w:fldCharType="end"/>
                  </w:r>
                  <w:r>
                    <w:rPr>
                      <w:color w:val="auto"/>
                      <w:spacing w:val="-4"/>
                      <w:sz w:val="21"/>
                      <w:szCs w:val="21"/>
                    </w:rPr>
                    <w:t>]</w:t>
                  </w:r>
                  <w:r>
                    <w:rPr>
                      <w:color w:val="auto"/>
                      <w:spacing w:val="-16"/>
                      <w:sz w:val="21"/>
                      <w:szCs w:val="21"/>
                    </w:rPr>
                    <w:t xml:space="preserve"> </w:t>
                  </w:r>
                  <w:r>
                    <w:rPr>
                      <w:color w:val="auto"/>
                      <w:spacing w:val="-4"/>
                      <w:sz w:val="21"/>
                      <w:szCs w:val="21"/>
                    </w:rPr>
                    <w:t>12</w:t>
                  </w:r>
                  <w:r>
                    <w:rPr>
                      <w:color w:val="auto"/>
                      <w:spacing w:val="13"/>
                      <w:w w:val="101"/>
                      <w:sz w:val="21"/>
                      <w:szCs w:val="21"/>
                    </w:rPr>
                    <w:t xml:space="preserve"> </w:t>
                  </w:r>
                  <w:r>
                    <w:rPr>
                      <w:rFonts w:ascii="宋体" w:hAnsi="宋体" w:eastAsia="宋体" w:cs="宋体"/>
                      <w:color w:val="auto"/>
                      <w:spacing w:val="-4"/>
                      <w:sz w:val="21"/>
                      <w:szCs w:val="21"/>
                    </w:rPr>
                    <w:t>号、乐环审</w:t>
                  </w:r>
                </w:p>
                <w:p w14:paraId="76E79E5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6"/>
                      <w:sz w:val="21"/>
                      <w:szCs w:val="21"/>
                    </w:rPr>
                    <w:t>[</w:t>
                  </w:r>
                  <w:r>
                    <w:rPr>
                      <w:color w:val="auto"/>
                      <w:sz w:val="21"/>
                      <w:szCs w:val="21"/>
                    </w:rPr>
                    <w:fldChar w:fldCharType="begin"/>
                  </w:r>
                  <w:r>
                    <w:rPr>
                      <w:color w:val="auto"/>
                      <w:sz w:val="21"/>
                      <w:szCs w:val="21"/>
                    </w:rPr>
                    <w:instrText xml:space="preserve"> HYPERLINK \l "bookmark223" </w:instrText>
                  </w:r>
                  <w:r>
                    <w:rPr>
                      <w:color w:val="auto"/>
                      <w:sz w:val="21"/>
                      <w:szCs w:val="21"/>
                    </w:rPr>
                    <w:fldChar w:fldCharType="separate"/>
                  </w:r>
                  <w:r>
                    <w:rPr>
                      <w:color w:val="auto"/>
                      <w:spacing w:val="-6"/>
                      <w:sz w:val="21"/>
                      <w:szCs w:val="21"/>
                    </w:rPr>
                    <w:t>2018</w:t>
                  </w:r>
                  <w:r>
                    <w:rPr>
                      <w:color w:val="auto"/>
                      <w:spacing w:val="-6"/>
                      <w:sz w:val="21"/>
                      <w:szCs w:val="21"/>
                    </w:rPr>
                    <w:fldChar w:fldCharType="end"/>
                  </w:r>
                  <w:r>
                    <w:rPr>
                      <w:color w:val="auto"/>
                      <w:spacing w:val="-6"/>
                      <w:sz w:val="21"/>
                      <w:szCs w:val="21"/>
                    </w:rPr>
                    <w:t>]38</w:t>
                  </w:r>
                  <w:r>
                    <w:rPr>
                      <w:color w:val="auto"/>
                      <w:spacing w:val="24"/>
                      <w:w w:val="101"/>
                      <w:sz w:val="21"/>
                      <w:szCs w:val="21"/>
                    </w:rPr>
                    <w:t xml:space="preserve"> </w:t>
                  </w:r>
                  <w:r>
                    <w:rPr>
                      <w:rFonts w:ascii="宋体" w:hAnsi="宋体" w:eastAsia="宋体" w:cs="宋体"/>
                      <w:color w:val="auto"/>
                      <w:spacing w:val="-6"/>
                      <w:sz w:val="21"/>
                      <w:szCs w:val="21"/>
                    </w:rPr>
                    <w:t>号、韶环乐审〔</w:t>
                  </w:r>
                  <w:r>
                    <w:rPr>
                      <w:color w:val="auto"/>
                      <w:spacing w:val="-6"/>
                      <w:sz w:val="21"/>
                      <w:szCs w:val="21"/>
                    </w:rPr>
                    <w:t>2022</w:t>
                  </w:r>
                  <w:r>
                    <w:rPr>
                      <w:rFonts w:ascii="宋体" w:hAnsi="宋体" w:eastAsia="宋体" w:cs="宋体"/>
                      <w:color w:val="auto"/>
                      <w:spacing w:val="-6"/>
                      <w:sz w:val="21"/>
                      <w:szCs w:val="21"/>
                    </w:rPr>
                    <w:t>〕</w:t>
                  </w:r>
                  <w:r>
                    <w:rPr>
                      <w:color w:val="auto"/>
                      <w:spacing w:val="-6"/>
                      <w:sz w:val="21"/>
                      <w:szCs w:val="21"/>
                    </w:rPr>
                    <w:t>14</w:t>
                  </w:r>
                </w:p>
                <w:p w14:paraId="670073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号</w:t>
                  </w:r>
                </w:p>
              </w:tc>
            </w:tr>
            <w:tr w14:paraId="66B4C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F820F2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19</w:t>
                  </w:r>
                </w:p>
              </w:tc>
              <w:tc>
                <w:tcPr>
                  <w:tcW w:w="961" w:type="dxa"/>
                  <w:vAlign w:val="center"/>
                </w:tcPr>
                <w:p w14:paraId="6032D3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乐昌市翔辉皮革有限公司</w:t>
                  </w:r>
                </w:p>
              </w:tc>
              <w:tc>
                <w:tcPr>
                  <w:tcW w:w="600" w:type="dxa"/>
                  <w:vAlign w:val="center"/>
                </w:tcPr>
                <w:p w14:paraId="7F5046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EDDC048">
                  <w:pPr>
                    <w:keepNext w:val="0"/>
                    <w:keepLines w:val="0"/>
                    <w:pageBreakBefore w:val="0"/>
                    <w:widowControl/>
                    <w:kinsoku w:val="0"/>
                    <w:wordWrap/>
                    <w:overflowPunct/>
                    <w:topLinePunct w:val="0"/>
                    <w:autoSpaceDE w:val="0"/>
                    <w:autoSpaceDN w:val="0"/>
                    <w:bidi w:val="0"/>
                    <w:adjustRightInd w:val="0"/>
                    <w:snapToGrid w:val="0"/>
                    <w:spacing w:line="240" w:lineRule="auto"/>
                    <w:ind w:left="0" w:right="132" w:firstLine="4"/>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皮革、毛皮、羽毛</w:t>
                  </w:r>
                  <w:r>
                    <w:rPr>
                      <w:rFonts w:ascii="宋体" w:hAnsi="宋体" w:eastAsia="宋体" w:cs="宋体"/>
                      <w:color w:val="auto"/>
                      <w:spacing w:val="-1"/>
                      <w:sz w:val="21"/>
                      <w:szCs w:val="21"/>
                    </w:rPr>
                    <w:t>及其制品和制鞋业</w:t>
                  </w:r>
                </w:p>
              </w:tc>
              <w:tc>
                <w:tcPr>
                  <w:tcW w:w="1140" w:type="dxa"/>
                  <w:vAlign w:val="center"/>
                </w:tcPr>
                <w:p w14:paraId="603E99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14014.6</w:t>
                  </w:r>
                </w:p>
              </w:tc>
              <w:tc>
                <w:tcPr>
                  <w:tcW w:w="2053" w:type="dxa"/>
                  <w:vAlign w:val="center"/>
                </w:tcPr>
                <w:p w14:paraId="128DD0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年产二层贴膜榔皮</w:t>
                  </w:r>
                  <w:r>
                    <w:rPr>
                      <w:rFonts w:ascii="宋体" w:hAnsi="宋体" w:eastAsia="宋体" w:cs="宋体"/>
                      <w:color w:val="auto"/>
                      <w:spacing w:val="-35"/>
                      <w:sz w:val="21"/>
                      <w:szCs w:val="21"/>
                    </w:rPr>
                    <w:t xml:space="preserve"> </w:t>
                  </w:r>
                  <w:r>
                    <w:rPr>
                      <w:color w:val="auto"/>
                      <w:spacing w:val="-2"/>
                      <w:sz w:val="21"/>
                      <w:szCs w:val="21"/>
                    </w:rPr>
                    <w:t>200</w:t>
                  </w:r>
                  <w:r>
                    <w:rPr>
                      <w:color w:val="auto"/>
                      <w:spacing w:val="14"/>
                      <w:sz w:val="21"/>
                      <w:szCs w:val="21"/>
                    </w:rPr>
                    <w:t xml:space="preserve"> </w:t>
                  </w:r>
                  <w:r>
                    <w:rPr>
                      <w:rFonts w:ascii="宋体" w:hAnsi="宋体" w:eastAsia="宋体" w:cs="宋体"/>
                      <w:color w:val="auto"/>
                      <w:spacing w:val="-2"/>
                      <w:sz w:val="21"/>
                      <w:szCs w:val="21"/>
                    </w:rPr>
                    <w:t>万呎、</w:t>
                  </w:r>
                  <w:r>
                    <w:rPr>
                      <w:color w:val="auto"/>
                      <w:spacing w:val="-2"/>
                      <w:sz w:val="21"/>
                      <w:szCs w:val="21"/>
                    </w:rPr>
                    <w:t xml:space="preserve">3 </w:t>
                  </w:r>
                  <w:r>
                    <w:rPr>
                      <w:rFonts w:ascii="宋体" w:hAnsi="宋体" w:eastAsia="宋体" w:cs="宋体"/>
                      <w:color w:val="auto"/>
                      <w:spacing w:val="-2"/>
                      <w:sz w:val="21"/>
                      <w:szCs w:val="21"/>
                    </w:rPr>
                    <w:t>贴膜</w:t>
                  </w:r>
                  <w:r>
                    <w:rPr>
                      <w:rFonts w:ascii="宋体" w:hAnsi="宋体" w:eastAsia="宋体" w:cs="宋体"/>
                      <w:color w:val="auto"/>
                      <w:spacing w:val="-51"/>
                      <w:sz w:val="21"/>
                      <w:szCs w:val="21"/>
                    </w:rPr>
                    <w:t xml:space="preserve"> </w:t>
                  </w:r>
                  <w:r>
                    <w:rPr>
                      <w:color w:val="auto"/>
                      <w:spacing w:val="-2"/>
                      <w:sz w:val="21"/>
                      <w:szCs w:val="21"/>
                    </w:rPr>
                    <w:t>PU0</w:t>
                  </w:r>
                  <w:r>
                    <w:rPr>
                      <w:color w:val="auto"/>
                      <w:spacing w:val="13"/>
                      <w:w w:val="101"/>
                      <w:sz w:val="21"/>
                      <w:szCs w:val="21"/>
                    </w:rPr>
                    <w:t xml:space="preserve"> </w:t>
                  </w:r>
                  <w:r>
                    <w:rPr>
                      <w:rFonts w:ascii="宋体" w:hAnsi="宋体" w:eastAsia="宋体" w:cs="宋体"/>
                      <w:color w:val="auto"/>
                      <w:spacing w:val="-2"/>
                      <w:sz w:val="21"/>
                      <w:szCs w:val="21"/>
                    </w:rPr>
                    <w:t>万码</w:t>
                  </w:r>
                </w:p>
              </w:tc>
              <w:tc>
                <w:tcPr>
                  <w:tcW w:w="1878" w:type="dxa"/>
                  <w:vAlign w:val="center"/>
                </w:tcPr>
                <w:p w14:paraId="7C0538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"bookmark224"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]07</w:t>
                  </w:r>
                  <w:r>
                    <w:rPr>
                      <w:color w:val="auto"/>
                      <w:spacing w:val="24"/>
                      <w:sz w:val="21"/>
                      <w:szCs w:val="21"/>
                    </w:rPr>
                    <w:t xml:space="preserve"> </w:t>
                  </w:r>
                  <w:r>
                    <w:rPr>
                      <w:rFonts w:ascii="宋体" w:hAnsi="宋体" w:eastAsia="宋体" w:cs="宋体"/>
                      <w:color w:val="auto"/>
                      <w:spacing w:val="-2"/>
                      <w:sz w:val="21"/>
                      <w:szCs w:val="21"/>
                    </w:rPr>
                    <w:t>号</w:t>
                  </w:r>
                </w:p>
              </w:tc>
            </w:tr>
            <w:tr w14:paraId="092D0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EDD403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w:t>
                  </w:r>
                </w:p>
              </w:tc>
              <w:tc>
                <w:tcPr>
                  <w:tcW w:w="961" w:type="dxa"/>
                  <w:vAlign w:val="center"/>
                </w:tcPr>
                <w:p w14:paraId="6FF365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广东欧匹特智能装备有限公</w:t>
                  </w:r>
                </w:p>
                <w:p w14:paraId="5B2F5A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174A5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96BAE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30BE92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26032</w:t>
                  </w:r>
                </w:p>
              </w:tc>
              <w:tc>
                <w:tcPr>
                  <w:tcW w:w="2053" w:type="dxa"/>
                  <w:vAlign w:val="center"/>
                </w:tcPr>
                <w:p w14:paraId="73BE93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年产数控机床</w:t>
                  </w:r>
                  <w:r>
                    <w:rPr>
                      <w:rFonts w:ascii="宋体" w:hAnsi="宋体" w:eastAsia="宋体" w:cs="宋体"/>
                      <w:color w:val="auto"/>
                      <w:spacing w:val="-41"/>
                      <w:sz w:val="21"/>
                      <w:szCs w:val="21"/>
                    </w:rPr>
                    <w:t xml:space="preserve"> </w:t>
                  </w:r>
                  <w:r>
                    <w:rPr>
                      <w:color w:val="auto"/>
                      <w:spacing w:val="-2"/>
                      <w:sz w:val="21"/>
                      <w:szCs w:val="21"/>
                    </w:rPr>
                    <w:t>450</w:t>
                  </w:r>
                  <w:r>
                    <w:rPr>
                      <w:color w:val="auto"/>
                      <w:spacing w:val="25"/>
                      <w:w w:val="101"/>
                      <w:sz w:val="21"/>
                      <w:szCs w:val="21"/>
                    </w:rPr>
                    <w:t xml:space="preserve"> </w:t>
                  </w:r>
                  <w:r>
                    <w:rPr>
                      <w:rFonts w:ascii="宋体" w:hAnsi="宋体" w:eastAsia="宋体" w:cs="宋体"/>
                      <w:color w:val="auto"/>
                      <w:spacing w:val="-2"/>
                      <w:sz w:val="21"/>
                      <w:szCs w:val="21"/>
                    </w:rPr>
                    <w:t>台</w:t>
                  </w:r>
                </w:p>
              </w:tc>
              <w:tc>
                <w:tcPr>
                  <w:tcW w:w="1878" w:type="dxa"/>
                  <w:vAlign w:val="center"/>
                </w:tcPr>
                <w:p w14:paraId="1CF723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16 </w:t>
                  </w:r>
                  <w:r>
                    <w:rPr>
                      <w:rFonts w:ascii="宋体" w:hAnsi="宋体" w:eastAsia="宋体" w:cs="宋体"/>
                      <w:color w:val="auto"/>
                      <w:spacing w:val="-1"/>
                      <w:sz w:val="21"/>
                      <w:szCs w:val="21"/>
                    </w:rPr>
                    <w:t>号</w:t>
                  </w:r>
                </w:p>
              </w:tc>
            </w:tr>
            <w:tr w14:paraId="5A873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2D9B33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21</w:t>
                  </w:r>
                </w:p>
              </w:tc>
              <w:tc>
                <w:tcPr>
                  <w:tcW w:w="961" w:type="dxa"/>
                  <w:vAlign w:val="center"/>
                </w:tcPr>
                <w:p w14:paraId="1BB1DC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乐昌市泰瑞菲实业有限公司</w:t>
                  </w:r>
                </w:p>
              </w:tc>
              <w:tc>
                <w:tcPr>
                  <w:tcW w:w="600" w:type="dxa"/>
                  <w:vAlign w:val="center"/>
                </w:tcPr>
                <w:p w14:paraId="0F1E31E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75AC63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43560E0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15266</w:t>
                  </w:r>
                </w:p>
              </w:tc>
              <w:tc>
                <w:tcPr>
                  <w:tcW w:w="2053" w:type="dxa"/>
                  <w:vAlign w:val="center"/>
                </w:tcPr>
                <w:p w14:paraId="5912EF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年产新型塑料装饰材料</w:t>
                  </w:r>
                  <w:r>
                    <w:rPr>
                      <w:rFonts w:ascii="宋体" w:hAnsi="宋体" w:eastAsia="宋体" w:cs="宋体"/>
                      <w:color w:val="auto"/>
                      <w:spacing w:val="-26"/>
                      <w:sz w:val="21"/>
                      <w:szCs w:val="21"/>
                    </w:rPr>
                    <w:t xml:space="preserve"> </w:t>
                  </w:r>
                  <w:r>
                    <w:rPr>
                      <w:color w:val="auto"/>
                      <w:spacing w:val="-2"/>
                      <w:sz w:val="21"/>
                      <w:szCs w:val="21"/>
                    </w:rPr>
                    <w:t xml:space="preserve">1 </w:t>
                  </w:r>
                  <w:r>
                    <w:rPr>
                      <w:rFonts w:ascii="宋体" w:hAnsi="宋体" w:eastAsia="宋体" w:cs="宋体"/>
                      <w:color w:val="auto"/>
                      <w:spacing w:val="-2"/>
                      <w:sz w:val="21"/>
                      <w:szCs w:val="21"/>
                    </w:rPr>
                    <w:t>万吨</w:t>
                  </w:r>
                </w:p>
              </w:tc>
              <w:tc>
                <w:tcPr>
                  <w:tcW w:w="1878" w:type="dxa"/>
                  <w:vAlign w:val="center"/>
                </w:tcPr>
                <w:p w14:paraId="1617182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"bookmark225"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]55</w:t>
                  </w:r>
                  <w:r>
                    <w:rPr>
                      <w:color w:val="auto"/>
                      <w:spacing w:val="24"/>
                      <w:sz w:val="21"/>
                      <w:szCs w:val="21"/>
                    </w:rPr>
                    <w:t xml:space="preserve"> </w:t>
                  </w:r>
                  <w:r>
                    <w:rPr>
                      <w:rFonts w:ascii="宋体" w:hAnsi="宋体" w:eastAsia="宋体" w:cs="宋体"/>
                      <w:color w:val="auto"/>
                      <w:spacing w:val="-2"/>
                      <w:sz w:val="21"/>
                      <w:szCs w:val="21"/>
                    </w:rPr>
                    <w:t>号</w:t>
                  </w:r>
                </w:p>
              </w:tc>
            </w:tr>
            <w:tr w14:paraId="39670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FEE046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22</w:t>
                  </w:r>
                </w:p>
              </w:tc>
              <w:tc>
                <w:tcPr>
                  <w:tcW w:w="961" w:type="dxa"/>
                  <w:vAlign w:val="center"/>
                </w:tcPr>
                <w:p w14:paraId="5AC51AD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韶关韶瑞铸钢有限公司</w:t>
                  </w:r>
                </w:p>
              </w:tc>
              <w:tc>
                <w:tcPr>
                  <w:tcW w:w="600" w:type="dxa"/>
                  <w:vAlign w:val="center"/>
                </w:tcPr>
                <w:p w14:paraId="69BAFC9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0C804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162555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75085</w:t>
                  </w:r>
                </w:p>
              </w:tc>
              <w:tc>
                <w:tcPr>
                  <w:tcW w:w="2053" w:type="dxa"/>
                  <w:vAlign w:val="center"/>
                </w:tcPr>
                <w:p w14:paraId="6A062EF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年产铸钢件、铸铁件</w:t>
                  </w:r>
                  <w:r>
                    <w:rPr>
                      <w:rFonts w:ascii="宋体" w:hAnsi="宋体" w:eastAsia="宋体" w:cs="宋体"/>
                      <w:color w:val="auto"/>
                      <w:spacing w:val="-39"/>
                      <w:sz w:val="21"/>
                      <w:szCs w:val="21"/>
                    </w:rPr>
                    <w:t xml:space="preserve"> </w:t>
                  </w:r>
                  <w:r>
                    <w:rPr>
                      <w:color w:val="auto"/>
                      <w:spacing w:val="-1"/>
                      <w:sz w:val="21"/>
                      <w:szCs w:val="21"/>
                    </w:rPr>
                    <w:t xml:space="preserve">4.1 </w:t>
                  </w:r>
                  <w:r>
                    <w:rPr>
                      <w:rFonts w:ascii="宋体" w:hAnsi="宋体" w:eastAsia="宋体" w:cs="宋体"/>
                      <w:color w:val="auto"/>
                      <w:spacing w:val="-1"/>
                      <w:sz w:val="21"/>
                      <w:szCs w:val="21"/>
                    </w:rPr>
                    <w:t>万吨</w:t>
                  </w:r>
                </w:p>
              </w:tc>
              <w:tc>
                <w:tcPr>
                  <w:tcW w:w="1878" w:type="dxa"/>
                  <w:vAlign w:val="center"/>
                </w:tcPr>
                <w:p w14:paraId="7EBE578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乐环函</w:t>
                  </w:r>
                  <w:r>
                    <w:rPr>
                      <w:color w:val="auto"/>
                      <w:spacing w:val="-3"/>
                      <w:sz w:val="21"/>
                      <w:szCs w:val="21"/>
                    </w:rPr>
                    <w:t>[</w:t>
                  </w:r>
                  <w:r>
                    <w:rPr>
                      <w:color w:val="auto"/>
                      <w:sz w:val="21"/>
                      <w:szCs w:val="21"/>
                    </w:rPr>
                    <w:fldChar w:fldCharType="begin"/>
                  </w:r>
                  <w:r>
                    <w:rPr>
                      <w:color w:val="auto"/>
                      <w:sz w:val="21"/>
                      <w:szCs w:val="21"/>
                    </w:rPr>
                    <w:instrText xml:space="preserve"> HYPERLINK \l "bookmark226" </w:instrText>
                  </w:r>
                  <w:r>
                    <w:rPr>
                      <w:color w:val="auto"/>
                      <w:sz w:val="21"/>
                      <w:szCs w:val="21"/>
                    </w:rPr>
                    <w:fldChar w:fldCharType="separate"/>
                  </w:r>
                  <w:r>
                    <w:rPr>
                      <w:color w:val="auto"/>
                      <w:spacing w:val="-3"/>
                      <w:sz w:val="21"/>
                      <w:szCs w:val="21"/>
                    </w:rPr>
                    <w:t>2011</w:t>
                  </w:r>
                  <w:r>
                    <w:rPr>
                      <w:color w:val="auto"/>
                      <w:spacing w:val="-3"/>
                      <w:sz w:val="21"/>
                      <w:szCs w:val="21"/>
                    </w:rPr>
                    <w:fldChar w:fldCharType="end"/>
                  </w:r>
                  <w:r>
                    <w:rPr>
                      <w:color w:val="auto"/>
                      <w:spacing w:val="-3"/>
                      <w:sz w:val="21"/>
                      <w:szCs w:val="21"/>
                    </w:rPr>
                    <w:t>]</w:t>
                  </w:r>
                  <w:r>
                    <w:rPr>
                      <w:color w:val="auto"/>
                      <w:spacing w:val="-20"/>
                      <w:sz w:val="21"/>
                      <w:szCs w:val="21"/>
                    </w:rPr>
                    <w:t xml:space="preserve"> </w:t>
                  </w:r>
                  <w:r>
                    <w:rPr>
                      <w:color w:val="auto"/>
                      <w:spacing w:val="-3"/>
                      <w:sz w:val="21"/>
                      <w:szCs w:val="21"/>
                    </w:rPr>
                    <w:t xml:space="preserve">163 </w:t>
                  </w:r>
                  <w:r>
                    <w:rPr>
                      <w:rFonts w:ascii="宋体" w:hAnsi="宋体" w:eastAsia="宋体" w:cs="宋体"/>
                      <w:color w:val="auto"/>
                      <w:spacing w:val="-3"/>
                      <w:sz w:val="21"/>
                      <w:szCs w:val="21"/>
                    </w:rPr>
                    <w:t>号、乐环审</w:t>
                  </w:r>
                  <w:r>
                    <w:rPr>
                      <w:rFonts w:ascii="宋体" w:hAnsi="宋体" w:eastAsia="宋体" w:cs="宋体"/>
                      <w:color w:val="auto"/>
                      <w:sz w:val="21"/>
                      <w:szCs w:val="21"/>
                    </w:rPr>
                    <w:t xml:space="preserve"> </w:t>
                  </w:r>
                  <w:r>
                    <w:rPr>
                      <w:color w:val="auto"/>
                      <w:spacing w:val="-3"/>
                      <w:sz w:val="21"/>
                      <w:szCs w:val="21"/>
                    </w:rPr>
                    <w:t>[</w:t>
                  </w:r>
                  <w:r>
                    <w:rPr>
                      <w:color w:val="auto"/>
                      <w:sz w:val="21"/>
                      <w:szCs w:val="21"/>
                    </w:rPr>
                    <w:fldChar w:fldCharType="begin"/>
                  </w:r>
                  <w:r>
                    <w:rPr>
                      <w:color w:val="auto"/>
                      <w:sz w:val="21"/>
                      <w:szCs w:val="21"/>
                    </w:rPr>
                    <w:instrText xml:space="preserve"> HYPERLINK \l "bookmark227" </w:instrText>
                  </w:r>
                  <w:r>
                    <w:rPr>
                      <w:color w:val="auto"/>
                      <w:sz w:val="21"/>
                      <w:szCs w:val="21"/>
                    </w:rPr>
                    <w:fldChar w:fldCharType="separate"/>
                  </w:r>
                  <w:r>
                    <w:rPr>
                      <w:color w:val="auto"/>
                      <w:spacing w:val="-3"/>
                      <w:sz w:val="21"/>
                      <w:szCs w:val="21"/>
                    </w:rPr>
                    <w:t>2017</w:t>
                  </w:r>
                  <w:r>
                    <w:rPr>
                      <w:color w:val="auto"/>
                      <w:spacing w:val="-3"/>
                      <w:sz w:val="21"/>
                      <w:szCs w:val="21"/>
                    </w:rPr>
                    <w:fldChar w:fldCharType="end"/>
                  </w:r>
                  <w:r>
                    <w:rPr>
                      <w:color w:val="auto"/>
                      <w:spacing w:val="-3"/>
                      <w:sz w:val="21"/>
                      <w:szCs w:val="21"/>
                    </w:rPr>
                    <w:t xml:space="preserve">]01 </w:t>
                  </w:r>
                  <w:r>
                    <w:rPr>
                      <w:rFonts w:ascii="宋体" w:hAnsi="宋体" w:eastAsia="宋体" w:cs="宋体"/>
                      <w:color w:val="auto"/>
                      <w:spacing w:val="-3"/>
                      <w:sz w:val="21"/>
                      <w:szCs w:val="21"/>
                    </w:rPr>
                    <w:t>号、乐环审</w:t>
                  </w:r>
                  <w:r>
                    <w:rPr>
                      <w:color w:val="auto"/>
                      <w:spacing w:val="-3"/>
                      <w:sz w:val="21"/>
                      <w:szCs w:val="21"/>
                    </w:rPr>
                    <w:t>[</w:t>
                  </w:r>
                  <w:r>
                    <w:rPr>
                      <w:color w:val="auto"/>
                      <w:sz w:val="21"/>
                      <w:szCs w:val="21"/>
                    </w:rPr>
                    <w:fldChar w:fldCharType="begin"/>
                  </w:r>
                  <w:r>
                    <w:rPr>
                      <w:color w:val="auto"/>
                      <w:sz w:val="21"/>
                      <w:szCs w:val="21"/>
                    </w:rPr>
                    <w:instrText xml:space="preserve"> HYPERLINK \l "bookmark228" </w:instrText>
                  </w:r>
                  <w:r>
                    <w:rPr>
                      <w:color w:val="auto"/>
                      <w:sz w:val="21"/>
                      <w:szCs w:val="21"/>
                    </w:rPr>
                    <w:fldChar w:fldCharType="separate"/>
                  </w:r>
                  <w:r>
                    <w:rPr>
                      <w:color w:val="auto"/>
                      <w:spacing w:val="-3"/>
                      <w:sz w:val="21"/>
                      <w:szCs w:val="21"/>
                    </w:rPr>
                    <w:t>2018</w:t>
                  </w:r>
                  <w:r>
                    <w:rPr>
                      <w:color w:val="auto"/>
                      <w:spacing w:val="-3"/>
                      <w:sz w:val="21"/>
                      <w:szCs w:val="21"/>
                    </w:rPr>
                    <w:fldChar w:fldCharType="end"/>
                  </w:r>
                  <w:r>
                    <w:rPr>
                      <w:color w:val="auto"/>
                      <w:spacing w:val="-3"/>
                      <w:sz w:val="21"/>
                      <w:szCs w:val="21"/>
                    </w:rPr>
                    <w:t>]</w:t>
                  </w:r>
                  <w:r>
                    <w:rPr>
                      <w:color w:val="auto"/>
                      <w:spacing w:val="-12"/>
                      <w:sz w:val="21"/>
                      <w:szCs w:val="21"/>
                    </w:rPr>
                    <w:t xml:space="preserve"> </w:t>
                  </w:r>
                  <w:r>
                    <w:rPr>
                      <w:color w:val="auto"/>
                      <w:spacing w:val="-3"/>
                      <w:sz w:val="21"/>
                      <w:szCs w:val="21"/>
                    </w:rPr>
                    <w:t>19</w:t>
                  </w:r>
                  <w:r>
                    <w:rPr>
                      <w:color w:val="auto"/>
                      <w:spacing w:val="14"/>
                      <w:w w:val="101"/>
                      <w:sz w:val="21"/>
                      <w:szCs w:val="21"/>
                    </w:rPr>
                    <w:t xml:space="preserve"> </w:t>
                  </w:r>
                  <w:r>
                    <w:rPr>
                      <w:rFonts w:ascii="宋体" w:hAnsi="宋体" w:eastAsia="宋体" w:cs="宋体"/>
                      <w:color w:val="auto"/>
                      <w:spacing w:val="-3"/>
                      <w:sz w:val="21"/>
                      <w:szCs w:val="21"/>
                    </w:rPr>
                    <w:t>号</w:t>
                  </w:r>
                </w:p>
              </w:tc>
            </w:tr>
            <w:tr w14:paraId="5AF1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CF056E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w:t>
                  </w:r>
                </w:p>
              </w:tc>
              <w:tc>
                <w:tcPr>
                  <w:tcW w:w="961" w:type="dxa"/>
                  <w:vAlign w:val="center"/>
                </w:tcPr>
                <w:p w14:paraId="387038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精信（乐昌）机械有限公司</w:t>
                  </w:r>
                </w:p>
              </w:tc>
              <w:tc>
                <w:tcPr>
                  <w:tcW w:w="600" w:type="dxa"/>
                  <w:vAlign w:val="center"/>
                </w:tcPr>
                <w:p w14:paraId="3EF945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45A5B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E9E9FE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16950.3</w:t>
                  </w:r>
                </w:p>
              </w:tc>
              <w:tc>
                <w:tcPr>
                  <w:tcW w:w="2053" w:type="dxa"/>
                  <w:vAlign w:val="center"/>
                </w:tcPr>
                <w:p w14:paraId="3BE13F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年产人防门配件</w:t>
                  </w:r>
                  <w:r>
                    <w:rPr>
                      <w:rFonts w:ascii="宋体" w:hAnsi="宋体" w:eastAsia="宋体" w:cs="宋体"/>
                      <w:color w:val="auto"/>
                      <w:spacing w:val="-19"/>
                      <w:sz w:val="21"/>
                      <w:szCs w:val="21"/>
                    </w:rPr>
                    <w:t xml:space="preserve"> </w:t>
                  </w:r>
                  <w:r>
                    <w:rPr>
                      <w:color w:val="auto"/>
                      <w:spacing w:val="-3"/>
                      <w:sz w:val="21"/>
                      <w:szCs w:val="21"/>
                    </w:rPr>
                    <w:t xml:space="preserve">11250 </w:t>
                  </w:r>
                  <w:r>
                    <w:rPr>
                      <w:rFonts w:ascii="宋体" w:hAnsi="宋体" w:eastAsia="宋体" w:cs="宋体"/>
                      <w:color w:val="auto"/>
                      <w:spacing w:val="-3"/>
                      <w:sz w:val="21"/>
                      <w:szCs w:val="21"/>
                    </w:rPr>
                    <w:t>套</w:t>
                  </w:r>
                </w:p>
              </w:tc>
              <w:tc>
                <w:tcPr>
                  <w:tcW w:w="1878" w:type="dxa"/>
                  <w:vAlign w:val="center"/>
                </w:tcPr>
                <w:p w14:paraId="185BB1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25</w:t>
                  </w:r>
                  <w:r>
                    <w:rPr>
                      <w:color w:val="auto"/>
                      <w:spacing w:val="18"/>
                      <w:sz w:val="21"/>
                      <w:szCs w:val="21"/>
                    </w:rPr>
                    <w:t xml:space="preserve"> </w:t>
                  </w:r>
                  <w:r>
                    <w:rPr>
                      <w:rFonts w:ascii="宋体" w:hAnsi="宋体" w:eastAsia="宋体" w:cs="宋体"/>
                      <w:color w:val="auto"/>
                      <w:spacing w:val="-1"/>
                      <w:sz w:val="21"/>
                      <w:szCs w:val="21"/>
                    </w:rPr>
                    <w:t>号</w:t>
                  </w:r>
                </w:p>
              </w:tc>
            </w:tr>
            <w:tr w14:paraId="11B34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1B77C06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24</w:t>
                  </w:r>
                </w:p>
              </w:tc>
              <w:tc>
                <w:tcPr>
                  <w:tcW w:w="961" w:type="dxa"/>
                  <w:vAlign w:val="center"/>
                </w:tcPr>
                <w:p w14:paraId="4358A3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韶关高尔德防雷科技有限公</w:t>
                  </w:r>
                </w:p>
                <w:p w14:paraId="2F13C8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4B9068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28277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F3A632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15561.5</w:t>
                  </w:r>
                </w:p>
              </w:tc>
              <w:tc>
                <w:tcPr>
                  <w:tcW w:w="2053" w:type="dxa"/>
                  <w:vAlign w:val="center"/>
                </w:tcPr>
                <w:p w14:paraId="39E7C6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3"/>
                      <w:sz w:val="21"/>
                      <w:szCs w:val="21"/>
                    </w:rPr>
                    <w:t>年产防雷电子器件</w:t>
                  </w:r>
                  <w:r>
                    <w:rPr>
                      <w:rFonts w:ascii="宋体" w:hAnsi="宋体" w:eastAsia="宋体" w:cs="宋体"/>
                      <w:color w:val="auto"/>
                      <w:spacing w:val="-19"/>
                      <w:sz w:val="21"/>
                      <w:szCs w:val="21"/>
                    </w:rPr>
                    <w:t xml:space="preserve"> </w:t>
                  </w:r>
                  <w:r>
                    <w:rPr>
                      <w:color w:val="auto"/>
                      <w:spacing w:val="-3"/>
                      <w:sz w:val="21"/>
                      <w:szCs w:val="21"/>
                    </w:rPr>
                    <w:t>10</w:t>
                  </w:r>
                  <w:r>
                    <w:rPr>
                      <w:color w:val="auto"/>
                      <w:spacing w:val="14"/>
                      <w:sz w:val="21"/>
                      <w:szCs w:val="21"/>
                    </w:rPr>
                    <w:t xml:space="preserve"> </w:t>
                  </w:r>
                  <w:r>
                    <w:rPr>
                      <w:rFonts w:ascii="宋体" w:hAnsi="宋体" w:eastAsia="宋体" w:cs="宋体"/>
                      <w:color w:val="auto"/>
                      <w:spacing w:val="-3"/>
                      <w:sz w:val="21"/>
                      <w:szCs w:val="21"/>
                    </w:rPr>
                    <w:t>万套、</w:t>
                  </w:r>
                  <w:r>
                    <w:rPr>
                      <w:color w:val="auto"/>
                      <w:spacing w:val="-3"/>
                      <w:sz w:val="21"/>
                      <w:szCs w:val="21"/>
                    </w:rPr>
                    <w:t xml:space="preserve">3 </w:t>
                  </w:r>
                  <w:r>
                    <w:rPr>
                      <w:rFonts w:ascii="宋体" w:hAnsi="宋体" w:eastAsia="宋体" w:cs="宋体"/>
                      <w:color w:val="auto"/>
                      <w:spacing w:val="-3"/>
                      <w:sz w:val="21"/>
                      <w:szCs w:val="21"/>
                    </w:rPr>
                    <w:t xml:space="preserve">万台移动通信基站电源、 </w:t>
                  </w:r>
                  <w:r>
                    <w:rPr>
                      <w:color w:val="auto"/>
                      <w:spacing w:val="-3"/>
                      <w:sz w:val="21"/>
                      <w:szCs w:val="21"/>
                    </w:rPr>
                    <w:t>480</w:t>
                  </w:r>
                </w:p>
                <w:p w14:paraId="398C30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万</w:t>
                  </w:r>
                  <w:r>
                    <w:rPr>
                      <w:rFonts w:ascii="宋体" w:hAnsi="宋体" w:eastAsia="宋体" w:cs="宋体"/>
                      <w:color w:val="auto"/>
                      <w:spacing w:val="-48"/>
                      <w:sz w:val="21"/>
                      <w:szCs w:val="21"/>
                    </w:rPr>
                    <w:t xml:space="preserve"> </w:t>
                  </w:r>
                  <w:r>
                    <w:rPr>
                      <w:color w:val="auto"/>
                      <w:spacing w:val="-2"/>
                      <w:sz w:val="21"/>
                      <w:szCs w:val="21"/>
                    </w:rPr>
                    <w:t xml:space="preserve">AH </w:t>
                  </w:r>
                  <w:r>
                    <w:rPr>
                      <w:rFonts w:ascii="宋体" w:hAnsi="宋体" w:eastAsia="宋体" w:cs="宋体"/>
                      <w:color w:val="auto"/>
                      <w:spacing w:val="-2"/>
                      <w:sz w:val="21"/>
                      <w:szCs w:val="21"/>
                    </w:rPr>
                    <w:t>铁锂电池</w:t>
                  </w:r>
                </w:p>
              </w:tc>
              <w:tc>
                <w:tcPr>
                  <w:tcW w:w="1878" w:type="dxa"/>
                  <w:vAlign w:val="center"/>
                </w:tcPr>
                <w:p w14:paraId="60904E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w:t>
                  </w:r>
                  <w:r>
                    <w:rPr>
                      <w:color w:val="auto"/>
                      <w:sz w:val="21"/>
                      <w:szCs w:val="21"/>
                    </w:rPr>
                    <w:fldChar w:fldCharType="begin"/>
                  </w:r>
                  <w:r>
                    <w:rPr>
                      <w:color w:val="auto"/>
                      <w:sz w:val="21"/>
                      <w:szCs w:val="21"/>
                    </w:rPr>
                    <w:instrText xml:space="preserve"> HYPERLINK \l "bookmark229" </w:instrText>
                  </w:r>
                  <w:r>
                    <w:rPr>
                      <w:color w:val="auto"/>
                      <w:sz w:val="21"/>
                      <w:szCs w:val="21"/>
                    </w:rPr>
                    <w:fldChar w:fldCharType="separate"/>
                  </w:r>
                  <w:r>
                    <w:rPr>
                      <w:color w:val="auto"/>
                      <w:spacing w:val="-1"/>
                      <w:sz w:val="21"/>
                      <w:szCs w:val="21"/>
                    </w:rPr>
                    <w:t>2015</w:t>
                  </w:r>
                  <w:r>
                    <w:rPr>
                      <w:color w:val="auto"/>
                      <w:spacing w:val="-1"/>
                      <w:sz w:val="21"/>
                      <w:szCs w:val="21"/>
                    </w:rPr>
                    <w:fldChar w:fldCharType="end"/>
                  </w:r>
                  <w:r>
                    <w:rPr>
                      <w:color w:val="auto"/>
                      <w:spacing w:val="-1"/>
                      <w:sz w:val="21"/>
                      <w:szCs w:val="21"/>
                    </w:rPr>
                    <w:t xml:space="preserve">]240 </w:t>
                  </w:r>
                  <w:r>
                    <w:rPr>
                      <w:rFonts w:ascii="宋体" w:hAnsi="宋体" w:eastAsia="宋体" w:cs="宋体"/>
                      <w:color w:val="auto"/>
                      <w:spacing w:val="-1"/>
                      <w:sz w:val="21"/>
                      <w:szCs w:val="21"/>
                    </w:rPr>
                    <w:t>号、乐环审</w:t>
                  </w:r>
                  <w:r>
                    <w:rPr>
                      <w:rFonts w:ascii="宋体" w:hAnsi="宋体" w:eastAsia="宋体" w:cs="宋体"/>
                      <w:color w:val="auto"/>
                      <w:spacing w:val="-4"/>
                      <w:sz w:val="21"/>
                      <w:szCs w:val="21"/>
                    </w:rPr>
                    <w:t>〔</w:t>
                  </w:r>
                  <w:r>
                    <w:rPr>
                      <w:color w:val="auto"/>
                      <w:spacing w:val="-4"/>
                      <w:sz w:val="21"/>
                      <w:szCs w:val="21"/>
                    </w:rPr>
                    <w:t>2020</w:t>
                  </w:r>
                  <w:r>
                    <w:rPr>
                      <w:rFonts w:ascii="宋体" w:hAnsi="宋体" w:eastAsia="宋体" w:cs="宋体"/>
                      <w:color w:val="auto"/>
                      <w:spacing w:val="-4"/>
                      <w:sz w:val="21"/>
                      <w:szCs w:val="21"/>
                    </w:rPr>
                    <w:t>〕</w:t>
                  </w:r>
                  <w:r>
                    <w:rPr>
                      <w:color w:val="auto"/>
                      <w:spacing w:val="-4"/>
                      <w:sz w:val="21"/>
                      <w:szCs w:val="21"/>
                    </w:rPr>
                    <w:t>12</w:t>
                  </w:r>
                  <w:r>
                    <w:rPr>
                      <w:color w:val="auto"/>
                      <w:spacing w:val="17"/>
                      <w:sz w:val="21"/>
                      <w:szCs w:val="21"/>
                    </w:rPr>
                    <w:t xml:space="preserve"> </w:t>
                  </w:r>
                  <w:r>
                    <w:rPr>
                      <w:rFonts w:ascii="宋体" w:hAnsi="宋体" w:eastAsia="宋体" w:cs="宋体"/>
                      <w:color w:val="auto"/>
                      <w:spacing w:val="-4"/>
                      <w:sz w:val="21"/>
                      <w:szCs w:val="21"/>
                    </w:rPr>
                    <w:t>号</w:t>
                  </w:r>
                </w:p>
              </w:tc>
            </w:tr>
            <w:tr w14:paraId="5D17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58D2D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25</w:t>
                  </w:r>
                </w:p>
              </w:tc>
              <w:tc>
                <w:tcPr>
                  <w:tcW w:w="961" w:type="dxa"/>
                  <w:vAlign w:val="center"/>
                </w:tcPr>
                <w:p w14:paraId="18CB967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韶关博尔兹阀门工业有限公</w:t>
                  </w:r>
                </w:p>
                <w:p w14:paraId="414BC6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5C313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74100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51150F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20198.7</w:t>
                  </w:r>
                </w:p>
              </w:tc>
              <w:tc>
                <w:tcPr>
                  <w:tcW w:w="2053" w:type="dxa"/>
                  <w:vAlign w:val="center"/>
                </w:tcPr>
                <w:p w14:paraId="21BCF6B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年产阀门</w:t>
                  </w:r>
                  <w:r>
                    <w:rPr>
                      <w:rFonts w:ascii="宋体" w:hAnsi="宋体" w:eastAsia="宋体" w:cs="宋体"/>
                      <w:color w:val="auto"/>
                      <w:spacing w:val="-31"/>
                      <w:sz w:val="21"/>
                      <w:szCs w:val="21"/>
                    </w:rPr>
                    <w:t xml:space="preserve"> </w:t>
                  </w:r>
                  <w:r>
                    <w:rPr>
                      <w:color w:val="auto"/>
                      <w:sz w:val="21"/>
                      <w:szCs w:val="21"/>
                    </w:rPr>
                    <w:t xml:space="preserve">5000 </w:t>
                  </w:r>
                  <w:r>
                    <w:rPr>
                      <w:rFonts w:ascii="宋体" w:hAnsi="宋体" w:eastAsia="宋体" w:cs="宋体"/>
                      <w:color w:val="auto"/>
                      <w:sz w:val="21"/>
                      <w:szCs w:val="21"/>
                    </w:rPr>
                    <w:t>件、铸钢件</w:t>
                  </w:r>
                  <w:r>
                    <w:rPr>
                      <w:rFonts w:ascii="宋体" w:hAnsi="宋体" w:eastAsia="宋体" w:cs="宋体"/>
                      <w:color w:val="auto"/>
                      <w:spacing w:val="-28"/>
                      <w:sz w:val="21"/>
                      <w:szCs w:val="21"/>
                    </w:rPr>
                    <w:t xml:space="preserve"> </w:t>
                  </w:r>
                  <w:r>
                    <w:rPr>
                      <w:color w:val="auto"/>
                      <w:sz w:val="21"/>
                      <w:szCs w:val="21"/>
                    </w:rPr>
                    <w:t xml:space="preserve">1.2 </w:t>
                  </w:r>
                  <w:r>
                    <w:rPr>
                      <w:rFonts w:ascii="宋体" w:hAnsi="宋体" w:eastAsia="宋体" w:cs="宋体"/>
                      <w:color w:val="auto"/>
                      <w:sz w:val="21"/>
                      <w:szCs w:val="21"/>
                    </w:rPr>
                    <w:t>万件、铸铁件</w:t>
                  </w:r>
                  <w:r>
                    <w:rPr>
                      <w:color w:val="auto"/>
                      <w:sz w:val="21"/>
                      <w:szCs w:val="21"/>
                    </w:rPr>
                    <w:t xml:space="preserve">2.3 </w:t>
                  </w:r>
                  <w:r>
                    <w:rPr>
                      <w:rFonts w:ascii="宋体" w:hAnsi="宋体" w:eastAsia="宋体" w:cs="宋体"/>
                      <w:color w:val="auto"/>
                      <w:sz w:val="21"/>
                      <w:szCs w:val="21"/>
                    </w:rPr>
                    <w:t>万件、机械</w:t>
                  </w:r>
                </w:p>
                <w:p w14:paraId="0672D8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配件</w:t>
                  </w:r>
                  <w:r>
                    <w:rPr>
                      <w:rFonts w:ascii="宋体" w:hAnsi="宋体" w:eastAsia="宋体" w:cs="宋体"/>
                      <w:color w:val="auto"/>
                      <w:spacing w:val="-24"/>
                      <w:sz w:val="21"/>
                      <w:szCs w:val="21"/>
                    </w:rPr>
                    <w:t xml:space="preserve"> </w:t>
                  </w:r>
                  <w:r>
                    <w:rPr>
                      <w:color w:val="auto"/>
                      <w:spacing w:val="-8"/>
                      <w:sz w:val="21"/>
                      <w:szCs w:val="21"/>
                    </w:rPr>
                    <w:t>1</w:t>
                  </w:r>
                  <w:r>
                    <w:rPr>
                      <w:color w:val="auto"/>
                      <w:spacing w:val="11"/>
                      <w:sz w:val="21"/>
                      <w:szCs w:val="21"/>
                    </w:rPr>
                    <w:t xml:space="preserve"> </w:t>
                  </w:r>
                  <w:r>
                    <w:rPr>
                      <w:rFonts w:ascii="宋体" w:hAnsi="宋体" w:eastAsia="宋体" w:cs="宋体"/>
                      <w:color w:val="auto"/>
                      <w:spacing w:val="-8"/>
                      <w:sz w:val="21"/>
                      <w:szCs w:val="21"/>
                    </w:rPr>
                    <w:t>万件</w:t>
                  </w:r>
                </w:p>
              </w:tc>
              <w:tc>
                <w:tcPr>
                  <w:tcW w:w="1878" w:type="dxa"/>
                  <w:vAlign w:val="center"/>
                </w:tcPr>
                <w:p w14:paraId="1FFA44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乐环函</w:t>
                  </w:r>
                  <w:r>
                    <w:rPr>
                      <w:color w:val="auto"/>
                      <w:spacing w:val="-13"/>
                      <w:sz w:val="21"/>
                      <w:szCs w:val="21"/>
                    </w:rPr>
                    <w:t>[</w:t>
                  </w:r>
                  <w:r>
                    <w:rPr>
                      <w:color w:val="auto"/>
                      <w:sz w:val="21"/>
                      <w:szCs w:val="21"/>
                    </w:rPr>
                    <w:fldChar w:fldCharType="begin"/>
                  </w:r>
                  <w:r>
                    <w:rPr>
                      <w:color w:val="auto"/>
                      <w:sz w:val="21"/>
                      <w:szCs w:val="21"/>
                    </w:rPr>
                    <w:instrText xml:space="preserve"> HYPERLINK \l "bookmark230" </w:instrText>
                  </w:r>
                  <w:r>
                    <w:rPr>
                      <w:color w:val="auto"/>
                      <w:sz w:val="21"/>
                      <w:szCs w:val="21"/>
                    </w:rPr>
                    <w:fldChar w:fldCharType="separate"/>
                  </w:r>
                  <w:r>
                    <w:rPr>
                      <w:color w:val="auto"/>
                      <w:spacing w:val="-13"/>
                      <w:sz w:val="21"/>
                      <w:szCs w:val="21"/>
                    </w:rPr>
                    <w:t>2009</w:t>
                  </w:r>
                  <w:r>
                    <w:rPr>
                      <w:color w:val="auto"/>
                      <w:spacing w:val="-13"/>
                      <w:sz w:val="21"/>
                      <w:szCs w:val="21"/>
                    </w:rPr>
                    <w:fldChar w:fldCharType="end"/>
                  </w:r>
                  <w:r>
                    <w:rPr>
                      <w:color w:val="auto"/>
                      <w:spacing w:val="-13"/>
                      <w:sz w:val="21"/>
                      <w:szCs w:val="21"/>
                    </w:rPr>
                    <w:t>]94</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2018</w:t>
                  </w:r>
                  <w:r>
                    <w:rPr>
                      <w:rFonts w:ascii="宋体" w:hAnsi="宋体" w:eastAsia="宋体" w:cs="宋体"/>
                      <w:color w:val="auto"/>
                      <w:spacing w:val="-13"/>
                      <w:sz w:val="21"/>
                      <w:szCs w:val="21"/>
                    </w:rPr>
                    <w:t>〕</w:t>
                  </w:r>
                </w:p>
                <w:p w14:paraId="4E3267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3"/>
                      <w:sz w:val="21"/>
                      <w:szCs w:val="21"/>
                    </w:rPr>
                    <w:t>65</w:t>
                  </w:r>
                  <w:r>
                    <w:rPr>
                      <w:color w:val="auto"/>
                      <w:spacing w:val="13"/>
                      <w:w w:val="101"/>
                      <w:sz w:val="21"/>
                      <w:szCs w:val="21"/>
                    </w:rPr>
                    <w:t xml:space="preserve"> </w:t>
                  </w:r>
                  <w:r>
                    <w:rPr>
                      <w:rFonts w:ascii="宋体" w:hAnsi="宋体" w:eastAsia="宋体" w:cs="宋体"/>
                      <w:color w:val="auto"/>
                      <w:spacing w:val="-3"/>
                      <w:sz w:val="21"/>
                      <w:szCs w:val="21"/>
                    </w:rPr>
                    <w:t>号</w:t>
                  </w:r>
                </w:p>
              </w:tc>
            </w:tr>
            <w:tr w14:paraId="49C0F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AC39B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w:t>
                  </w:r>
                </w:p>
              </w:tc>
              <w:tc>
                <w:tcPr>
                  <w:tcW w:w="961" w:type="dxa"/>
                  <w:vAlign w:val="center"/>
                </w:tcPr>
                <w:p w14:paraId="1AA6FBC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广东科拓电子元件有限公司</w:t>
                  </w:r>
                </w:p>
              </w:tc>
              <w:tc>
                <w:tcPr>
                  <w:tcW w:w="600" w:type="dxa"/>
                  <w:vAlign w:val="center"/>
                </w:tcPr>
                <w:p w14:paraId="0D5F10E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95BE8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8BA2F2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1720.83</w:t>
                  </w:r>
                </w:p>
              </w:tc>
              <w:tc>
                <w:tcPr>
                  <w:tcW w:w="2053" w:type="dxa"/>
                  <w:vAlign w:val="center"/>
                </w:tcPr>
                <w:p w14:paraId="6F903E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年产电容、电阻器</w:t>
                  </w:r>
                  <w:r>
                    <w:rPr>
                      <w:rFonts w:ascii="宋体" w:hAnsi="宋体" w:eastAsia="宋体" w:cs="宋体"/>
                      <w:color w:val="auto"/>
                      <w:spacing w:val="-32"/>
                      <w:sz w:val="21"/>
                      <w:szCs w:val="21"/>
                    </w:rPr>
                    <w:t xml:space="preserve"> </w:t>
                  </w:r>
                  <w:r>
                    <w:rPr>
                      <w:color w:val="auto"/>
                      <w:spacing w:val="-2"/>
                      <w:sz w:val="21"/>
                      <w:szCs w:val="21"/>
                    </w:rPr>
                    <w:t xml:space="preserve">8 </w:t>
                  </w:r>
                  <w:r>
                    <w:rPr>
                      <w:rFonts w:ascii="宋体" w:hAnsi="宋体" w:eastAsia="宋体" w:cs="宋体"/>
                      <w:color w:val="auto"/>
                      <w:spacing w:val="-2"/>
                      <w:sz w:val="21"/>
                      <w:szCs w:val="21"/>
                    </w:rPr>
                    <w:t>亿只</w:t>
                  </w:r>
                </w:p>
              </w:tc>
              <w:tc>
                <w:tcPr>
                  <w:tcW w:w="1878" w:type="dxa"/>
                  <w:vAlign w:val="center"/>
                </w:tcPr>
                <w:p w14:paraId="2E72481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13</w:t>
                  </w:r>
                  <w:r>
                    <w:rPr>
                      <w:color w:val="auto"/>
                      <w:spacing w:val="18"/>
                      <w:sz w:val="21"/>
                      <w:szCs w:val="21"/>
                    </w:rPr>
                    <w:t xml:space="preserve"> </w:t>
                  </w:r>
                  <w:r>
                    <w:rPr>
                      <w:rFonts w:ascii="宋体" w:hAnsi="宋体" w:eastAsia="宋体" w:cs="宋体"/>
                      <w:color w:val="auto"/>
                      <w:spacing w:val="-1"/>
                      <w:sz w:val="21"/>
                      <w:szCs w:val="21"/>
                    </w:rPr>
                    <w:t>号</w:t>
                  </w:r>
                </w:p>
              </w:tc>
            </w:tr>
            <w:tr w14:paraId="343F5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478003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w:t>
                  </w:r>
                </w:p>
              </w:tc>
              <w:tc>
                <w:tcPr>
                  <w:tcW w:w="961" w:type="dxa"/>
                  <w:vAlign w:val="center"/>
                </w:tcPr>
                <w:p w14:paraId="3E08401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宇创箱包制品（韶关市乐昌）</w:t>
                  </w:r>
                </w:p>
                <w:p w14:paraId="772B6A1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有限公司</w:t>
                  </w:r>
                </w:p>
              </w:tc>
              <w:tc>
                <w:tcPr>
                  <w:tcW w:w="600" w:type="dxa"/>
                  <w:vAlign w:val="center"/>
                </w:tcPr>
                <w:p w14:paraId="03A3E4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31A6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皮革、毛皮、羽毛</w:t>
                  </w:r>
                  <w:r>
                    <w:rPr>
                      <w:rFonts w:ascii="宋体" w:hAnsi="宋体" w:eastAsia="宋体" w:cs="宋体"/>
                      <w:color w:val="auto"/>
                      <w:spacing w:val="-1"/>
                      <w:sz w:val="21"/>
                      <w:szCs w:val="21"/>
                    </w:rPr>
                    <w:t>及其制品和制鞋业</w:t>
                  </w:r>
                </w:p>
              </w:tc>
              <w:tc>
                <w:tcPr>
                  <w:tcW w:w="1140" w:type="dxa"/>
                  <w:vAlign w:val="center"/>
                </w:tcPr>
                <w:p w14:paraId="2E87CB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1200</w:t>
                  </w:r>
                </w:p>
              </w:tc>
              <w:tc>
                <w:tcPr>
                  <w:tcW w:w="2053" w:type="dxa"/>
                  <w:vAlign w:val="center"/>
                </w:tcPr>
                <w:p w14:paraId="455A02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年产钱包</w:t>
                  </w:r>
                  <w:r>
                    <w:rPr>
                      <w:rFonts w:ascii="宋体" w:hAnsi="宋体" w:eastAsia="宋体" w:cs="宋体"/>
                      <w:color w:val="auto"/>
                      <w:spacing w:val="-30"/>
                      <w:sz w:val="21"/>
                      <w:szCs w:val="21"/>
                    </w:rPr>
                    <w:t xml:space="preserve"> </w:t>
                  </w:r>
                  <w:r>
                    <w:rPr>
                      <w:color w:val="auto"/>
                      <w:spacing w:val="-4"/>
                      <w:sz w:val="21"/>
                      <w:szCs w:val="21"/>
                    </w:rPr>
                    <w:t>30</w:t>
                  </w:r>
                  <w:r>
                    <w:rPr>
                      <w:color w:val="auto"/>
                      <w:spacing w:val="13"/>
                      <w:w w:val="101"/>
                      <w:sz w:val="21"/>
                      <w:szCs w:val="21"/>
                    </w:rPr>
                    <w:t xml:space="preserve"> </w:t>
                  </w:r>
                  <w:r>
                    <w:rPr>
                      <w:rFonts w:ascii="宋体" w:hAnsi="宋体" w:eastAsia="宋体" w:cs="宋体"/>
                      <w:color w:val="auto"/>
                      <w:spacing w:val="-4"/>
                      <w:sz w:val="21"/>
                      <w:szCs w:val="21"/>
                    </w:rPr>
                    <w:t>万个，手袋</w:t>
                  </w:r>
                  <w:r>
                    <w:rPr>
                      <w:rFonts w:ascii="宋体" w:hAnsi="宋体" w:eastAsia="宋体" w:cs="宋体"/>
                      <w:color w:val="auto"/>
                      <w:spacing w:val="-44"/>
                      <w:sz w:val="21"/>
                      <w:szCs w:val="21"/>
                    </w:rPr>
                    <w:t xml:space="preserve"> </w:t>
                  </w:r>
                  <w:r>
                    <w:rPr>
                      <w:color w:val="auto"/>
                      <w:spacing w:val="-4"/>
                      <w:sz w:val="21"/>
                      <w:szCs w:val="21"/>
                    </w:rPr>
                    <w:t>50</w:t>
                  </w:r>
                  <w:r>
                    <w:rPr>
                      <w:color w:val="auto"/>
                      <w:spacing w:val="13"/>
                      <w:w w:val="101"/>
                      <w:sz w:val="21"/>
                      <w:szCs w:val="21"/>
                    </w:rPr>
                    <w:t xml:space="preserve"> </w:t>
                  </w:r>
                  <w:r>
                    <w:rPr>
                      <w:rFonts w:ascii="宋体" w:hAnsi="宋体" w:eastAsia="宋体" w:cs="宋体"/>
                      <w:color w:val="auto"/>
                      <w:spacing w:val="-4"/>
                      <w:sz w:val="21"/>
                      <w:szCs w:val="21"/>
                    </w:rPr>
                    <w:t>万个</w:t>
                  </w:r>
                </w:p>
              </w:tc>
              <w:tc>
                <w:tcPr>
                  <w:tcW w:w="1878" w:type="dxa"/>
                  <w:vAlign w:val="center"/>
                </w:tcPr>
                <w:p w14:paraId="69CD45B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CF48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C5C4A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28</w:t>
                  </w:r>
                </w:p>
              </w:tc>
              <w:tc>
                <w:tcPr>
                  <w:tcW w:w="961" w:type="dxa"/>
                  <w:vAlign w:val="center"/>
                </w:tcPr>
                <w:p w14:paraId="733576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广东启轮金属制品有限公司</w:t>
                  </w:r>
                </w:p>
              </w:tc>
              <w:tc>
                <w:tcPr>
                  <w:tcW w:w="600" w:type="dxa"/>
                  <w:vAlign w:val="center"/>
                </w:tcPr>
                <w:p w14:paraId="43A0E6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58B25F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F4825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10679.3</w:t>
                  </w:r>
                </w:p>
              </w:tc>
              <w:tc>
                <w:tcPr>
                  <w:tcW w:w="2053" w:type="dxa"/>
                  <w:vAlign w:val="center"/>
                </w:tcPr>
                <w:p w14:paraId="499BED3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年产脚轮</w:t>
                  </w:r>
                  <w:r>
                    <w:rPr>
                      <w:rFonts w:ascii="宋体" w:hAnsi="宋体" w:eastAsia="宋体" w:cs="宋体"/>
                      <w:color w:val="auto"/>
                      <w:spacing w:val="-22"/>
                      <w:sz w:val="21"/>
                      <w:szCs w:val="21"/>
                    </w:rPr>
                    <w:t xml:space="preserve"> </w:t>
                  </w:r>
                  <w:r>
                    <w:rPr>
                      <w:color w:val="auto"/>
                      <w:spacing w:val="-5"/>
                      <w:sz w:val="21"/>
                      <w:szCs w:val="21"/>
                    </w:rPr>
                    <w:t>100</w:t>
                  </w:r>
                  <w:r>
                    <w:rPr>
                      <w:color w:val="auto"/>
                      <w:spacing w:val="13"/>
                      <w:w w:val="101"/>
                      <w:sz w:val="21"/>
                      <w:szCs w:val="21"/>
                    </w:rPr>
                    <w:t xml:space="preserve"> </w:t>
                  </w:r>
                  <w:r>
                    <w:rPr>
                      <w:rFonts w:ascii="宋体" w:hAnsi="宋体" w:eastAsia="宋体" w:cs="宋体"/>
                      <w:color w:val="auto"/>
                      <w:spacing w:val="-5"/>
                      <w:sz w:val="21"/>
                      <w:szCs w:val="21"/>
                    </w:rPr>
                    <w:t>万个</w:t>
                  </w:r>
                </w:p>
              </w:tc>
              <w:tc>
                <w:tcPr>
                  <w:tcW w:w="1878" w:type="dxa"/>
                  <w:vAlign w:val="center"/>
                </w:tcPr>
                <w:p w14:paraId="7C1D5D6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2021</w:t>
                  </w:r>
                  <w:r>
                    <w:rPr>
                      <w:rFonts w:ascii="宋体" w:hAnsi="宋体" w:eastAsia="宋体" w:cs="宋体"/>
                      <w:color w:val="auto"/>
                      <w:spacing w:val="-2"/>
                      <w:sz w:val="21"/>
                      <w:szCs w:val="21"/>
                    </w:rPr>
                    <w:t>〕</w:t>
                  </w:r>
                  <w:r>
                    <w:rPr>
                      <w:color w:val="auto"/>
                      <w:spacing w:val="-2"/>
                      <w:sz w:val="21"/>
                      <w:szCs w:val="21"/>
                    </w:rPr>
                    <w:t>22</w:t>
                  </w:r>
                  <w:r>
                    <w:rPr>
                      <w:color w:val="auto"/>
                      <w:spacing w:val="26"/>
                      <w:w w:val="101"/>
                      <w:sz w:val="21"/>
                      <w:szCs w:val="21"/>
                    </w:rPr>
                    <w:t xml:space="preserve"> </w:t>
                  </w:r>
                  <w:r>
                    <w:rPr>
                      <w:rFonts w:ascii="宋体" w:hAnsi="宋体" w:eastAsia="宋体" w:cs="宋体"/>
                      <w:color w:val="auto"/>
                      <w:spacing w:val="-2"/>
                      <w:sz w:val="21"/>
                      <w:szCs w:val="21"/>
                    </w:rPr>
                    <w:t>号、韶环乐</w:t>
                  </w:r>
                  <w:r>
                    <w:rPr>
                      <w:rFonts w:ascii="宋体" w:hAnsi="宋体" w:eastAsia="宋体" w:cs="宋体"/>
                      <w:color w:val="auto"/>
                      <w:spacing w:val="-1"/>
                      <w:sz w:val="21"/>
                      <w:szCs w:val="21"/>
                    </w:rPr>
                    <w:t>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AE26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33C97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eastAsia="宋体"/>
                      <w:color w:val="auto"/>
                      <w:spacing w:val="-1"/>
                      <w:sz w:val="21"/>
                      <w:szCs w:val="21"/>
                      <w:lang w:val="en-US" w:eastAsia="zh-CN"/>
                    </w:rPr>
                  </w:pPr>
                  <w:r>
                    <w:rPr>
                      <w:rFonts w:hint="eastAsia" w:eastAsia="宋体"/>
                      <w:color w:val="auto"/>
                      <w:spacing w:val="-1"/>
                      <w:sz w:val="21"/>
                      <w:szCs w:val="21"/>
                      <w:lang w:val="en-US" w:eastAsia="zh-CN"/>
                    </w:rPr>
                    <w:t>29</w:t>
                  </w:r>
                </w:p>
              </w:tc>
              <w:tc>
                <w:tcPr>
                  <w:tcW w:w="961" w:type="dxa"/>
                  <w:vAlign w:val="center"/>
                </w:tcPr>
                <w:p w14:paraId="6FE8C2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1"/>
                      <w:sz w:val="21"/>
                      <w:szCs w:val="21"/>
                    </w:rPr>
                  </w:pPr>
                  <w:r>
                    <w:rPr>
                      <w:rFonts w:hint="eastAsia" w:ascii="宋体" w:hAnsi="宋体" w:eastAsia="宋体" w:cs="宋体"/>
                      <w:color w:val="auto"/>
                      <w:spacing w:val="-1"/>
                      <w:sz w:val="21"/>
                      <w:szCs w:val="21"/>
                    </w:rPr>
                    <w:t>深圳艾尔康电子元器件有限公司乐昌分公司</w:t>
                  </w:r>
                </w:p>
              </w:tc>
              <w:tc>
                <w:tcPr>
                  <w:tcW w:w="600" w:type="dxa"/>
                  <w:vAlign w:val="center"/>
                </w:tcPr>
                <w:p w14:paraId="39ADD00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8"/>
                      <w:sz w:val="21"/>
                      <w:szCs w:val="21"/>
                    </w:rPr>
                  </w:pPr>
                  <w:r>
                    <w:rPr>
                      <w:rFonts w:ascii="宋体" w:hAnsi="宋体" w:eastAsia="宋体" w:cs="宋体"/>
                      <w:color w:val="auto"/>
                      <w:spacing w:val="-8"/>
                      <w:sz w:val="21"/>
                      <w:szCs w:val="21"/>
                    </w:rPr>
                    <w:t>已建</w:t>
                  </w:r>
                </w:p>
              </w:tc>
              <w:tc>
                <w:tcPr>
                  <w:tcW w:w="915" w:type="dxa"/>
                  <w:vAlign w:val="center"/>
                </w:tcPr>
                <w:p w14:paraId="40380B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2"/>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6C69C0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pacing w:val="-4"/>
                      <w:sz w:val="21"/>
                      <w:szCs w:val="21"/>
                    </w:rPr>
                  </w:pPr>
                  <w:r>
                    <w:rPr>
                      <w:color w:val="auto"/>
                      <w:spacing w:val="-1"/>
                      <w:sz w:val="21"/>
                      <w:szCs w:val="21"/>
                    </w:rPr>
                    <w:t>20006.9</w:t>
                  </w:r>
                </w:p>
              </w:tc>
              <w:tc>
                <w:tcPr>
                  <w:tcW w:w="2053" w:type="dxa"/>
                  <w:vAlign w:val="center"/>
                </w:tcPr>
                <w:p w14:paraId="3B212F7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pacing w:val="-5"/>
                      <w:sz w:val="21"/>
                      <w:szCs w:val="21"/>
                    </w:rPr>
                  </w:pPr>
                  <w:r>
                    <w:rPr>
                      <w:rFonts w:ascii="宋体" w:hAnsi="宋体" w:eastAsia="宋体" w:cs="宋体"/>
                      <w:color w:val="auto"/>
                      <w:spacing w:val="-1"/>
                      <w:sz w:val="21"/>
                      <w:szCs w:val="21"/>
                    </w:rPr>
                    <w:t>年产探针</w:t>
                  </w:r>
                  <w:r>
                    <w:rPr>
                      <w:rFonts w:ascii="宋体" w:hAnsi="宋体" w:eastAsia="宋体" w:cs="宋体"/>
                      <w:color w:val="auto"/>
                      <w:spacing w:val="-49"/>
                      <w:sz w:val="21"/>
                      <w:szCs w:val="21"/>
                    </w:rPr>
                    <w:t xml:space="preserve"> </w:t>
                  </w:r>
                  <w:r>
                    <w:rPr>
                      <w:color w:val="auto"/>
                      <w:spacing w:val="-1"/>
                      <w:sz w:val="21"/>
                      <w:szCs w:val="21"/>
                    </w:rPr>
                    <w:t>422</w:t>
                  </w:r>
                  <w:r>
                    <w:rPr>
                      <w:color w:val="auto"/>
                      <w:spacing w:val="13"/>
                      <w:w w:val="101"/>
                      <w:sz w:val="21"/>
                      <w:szCs w:val="21"/>
                    </w:rPr>
                    <w:t xml:space="preserve"> </w:t>
                  </w:r>
                  <w:r>
                    <w:rPr>
                      <w:rFonts w:ascii="宋体" w:hAnsi="宋体" w:eastAsia="宋体" w:cs="宋体"/>
                      <w:color w:val="auto"/>
                      <w:spacing w:val="-1"/>
                      <w:sz w:val="21"/>
                      <w:szCs w:val="21"/>
                    </w:rPr>
                    <w:t>万、接线端子及其零部件</w:t>
                  </w:r>
                  <w:r>
                    <w:rPr>
                      <w:rFonts w:ascii="宋体" w:hAnsi="宋体" w:eastAsia="宋体" w:cs="宋体"/>
                      <w:color w:val="auto"/>
                      <w:spacing w:val="-44"/>
                      <w:sz w:val="21"/>
                      <w:szCs w:val="21"/>
                    </w:rPr>
                    <w:t xml:space="preserve"> </w:t>
                  </w:r>
                  <w:r>
                    <w:rPr>
                      <w:color w:val="auto"/>
                      <w:spacing w:val="-1"/>
                      <w:sz w:val="21"/>
                      <w:szCs w:val="21"/>
                    </w:rPr>
                    <w:t xml:space="preserve">36000 </w:t>
                  </w:r>
                  <w:r>
                    <w:rPr>
                      <w:rFonts w:ascii="宋体" w:hAnsi="宋体" w:eastAsia="宋体" w:cs="宋体"/>
                      <w:color w:val="auto"/>
                      <w:spacing w:val="-1"/>
                      <w:sz w:val="21"/>
                      <w:szCs w:val="21"/>
                    </w:rPr>
                    <w:t>万、感应器及</w:t>
                  </w:r>
                  <w:r>
                    <w:rPr>
                      <w:rFonts w:ascii="宋体" w:hAnsi="宋体" w:eastAsia="宋体" w:cs="宋体"/>
                      <w:color w:val="auto"/>
                      <w:spacing w:val="-2"/>
                      <w:sz w:val="21"/>
                      <w:szCs w:val="21"/>
                    </w:rPr>
                    <w:t>其零部件</w:t>
                  </w:r>
                  <w:r>
                    <w:rPr>
                      <w:rFonts w:ascii="宋体" w:hAnsi="宋体" w:eastAsia="宋体" w:cs="宋体"/>
                      <w:color w:val="auto"/>
                      <w:spacing w:val="-40"/>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万、接插件及其零部件</w:t>
                  </w:r>
                  <w:r>
                    <w:rPr>
                      <w:rFonts w:ascii="宋体" w:hAnsi="宋体" w:eastAsia="宋体" w:cs="宋体"/>
                      <w:color w:val="auto"/>
                      <w:spacing w:val="-48"/>
                      <w:sz w:val="21"/>
                      <w:szCs w:val="21"/>
                    </w:rPr>
                    <w:t xml:space="preserve"> </w:t>
                  </w:r>
                  <w:r>
                    <w:rPr>
                      <w:color w:val="auto"/>
                      <w:spacing w:val="-2"/>
                      <w:sz w:val="21"/>
                      <w:szCs w:val="21"/>
                    </w:rPr>
                    <w:t>2500</w:t>
                  </w:r>
                  <w:r>
                    <w:rPr>
                      <w:color w:val="auto"/>
                      <w:spacing w:val="14"/>
                      <w:sz w:val="21"/>
                      <w:szCs w:val="21"/>
                    </w:rPr>
                    <w:t xml:space="preserve"> </w:t>
                  </w:r>
                  <w:r>
                    <w:rPr>
                      <w:rFonts w:ascii="宋体" w:hAnsi="宋体" w:eastAsia="宋体" w:cs="宋体"/>
                      <w:color w:val="auto"/>
                      <w:spacing w:val="-2"/>
                      <w:sz w:val="21"/>
                      <w:szCs w:val="21"/>
                    </w:rPr>
                    <w:t>万、模具</w:t>
                  </w:r>
                  <w:r>
                    <w:rPr>
                      <w:rFonts w:ascii="宋体" w:hAnsi="宋体" w:eastAsia="宋体" w:cs="宋体"/>
                      <w:color w:val="auto"/>
                      <w:spacing w:val="-42"/>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套、</w:t>
                  </w:r>
                  <w:r>
                    <w:rPr>
                      <w:rFonts w:ascii="宋体" w:hAnsi="宋体" w:eastAsia="宋体" w:cs="宋体"/>
                      <w:color w:val="auto"/>
                      <w:spacing w:val="1"/>
                      <w:sz w:val="21"/>
                      <w:szCs w:val="21"/>
                    </w:rPr>
                    <w:t>五金产品</w:t>
                  </w:r>
                  <w:r>
                    <w:rPr>
                      <w:rFonts w:ascii="宋体" w:hAnsi="宋体" w:eastAsia="宋体" w:cs="宋体"/>
                      <w:color w:val="auto"/>
                      <w:spacing w:val="-43"/>
                      <w:sz w:val="21"/>
                      <w:szCs w:val="21"/>
                    </w:rPr>
                    <w:t xml:space="preserve"> </w:t>
                  </w:r>
                  <w:r>
                    <w:rPr>
                      <w:color w:val="auto"/>
                      <w:spacing w:val="1"/>
                      <w:sz w:val="21"/>
                      <w:szCs w:val="21"/>
                    </w:rPr>
                    <w:t xml:space="preserve">30000 </w:t>
                  </w:r>
                  <w:r>
                    <w:rPr>
                      <w:rFonts w:ascii="宋体" w:hAnsi="宋体" w:eastAsia="宋体" w:cs="宋体"/>
                      <w:color w:val="auto"/>
                      <w:spacing w:val="1"/>
                      <w:sz w:val="21"/>
                      <w:szCs w:val="21"/>
                    </w:rPr>
                    <w:t>万、塑胶配件</w:t>
                  </w:r>
                  <w:r>
                    <w:rPr>
                      <w:rFonts w:ascii="宋体" w:hAnsi="宋体" w:eastAsia="宋体" w:cs="宋体"/>
                      <w:color w:val="auto"/>
                      <w:spacing w:val="-43"/>
                      <w:sz w:val="21"/>
                      <w:szCs w:val="21"/>
                    </w:rPr>
                    <w:t xml:space="preserve"> </w:t>
                  </w:r>
                  <w:r>
                    <w:rPr>
                      <w:color w:val="auto"/>
                      <w:spacing w:val="1"/>
                      <w:sz w:val="21"/>
                      <w:szCs w:val="21"/>
                    </w:rPr>
                    <w:t>300</w:t>
                  </w:r>
                  <w:r>
                    <w:rPr>
                      <w:color w:val="auto"/>
                      <w:sz w:val="21"/>
                      <w:szCs w:val="21"/>
                    </w:rPr>
                    <w:t xml:space="preserve">00 </w:t>
                  </w:r>
                  <w:r>
                    <w:rPr>
                      <w:rFonts w:ascii="宋体" w:hAnsi="宋体" w:eastAsia="宋体" w:cs="宋体"/>
                      <w:color w:val="auto"/>
                      <w:sz w:val="21"/>
                      <w:szCs w:val="21"/>
                    </w:rPr>
                    <w:t>万、自动化装备</w:t>
                  </w:r>
                  <w:r>
                    <w:rPr>
                      <w:rFonts w:ascii="宋体" w:hAnsi="宋体" w:eastAsia="宋体" w:cs="宋体"/>
                      <w:color w:val="auto"/>
                      <w:spacing w:val="-43"/>
                      <w:sz w:val="21"/>
                      <w:szCs w:val="21"/>
                    </w:rPr>
                    <w:t xml:space="preserve"> </w:t>
                  </w:r>
                  <w:r>
                    <w:rPr>
                      <w:color w:val="auto"/>
                      <w:sz w:val="21"/>
                      <w:szCs w:val="21"/>
                    </w:rPr>
                    <w:t>50</w:t>
                  </w:r>
                  <w:r>
                    <w:rPr>
                      <w:color w:val="auto"/>
                      <w:spacing w:val="23"/>
                      <w:sz w:val="21"/>
                      <w:szCs w:val="21"/>
                    </w:rPr>
                    <w:t xml:space="preserve"> </w:t>
                  </w:r>
                  <w:r>
                    <w:rPr>
                      <w:rFonts w:ascii="宋体" w:hAnsi="宋体" w:eastAsia="宋体" w:cs="宋体"/>
                      <w:color w:val="auto"/>
                      <w:sz w:val="21"/>
                      <w:szCs w:val="21"/>
                    </w:rPr>
                    <w:t>台</w:t>
                  </w:r>
                </w:p>
              </w:tc>
              <w:tc>
                <w:tcPr>
                  <w:tcW w:w="1878" w:type="dxa"/>
                  <w:vAlign w:val="center"/>
                </w:tcPr>
                <w:p w14:paraId="4E0B38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pacing w:val="-2"/>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]32</w:t>
                  </w:r>
                  <w:r>
                    <w:rPr>
                      <w:color w:val="auto"/>
                      <w:spacing w:val="24"/>
                      <w:sz w:val="21"/>
                      <w:szCs w:val="21"/>
                    </w:rPr>
                    <w:t xml:space="preserve"> </w:t>
                  </w:r>
                  <w:r>
                    <w:rPr>
                      <w:rFonts w:ascii="宋体" w:hAnsi="宋体" w:eastAsia="宋体" w:cs="宋体"/>
                      <w:color w:val="auto"/>
                      <w:spacing w:val="-2"/>
                      <w:sz w:val="21"/>
                      <w:szCs w:val="21"/>
                    </w:rPr>
                    <w:t>号</w:t>
                  </w:r>
                </w:p>
              </w:tc>
            </w:tr>
            <w:tr w14:paraId="476C5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543B1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30</w:t>
                  </w:r>
                </w:p>
              </w:tc>
              <w:tc>
                <w:tcPr>
                  <w:tcW w:w="961" w:type="dxa"/>
                  <w:vAlign w:val="center"/>
                </w:tcPr>
                <w:p w14:paraId="08EB0F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乐昌市缔恒科技有限公司</w:t>
                  </w:r>
                </w:p>
              </w:tc>
              <w:tc>
                <w:tcPr>
                  <w:tcW w:w="600" w:type="dxa"/>
                  <w:vAlign w:val="center"/>
                </w:tcPr>
                <w:p w14:paraId="20D7FA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552C4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72A048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5000</w:t>
                  </w:r>
                </w:p>
              </w:tc>
              <w:tc>
                <w:tcPr>
                  <w:tcW w:w="2053" w:type="dxa"/>
                  <w:vAlign w:val="center"/>
                </w:tcPr>
                <w:p w14:paraId="0776367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年产金刚石复合片</w:t>
                  </w:r>
                  <w:r>
                    <w:rPr>
                      <w:rFonts w:ascii="宋体" w:hAnsi="宋体" w:eastAsia="宋体" w:cs="宋体"/>
                      <w:color w:val="auto"/>
                      <w:spacing w:val="-32"/>
                      <w:sz w:val="21"/>
                      <w:szCs w:val="21"/>
                    </w:rPr>
                    <w:t xml:space="preserve"> </w:t>
                  </w:r>
                  <w:r>
                    <w:rPr>
                      <w:color w:val="auto"/>
                      <w:spacing w:val="-3"/>
                      <w:sz w:val="21"/>
                      <w:szCs w:val="21"/>
                    </w:rPr>
                    <w:t>50</w:t>
                  </w:r>
                  <w:r>
                    <w:rPr>
                      <w:color w:val="auto"/>
                      <w:spacing w:val="14"/>
                      <w:sz w:val="21"/>
                      <w:szCs w:val="21"/>
                    </w:rPr>
                    <w:t xml:space="preserve"> </w:t>
                  </w:r>
                  <w:r>
                    <w:rPr>
                      <w:rFonts w:ascii="宋体" w:hAnsi="宋体" w:eastAsia="宋体" w:cs="宋体"/>
                      <w:color w:val="auto"/>
                      <w:spacing w:val="-3"/>
                      <w:sz w:val="21"/>
                      <w:szCs w:val="21"/>
                    </w:rPr>
                    <w:t>万片</w:t>
                  </w:r>
                </w:p>
              </w:tc>
              <w:tc>
                <w:tcPr>
                  <w:tcW w:w="1878" w:type="dxa"/>
                  <w:vAlign w:val="center"/>
                </w:tcPr>
                <w:p w14:paraId="4D2D0BE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乐环函</w:t>
                  </w:r>
                  <w:r>
                    <w:rPr>
                      <w:color w:val="auto"/>
                      <w:spacing w:val="-4"/>
                      <w:sz w:val="21"/>
                      <w:szCs w:val="21"/>
                    </w:rPr>
                    <w:t>[</w:t>
                  </w:r>
                  <w:r>
                    <w:rPr>
                      <w:color w:val="auto"/>
                      <w:sz w:val="21"/>
                      <w:szCs w:val="21"/>
                    </w:rPr>
                    <w:fldChar w:fldCharType="begin"/>
                  </w:r>
                  <w:r>
                    <w:rPr>
                      <w:color w:val="auto"/>
                      <w:sz w:val="21"/>
                      <w:szCs w:val="21"/>
                    </w:rPr>
                    <w:instrText xml:space="preserve"> HYPERLINK \l "bookmark232" </w:instrText>
                  </w:r>
                  <w:r>
                    <w:rPr>
                      <w:color w:val="auto"/>
                      <w:sz w:val="21"/>
                      <w:szCs w:val="21"/>
                    </w:rPr>
                    <w:fldChar w:fldCharType="separate"/>
                  </w:r>
                  <w:r>
                    <w:rPr>
                      <w:color w:val="auto"/>
                      <w:spacing w:val="-4"/>
                      <w:sz w:val="21"/>
                      <w:szCs w:val="21"/>
                    </w:rPr>
                    <w:t>2009</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16</w:t>
                  </w:r>
                  <w:r>
                    <w:rPr>
                      <w:color w:val="auto"/>
                      <w:spacing w:val="14"/>
                      <w:w w:val="101"/>
                      <w:sz w:val="21"/>
                      <w:szCs w:val="21"/>
                    </w:rPr>
                    <w:t xml:space="preserve"> </w:t>
                  </w:r>
                  <w:r>
                    <w:rPr>
                      <w:rFonts w:ascii="宋体" w:hAnsi="宋体" w:eastAsia="宋体" w:cs="宋体"/>
                      <w:color w:val="auto"/>
                      <w:spacing w:val="-4"/>
                      <w:sz w:val="21"/>
                      <w:szCs w:val="21"/>
                    </w:rPr>
                    <w:t>号</w:t>
                  </w:r>
                </w:p>
              </w:tc>
            </w:tr>
            <w:tr w14:paraId="08FB6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7C6B046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31</w:t>
                  </w:r>
                </w:p>
              </w:tc>
              <w:tc>
                <w:tcPr>
                  <w:tcW w:w="961" w:type="dxa"/>
                  <w:vAlign w:val="center"/>
                </w:tcPr>
                <w:p w14:paraId="262720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乐昌市盛昌钢构有限公司</w:t>
                  </w:r>
                </w:p>
              </w:tc>
              <w:tc>
                <w:tcPr>
                  <w:tcW w:w="600" w:type="dxa"/>
                  <w:vAlign w:val="center"/>
                </w:tcPr>
                <w:p w14:paraId="37104B2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02F51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041763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9000</w:t>
                  </w:r>
                </w:p>
              </w:tc>
              <w:tc>
                <w:tcPr>
                  <w:tcW w:w="2053" w:type="dxa"/>
                  <w:vAlign w:val="center"/>
                </w:tcPr>
                <w:p w14:paraId="53916D3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年加工</w:t>
                  </w:r>
                  <w:r>
                    <w:rPr>
                      <w:rFonts w:ascii="宋体" w:hAnsi="宋体" w:eastAsia="宋体" w:cs="宋体"/>
                      <w:color w:val="auto"/>
                      <w:spacing w:val="-35"/>
                      <w:sz w:val="21"/>
                      <w:szCs w:val="21"/>
                    </w:rPr>
                    <w:t xml:space="preserve"> </w:t>
                  </w:r>
                  <w:r>
                    <w:rPr>
                      <w:color w:val="auto"/>
                      <w:spacing w:val="-4"/>
                      <w:sz w:val="21"/>
                      <w:szCs w:val="21"/>
                    </w:rPr>
                    <w:t>500</w:t>
                  </w:r>
                  <w:r>
                    <w:rPr>
                      <w:color w:val="auto"/>
                      <w:spacing w:val="16"/>
                      <w:sz w:val="21"/>
                      <w:szCs w:val="21"/>
                    </w:rPr>
                    <w:t xml:space="preserve"> </w:t>
                  </w:r>
                  <w:r>
                    <w:rPr>
                      <w:rFonts w:ascii="宋体" w:hAnsi="宋体" w:eastAsia="宋体" w:cs="宋体"/>
                      <w:color w:val="auto"/>
                      <w:spacing w:val="-4"/>
                      <w:sz w:val="21"/>
                      <w:szCs w:val="21"/>
                    </w:rPr>
                    <w:t>吨钢结构</w:t>
                  </w:r>
                </w:p>
              </w:tc>
              <w:tc>
                <w:tcPr>
                  <w:tcW w:w="1878" w:type="dxa"/>
                  <w:vAlign w:val="center"/>
                </w:tcPr>
                <w:p w14:paraId="738CB4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乐环函</w:t>
                  </w:r>
                  <w:r>
                    <w:rPr>
                      <w:color w:val="auto"/>
                      <w:spacing w:val="-1"/>
                      <w:sz w:val="21"/>
                      <w:szCs w:val="21"/>
                    </w:rPr>
                    <w:t>[</w:t>
                  </w:r>
                  <w:r>
                    <w:rPr>
                      <w:color w:val="auto"/>
                      <w:sz w:val="21"/>
                      <w:szCs w:val="21"/>
                    </w:rPr>
                    <w:fldChar w:fldCharType="begin"/>
                  </w:r>
                  <w:r>
                    <w:rPr>
                      <w:color w:val="auto"/>
                      <w:sz w:val="21"/>
                      <w:szCs w:val="21"/>
                    </w:rPr>
                    <w:instrText xml:space="preserve"> HYPERLINK \l "bookmark233" </w:instrText>
                  </w:r>
                  <w:r>
                    <w:rPr>
                      <w:color w:val="auto"/>
                      <w:sz w:val="21"/>
                      <w:szCs w:val="21"/>
                    </w:rPr>
                    <w:fldChar w:fldCharType="separate"/>
                  </w:r>
                  <w:r>
                    <w:rPr>
                      <w:color w:val="auto"/>
                      <w:spacing w:val="-1"/>
                      <w:sz w:val="21"/>
                      <w:szCs w:val="21"/>
                    </w:rPr>
                    <w:t>2011</w:t>
                  </w:r>
                  <w:r>
                    <w:rPr>
                      <w:color w:val="auto"/>
                      <w:spacing w:val="-1"/>
                      <w:sz w:val="21"/>
                      <w:szCs w:val="21"/>
                    </w:rPr>
                    <w:fldChar w:fldCharType="end"/>
                  </w:r>
                  <w:r>
                    <w:rPr>
                      <w:color w:val="auto"/>
                      <w:spacing w:val="-1"/>
                      <w:sz w:val="21"/>
                      <w:szCs w:val="21"/>
                    </w:rPr>
                    <w:t xml:space="preserve">]80 </w:t>
                  </w:r>
                  <w:r>
                    <w:rPr>
                      <w:rFonts w:ascii="宋体" w:hAnsi="宋体" w:eastAsia="宋体" w:cs="宋体"/>
                      <w:color w:val="auto"/>
                      <w:spacing w:val="-1"/>
                      <w:sz w:val="21"/>
                      <w:szCs w:val="21"/>
                    </w:rPr>
                    <w:t>号</w:t>
                  </w:r>
                </w:p>
              </w:tc>
            </w:tr>
            <w:tr w14:paraId="2460C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887F8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32</w:t>
                  </w:r>
                </w:p>
              </w:tc>
              <w:tc>
                <w:tcPr>
                  <w:tcW w:w="961" w:type="dxa"/>
                  <w:vAlign w:val="center"/>
                </w:tcPr>
                <w:p w14:paraId="1CF5E0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乐昌市安莉琪服饰有限公司</w:t>
                  </w:r>
                </w:p>
              </w:tc>
              <w:tc>
                <w:tcPr>
                  <w:tcW w:w="600" w:type="dxa"/>
                  <w:vAlign w:val="center"/>
                </w:tcPr>
                <w:p w14:paraId="3B6380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1C393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纺织服装、服饰业</w:t>
                  </w:r>
                </w:p>
              </w:tc>
              <w:tc>
                <w:tcPr>
                  <w:tcW w:w="1140" w:type="dxa"/>
                  <w:vAlign w:val="center"/>
                </w:tcPr>
                <w:p w14:paraId="7517096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13164.82</w:t>
                  </w:r>
                </w:p>
              </w:tc>
              <w:tc>
                <w:tcPr>
                  <w:tcW w:w="2053" w:type="dxa"/>
                  <w:vAlign w:val="center"/>
                </w:tcPr>
                <w:p w14:paraId="5A063A2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37"/>
                      <w:sz w:val="21"/>
                      <w:szCs w:val="21"/>
                    </w:rPr>
                    <w:t xml:space="preserve"> </w:t>
                  </w:r>
                  <w:r>
                    <w:rPr>
                      <w:color w:val="auto"/>
                      <w:spacing w:val="-4"/>
                      <w:sz w:val="21"/>
                      <w:szCs w:val="21"/>
                    </w:rPr>
                    <w:t>600</w:t>
                  </w:r>
                  <w:r>
                    <w:rPr>
                      <w:color w:val="auto"/>
                      <w:spacing w:val="14"/>
                      <w:sz w:val="21"/>
                      <w:szCs w:val="21"/>
                    </w:rPr>
                    <w:t xml:space="preserve"> </w:t>
                  </w:r>
                  <w:r>
                    <w:rPr>
                      <w:rFonts w:ascii="宋体" w:hAnsi="宋体" w:eastAsia="宋体" w:cs="宋体"/>
                      <w:color w:val="auto"/>
                      <w:spacing w:val="-4"/>
                      <w:sz w:val="21"/>
                      <w:szCs w:val="21"/>
                    </w:rPr>
                    <w:t>万件服装</w:t>
                  </w:r>
                </w:p>
              </w:tc>
              <w:tc>
                <w:tcPr>
                  <w:tcW w:w="1878" w:type="dxa"/>
                  <w:vAlign w:val="center"/>
                </w:tcPr>
                <w:p w14:paraId="2405CE1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"bookmark234"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]61</w:t>
                  </w:r>
                  <w:r>
                    <w:rPr>
                      <w:color w:val="auto"/>
                      <w:spacing w:val="24"/>
                      <w:sz w:val="21"/>
                      <w:szCs w:val="21"/>
                    </w:rPr>
                    <w:t xml:space="preserve"> </w:t>
                  </w:r>
                  <w:r>
                    <w:rPr>
                      <w:rFonts w:ascii="宋体" w:hAnsi="宋体" w:eastAsia="宋体" w:cs="宋体"/>
                      <w:color w:val="auto"/>
                      <w:spacing w:val="-2"/>
                      <w:sz w:val="21"/>
                      <w:szCs w:val="21"/>
                    </w:rPr>
                    <w:t>号</w:t>
                  </w:r>
                </w:p>
              </w:tc>
            </w:tr>
            <w:tr w14:paraId="6FC0D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1EF5EC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33</w:t>
                  </w:r>
                </w:p>
              </w:tc>
              <w:tc>
                <w:tcPr>
                  <w:tcW w:w="961" w:type="dxa"/>
                  <w:vAlign w:val="center"/>
                </w:tcPr>
                <w:p w14:paraId="709A3C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乐昌市宏泰机械制造有限公</w:t>
                  </w:r>
                </w:p>
                <w:p w14:paraId="4A2FDE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76859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A28A2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1C7933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17320</w:t>
                  </w:r>
                </w:p>
              </w:tc>
              <w:tc>
                <w:tcPr>
                  <w:tcW w:w="2053" w:type="dxa"/>
                  <w:vAlign w:val="center"/>
                </w:tcPr>
                <w:p w14:paraId="1D219B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年产铸钢件</w:t>
                  </w:r>
                  <w:r>
                    <w:rPr>
                      <w:rFonts w:ascii="宋体" w:hAnsi="宋体" w:eastAsia="宋体" w:cs="宋体"/>
                      <w:color w:val="auto"/>
                      <w:spacing w:val="-10"/>
                      <w:sz w:val="21"/>
                      <w:szCs w:val="21"/>
                    </w:rPr>
                    <w:t xml:space="preserve"> </w:t>
                  </w:r>
                  <w:r>
                    <w:rPr>
                      <w:color w:val="auto"/>
                      <w:spacing w:val="-3"/>
                      <w:sz w:val="21"/>
                      <w:szCs w:val="21"/>
                    </w:rPr>
                    <w:t xml:space="preserve">1.5 </w:t>
                  </w:r>
                  <w:r>
                    <w:rPr>
                      <w:rFonts w:ascii="宋体" w:hAnsi="宋体" w:eastAsia="宋体" w:cs="宋体"/>
                      <w:color w:val="auto"/>
                      <w:spacing w:val="-3"/>
                      <w:sz w:val="21"/>
                      <w:szCs w:val="21"/>
                    </w:rPr>
                    <w:t>万吨、铸铁件</w:t>
                  </w:r>
                  <w:r>
                    <w:rPr>
                      <w:rFonts w:ascii="宋体" w:hAnsi="宋体" w:eastAsia="宋体" w:cs="宋体"/>
                      <w:color w:val="auto"/>
                      <w:spacing w:val="-42"/>
                      <w:sz w:val="21"/>
                      <w:szCs w:val="21"/>
                    </w:rPr>
                    <w:t xml:space="preserve"> </w:t>
                  </w:r>
                  <w:r>
                    <w:rPr>
                      <w:color w:val="auto"/>
                      <w:spacing w:val="-3"/>
                      <w:sz w:val="21"/>
                      <w:szCs w:val="21"/>
                    </w:rPr>
                    <w:t>5000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494B687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3"/>
                      <w:sz w:val="21"/>
                      <w:szCs w:val="21"/>
                    </w:rPr>
                    <w:t>乐环函</w:t>
                  </w:r>
                  <w:r>
                    <w:rPr>
                      <w:color w:val="auto"/>
                      <w:spacing w:val="-13"/>
                      <w:sz w:val="21"/>
                      <w:szCs w:val="21"/>
                    </w:rPr>
                    <w:t>[</w:t>
                  </w:r>
                  <w:r>
                    <w:rPr>
                      <w:color w:val="auto"/>
                      <w:sz w:val="21"/>
                      <w:szCs w:val="21"/>
                    </w:rPr>
                    <w:fldChar w:fldCharType="begin"/>
                  </w:r>
                  <w:r>
                    <w:rPr>
                      <w:color w:val="auto"/>
                      <w:sz w:val="21"/>
                      <w:szCs w:val="21"/>
                    </w:rPr>
                    <w:instrText xml:space="preserve"> HYPERLINK \l "bookmark235" </w:instrText>
                  </w:r>
                  <w:r>
                    <w:rPr>
                      <w:color w:val="auto"/>
                      <w:sz w:val="21"/>
                      <w:szCs w:val="21"/>
                    </w:rPr>
                    <w:fldChar w:fldCharType="separate"/>
                  </w:r>
                  <w:r>
                    <w:rPr>
                      <w:color w:val="auto"/>
                      <w:spacing w:val="-13"/>
                      <w:sz w:val="21"/>
                      <w:szCs w:val="21"/>
                    </w:rPr>
                    <w:t>2009</w:t>
                  </w:r>
                  <w:r>
                    <w:rPr>
                      <w:color w:val="auto"/>
                      <w:spacing w:val="-13"/>
                      <w:sz w:val="21"/>
                      <w:szCs w:val="21"/>
                    </w:rPr>
                    <w:fldChar w:fldCharType="end"/>
                  </w:r>
                  <w:r>
                    <w:rPr>
                      <w:color w:val="auto"/>
                      <w:spacing w:val="-13"/>
                      <w:sz w:val="21"/>
                      <w:szCs w:val="21"/>
                    </w:rPr>
                    <w:t>]36</w:t>
                  </w:r>
                  <w:r>
                    <w:rPr>
                      <w:color w:val="auto"/>
                      <w:spacing w:val="30"/>
                      <w:sz w:val="21"/>
                      <w:szCs w:val="21"/>
                    </w:rPr>
                    <w:t xml:space="preserve"> </w:t>
                  </w:r>
                  <w:r>
                    <w:rPr>
                      <w:rFonts w:ascii="宋体" w:hAnsi="宋体" w:eastAsia="宋体" w:cs="宋体"/>
                      <w:color w:val="auto"/>
                      <w:spacing w:val="-13"/>
                      <w:sz w:val="21"/>
                      <w:szCs w:val="21"/>
                    </w:rPr>
                    <w:t>号、乐环审〔</w:t>
                  </w:r>
                  <w:r>
                    <w:rPr>
                      <w:color w:val="auto"/>
                      <w:spacing w:val="-13"/>
                      <w:sz w:val="21"/>
                      <w:szCs w:val="21"/>
                    </w:rPr>
                    <w:t>2019</w:t>
                  </w:r>
                  <w:r>
                    <w:rPr>
                      <w:rFonts w:ascii="宋体" w:hAnsi="宋体" w:eastAsia="宋体" w:cs="宋体"/>
                      <w:color w:val="auto"/>
                      <w:spacing w:val="-13"/>
                      <w:sz w:val="21"/>
                      <w:szCs w:val="21"/>
                    </w:rPr>
                    <w:t>〕</w:t>
                  </w:r>
                </w:p>
                <w:p w14:paraId="185AA58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1"/>
                      <w:sz w:val="21"/>
                      <w:szCs w:val="21"/>
                    </w:rPr>
                    <w:t>43</w:t>
                  </w:r>
                  <w:r>
                    <w:rPr>
                      <w:color w:val="auto"/>
                      <w:spacing w:val="13"/>
                      <w:w w:val="101"/>
                      <w:sz w:val="21"/>
                      <w:szCs w:val="21"/>
                    </w:rPr>
                    <w:t xml:space="preserve"> </w:t>
                  </w:r>
                  <w:r>
                    <w:rPr>
                      <w:rFonts w:ascii="宋体" w:hAnsi="宋体" w:eastAsia="宋体" w:cs="宋体"/>
                      <w:color w:val="auto"/>
                      <w:spacing w:val="-1"/>
                      <w:sz w:val="21"/>
                      <w:szCs w:val="21"/>
                    </w:rPr>
                    <w:t>号</w:t>
                  </w:r>
                </w:p>
              </w:tc>
            </w:tr>
            <w:tr w14:paraId="1EC99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11" w:type="dxa"/>
                  <w:vAlign w:val="center"/>
                </w:tcPr>
                <w:p w14:paraId="6EE7E1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34</w:t>
                  </w:r>
                </w:p>
              </w:tc>
              <w:tc>
                <w:tcPr>
                  <w:tcW w:w="961" w:type="dxa"/>
                  <w:vAlign w:val="center"/>
                </w:tcPr>
                <w:p w14:paraId="39FACC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乐昌市特安消防器材有限公</w:t>
                  </w:r>
                </w:p>
                <w:p w14:paraId="57A0CA6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B87B4A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5A2331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40DABB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1283.1</w:t>
                  </w:r>
                </w:p>
              </w:tc>
              <w:tc>
                <w:tcPr>
                  <w:tcW w:w="2053" w:type="dxa"/>
                  <w:vAlign w:val="center"/>
                </w:tcPr>
                <w:p w14:paraId="5DF29F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年产过滤式消防自救呼吸器</w:t>
                  </w:r>
                  <w:r>
                    <w:rPr>
                      <w:rFonts w:ascii="宋体" w:hAnsi="宋体" w:eastAsia="宋体" w:cs="宋体"/>
                      <w:color w:val="auto"/>
                      <w:spacing w:val="-44"/>
                      <w:sz w:val="21"/>
                      <w:szCs w:val="21"/>
                    </w:rPr>
                    <w:t xml:space="preserve"> </w:t>
                  </w:r>
                  <w:r>
                    <w:rPr>
                      <w:color w:val="auto"/>
                      <w:spacing w:val="-2"/>
                      <w:sz w:val="21"/>
                      <w:szCs w:val="21"/>
                    </w:rPr>
                    <w:t xml:space="preserve">60 </w:t>
                  </w:r>
                  <w:r>
                    <w:rPr>
                      <w:rFonts w:ascii="宋体" w:hAnsi="宋体" w:eastAsia="宋体" w:cs="宋体"/>
                      <w:color w:val="auto"/>
                      <w:spacing w:val="-2"/>
                      <w:sz w:val="21"/>
                      <w:szCs w:val="21"/>
                    </w:rPr>
                    <w:t>万件（含霍加拉特剂生产</w:t>
                  </w:r>
                  <w:r>
                    <w:rPr>
                      <w:rFonts w:ascii="宋体" w:hAnsi="宋体" w:eastAsia="宋体" w:cs="宋体"/>
                      <w:color w:val="auto"/>
                      <w:spacing w:val="-43"/>
                      <w:sz w:val="21"/>
                      <w:szCs w:val="21"/>
                    </w:rPr>
                    <w:t xml:space="preserve"> </w:t>
                  </w:r>
                  <w:r>
                    <w:rPr>
                      <w:color w:val="auto"/>
                      <w:spacing w:val="-2"/>
                      <w:sz w:val="21"/>
                      <w:szCs w:val="21"/>
                    </w:rPr>
                    <w:t>600</w:t>
                  </w:r>
                </w:p>
                <w:p w14:paraId="02C03D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吨</w:t>
                  </w:r>
                  <w:r>
                    <w:rPr>
                      <w:rFonts w:ascii="宋体" w:hAnsi="宋体" w:eastAsia="宋体" w:cs="宋体"/>
                      <w:color w:val="auto"/>
                      <w:spacing w:val="-29"/>
                      <w:sz w:val="21"/>
                      <w:szCs w:val="21"/>
                    </w:rPr>
                    <w:t>），</w:t>
                  </w:r>
                  <w:r>
                    <w:rPr>
                      <w:rFonts w:ascii="宋体" w:hAnsi="宋体" w:eastAsia="宋体" w:cs="宋体"/>
                      <w:color w:val="auto"/>
                      <w:spacing w:val="-2"/>
                      <w:sz w:val="21"/>
                      <w:szCs w:val="21"/>
                    </w:rPr>
                    <w:t>逃生缓降器</w:t>
                  </w:r>
                  <w:r>
                    <w:rPr>
                      <w:rFonts w:ascii="宋体" w:hAnsi="宋体" w:eastAsia="宋体" w:cs="宋体"/>
                      <w:color w:val="auto"/>
                      <w:spacing w:val="-43"/>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套，急逃生绳</w:t>
                  </w:r>
                  <w:r>
                    <w:rPr>
                      <w:rFonts w:ascii="宋体" w:hAnsi="宋体" w:eastAsia="宋体" w:cs="宋体"/>
                      <w:color w:val="auto"/>
                      <w:spacing w:val="-43"/>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条，</w:t>
                  </w:r>
                  <w:r>
                    <w:rPr>
                      <w:rFonts w:ascii="宋体" w:hAnsi="宋体" w:eastAsia="宋体" w:cs="宋体"/>
                      <w:color w:val="auto"/>
                      <w:spacing w:val="-3"/>
                      <w:sz w:val="21"/>
                      <w:szCs w:val="21"/>
                    </w:rPr>
                    <w:t>消防防护服</w:t>
                  </w:r>
                  <w:r>
                    <w:rPr>
                      <w:color w:val="auto"/>
                      <w:spacing w:val="-3"/>
                      <w:sz w:val="21"/>
                      <w:szCs w:val="21"/>
                    </w:rPr>
                    <w:t>2</w:t>
                  </w:r>
                </w:p>
                <w:p w14:paraId="72B01A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万套，家庭应急供氧组合装备</w:t>
                  </w:r>
                  <w:r>
                    <w:rPr>
                      <w:rFonts w:ascii="宋体" w:hAnsi="宋体" w:eastAsia="宋体" w:cs="宋体"/>
                      <w:color w:val="auto"/>
                      <w:spacing w:val="-10"/>
                      <w:sz w:val="21"/>
                      <w:szCs w:val="21"/>
                    </w:rPr>
                    <w:t xml:space="preserve"> </w:t>
                  </w:r>
                  <w:r>
                    <w:rPr>
                      <w:color w:val="auto"/>
                      <w:spacing w:val="-3"/>
                      <w:sz w:val="21"/>
                      <w:szCs w:val="21"/>
                    </w:rPr>
                    <w:t>1500</w:t>
                  </w:r>
                  <w:r>
                    <w:rPr>
                      <w:color w:val="auto"/>
                      <w:spacing w:val="22"/>
                      <w:w w:val="101"/>
                      <w:sz w:val="21"/>
                      <w:szCs w:val="21"/>
                    </w:rPr>
                    <w:t xml:space="preserve"> </w:t>
                  </w:r>
                  <w:r>
                    <w:rPr>
                      <w:rFonts w:ascii="宋体" w:hAnsi="宋体" w:eastAsia="宋体" w:cs="宋体"/>
                      <w:color w:val="auto"/>
                      <w:spacing w:val="-3"/>
                      <w:sz w:val="21"/>
                      <w:szCs w:val="21"/>
                    </w:rPr>
                    <w:t>台，灭火毯</w:t>
                  </w:r>
                  <w:r>
                    <w:rPr>
                      <w:rFonts w:ascii="宋体" w:hAnsi="宋体" w:eastAsia="宋体" w:cs="宋体"/>
                      <w:color w:val="auto"/>
                      <w:spacing w:val="-44"/>
                      <w:sz w:val="21"/>
                      <w:szCs w:val="21"/>
                    </w:rPr>
                    <w:t xml:space="preserve"> </w:t>
                  </w:r>
                  <w:r>
                    <w:rPr>
                      <w:color w:val="auto"/>
                      <w:spacing w:val="-3"/>
                      <w:sz w:val="21"/>
                      <w:szCs w:val="21"/>
                    </w:rPr>
                    <w:t>3000</w:t>
                  </w:r>
                  <w:r>
                    <w:rPr>
                      <w:color w:val="auto"/>
                      <w:spacing w:val="14"/>
                      <w:sz w:val="21"/>
                      <w:szCs w:val="21"/>
                    </w:rPr>
                    <w:t xml:space="preserve"> </w:t>
                  </w:r>
                  <w:r>
                    <w:rPr>
                      <w:rFonts w:ascii="宋体" w:hAnsi="宋体" w:eastAsia="宋体" w:cs="宋体"/>
                      <w:color w:val="auto"/>
                      <w:spacing w:val="-3"/>
                      <w:sz w:val="21"/>
                      <w:szCs w:val="21"/>
                    </w:rPr>
                    <w:t>张，箔</w:t>
                  </w:r>
                  <w:r>
                    <w:rPr>
                      <w:rFonts w:ascii="宋体" w:hAnsi="宋体" w:eastAsia="宋体" w:cs="宋体"/>
                      <w:color w:val="auto"/>
                      <w:spacing w:val="-2"/>
                      <w:sz w:val="21"/>
                      <w:szCs w:val="21"/>
                    </w:rPr>
                    <w:t>隔热服</w:t>
                  </w:r>
                  <w:r>
                    <w:rPr>
                      <w:rFonts w:ascii="宋体" w:hAnsi="宋体" w:eastAsia="宋体" w:cs="宋体"/>
                      <w:color w:val="auto"/>
                      <w:spacing w:val="-26"/>
                      <w:sz w:val="21"/>
                      <w:szCs w:val="21"/>
                    </w:rPr>
                    <w:t xml:space="preserve"> </w:t>
                  </w:r>
                  <w:r>
                    <w:rPr>
                      <w:color w:val="auto"/>
                      <w:spacing w:val="-2"/>
                      <w:sz w:val="21"/>
                      <w:szCs w:val="21"/>
                    </w:rPr>
                    <w:t xml:space="preserve">3000 </w:t>
                  </w:r>
                  <w:r>
                    <w:rPr>
                      <w:rFonts w:ascii="宋体" w:hAnsi="宋体" w:eastAsia="宋体" w:cs="宋体"/>
                      <w:color w:val="auto"/>
                      <w:spacing w:val="-2"/>
                      <w:sz w:val="21"/>
                      <w:szCs w:val="21"/>
                    </w:rPr>
                    <w:t>套，以及应急包、应急箱</w:t>
                  </w:r>
                  <w:r>
                    <w:rPr>
                      <w:rFonts w:ascii="宋体" w:hAnsi="宋体" w:eastAsia="宋体" w:cs="宋体"/>
                      <w:color w:val="auto"/>
                      <w:spacing w:val="-43"/>
                      <w:sz w:val="21"/>
                      <w:szCs w:val="21"/>
                    </w:rPr>
                    <w:t xml:space="preserve"> </w:t>
                  </w:r>
                  <w:r>
                    <w:rPr>
                      <w:color w:val="auto"/>
                      <w:spacing w:val="-2"/>
                      <w:sz w:val="21"/>
                      <w:szCs w:val="21"/>
                    </w:rPr>
                    <w:t xml:space="preserve">6000 </w:t>
                  </w:r>
                  <w:r>
                    <w:rPr>
                      <w:rFonts w:ascii="宋体" w:hAnsi="宋体" w:eastAsia="宋体" w:cs="宋体"/>
                      <w:color w:val="auto"/>
                      <w:spacing w:val="-2"/>
                      <w:sz w:val="21"/>
                      <w:szCs w:val="21"/>
                    </w:rPr>
                    <w:t>套等</w:t>
                  </w:r>
                </w:p>
              </w:tc>
              <w:tc>
                <w:tcPr>
                  <w:tcW w:w="1878" w:type="dxa"/>
                  <w:vAlign w:val="center"/>
                </w:tcPr>
                <w:p w14:paraId="59A7A0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"bookmark236"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]79</w:t>
                  </w:r>
                  <w:r>
                    <w:rPr>
                      <w:color w:val="auto"/>
                      <w:spacing w:val="24"/>
                      <w:sz w:val="21"/>
                      <w:szCs w:val="21"/>
                    </w:rPr>
                    <w:t xml:space="preserve"> </w:t>
                  </w:r>
                  <w:r>
                    <w:rPr>
                      <w:rFonts w:ascii="宋体" w:hAnsi="宋体" w:eastAsia="宋体" w:cs="宋体"/>
                      <w:color w:val="auto"/>
                      <w:spacing w:val="-2"/>
                      <w:sz w:val="21"/>
                      <w:szCs w:val="21"/>
                    </w:rPr>
                    <w:t>号</w:t>
                  </w:r>
                </w:p>
              </w:tc>
            </w:tr>
            <w:tr w14:paraId="19710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7D683D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35</w:t>
                  </w:r>
                </w:p>
              </w:tc>
              <w:tc>
                <w:tcPr>
                  <w:tcW w:w="961" w:type="dxa"/>
                  <w:vAlign w:val="center"/>
                </w:tcPr>
                <w:p w14:paraId="3653A91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乐昌市同路单采血浆有限公</w:t>
                  </w:r>
                </w:p>
                <w:p w14:paraId="77D37D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B9265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5B714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卫生</w:t>
                  </w:r>
                </w:p>
              </w:tc>
              <w:tc>
                <w:tcPr>
                  <w:tcW w:w="1140" w:type="dxa"/>
                  <w:vAlign w:val="center"/>
                </w:tcPr>
                <w:p w14:paraId="1608D2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9379</w:t>
                  </w:r>
                </w:p>
              </w:tc>
              <w:tc>
                <w:tcPr>
                  <w:tcW w:w="2053" w:type="dxa"/>
                  <w:vAlign w:val="center"/>
                </w:tcPr>
                <w:p w14:paraId="50544E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2"/>
                      <w:sz w:val="21"/>
                      <w:szCs w:val="21"/>
                    </w:rPr>
                    <w:t>采浆量为</w:t>
                  </w:r>
                  <w:r>
                    <w:rPr>
                      <w:rFonts w:ascii="宋体" w:hAnsi="宋体" w:eastAsia="宋体" w:cs="宋体"/>
                      <w:color w:val="auto"/>
                      <w:spacing w:val="-41"/>
                      <w:sz w:val="21"/>
                      <w:szCs w:val="21"/>
                    </w:rPr>
                    <w:t xml:space="preserve"> </w:t>
                  </w:r>
                  <w:r>
                    <w:rPr>
                      <w:color w:val="auto"/>
                      <w:spacing w:val="-2"/>
                      <w:sz w:val="21"/>
                      <w:szCs w:val="21"/>
                    </w:rPr>
                    <w:t>40t/a</w:t>
                  </w:r>
                </w:p>
              </w:tc>
              <w:tc>
                <w:tcPr>
                  <w:tcW w:w="1878" w:type="dxa"/>
                  <w:vAlign w:val="center"/>
                </w:tcPr>
                <w:p w14:paraId="6AFC6D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"bookmark237" </w:instrText>
                  </w:r>
                  <w:r>
                    <w:rPr>
                      <w:color w:val="auto"/>
                      <w:sz w:val="21"/>
                      <w:szCs w:val="21"/>
                    </w:rPr>
                    <w:fldChar w:fldCharType="separate"/>
                  </w:r>
                  <w:r>
                    <w:rPr>
                      <w:color w:val="auto"/>
                      <w:spacing w:val="-2"/>
                      <w:sz w:val="21"/>
                      <w:szCs w:val="21"/>
                    </w:rPr>
                    <w:t>2016</w:t>
                  </w:r>
                  <w:r>
                    <w:rPr>
                      <w:color w:val="auto"/>
                      <w:spacing w:val="-2"/>
                      <w:sz w:val="21"/>
                      <w:szCs w:val="21"/>
                    </w:rPr>
                    <w:fldChar w:fldCharType="end"/>
                  </w:r>
                  <w:r>
                    <w:rPr>
                      <w:color w:val="auto"/>
                      <w:spacing w:val="-2"/>
                      <w:sz w:val="21"/>
                      <w:szCs w:val="21"/>
                    </w:rPr>
                    <w:t>]20</w:t>
                  </w:r>
                  <w:r>
                    <w:rPr>
                      <w:color w:val="auto"/>
                      <w:spacing w:val="24"/>
                      <w:sz w:val="21"/>
                      <w:szCs w:val="21"/>
                    </w:rPr>
                    <w:t xml:space="preserve"> </w:t>
                  </w:r>
                  <w:r>
                    <w:rPr>
                      <w:rFonts w:ascii="宋体" w:hAnsi="宋体" w:eastAsia="宋体" w:cs="宋体"/>
                      <w:color w:val="auto"/>
                      <w:spacing w:val="-2"/>
                      <w:sz w:val="21"/>
                      <w:szCs w:val="21"/>
                    </w:rPr>
                    <w:t>号</w:t>
                  </w:r>
                </w:p>
              </w:tc>
            </w:tr>
            <w:tr w14:paraId="6C6FD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78380E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36</w:t>
                  </w:r>
                </w:p>
              </w:tc>
              <w:tc>
                <w:tcPr>
                  <w:tcW w:w="961" w:type="dxa"/>
                  <w:vAlign w:val="center"/>
                </w:tcPr>
                <w:p w14:paraId="00E71C0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韶关鑫瑞智能装备有限公司</w:t>
                  </w:r>
                </w:p>
              </w:tc>
              <w:tc>
                <w:tcPr>
                  <w:tcW w:w="600" w:type="dxa"/>
                  <w:vAlign w:val="center"/>
                </w:tcPr>
                <w:p w14:paraId="5FE0AA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6E6152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2096E0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17693</w:t>
                  </w:r>
                </w:p>
              </w:tc>
              <w:tc>
                <w:tcPr>
                  <w:tcW w:w="2053" w:type="dxa"/>
                  <w:vAlign w:val="center"/>
                </w:tcPr>
                <w:p w14:paraId="2CCBE7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年产破碎、筛分单机设备，移动式破碎筛分装备和</w:t>
                  </w:r>
                  <w:r>
                    <w:rPr>
                      <w:rFonts w:ascii="宋体" w:hAnsi="宋体" w:eastAsia="宋体" w:cs="宋体"/>
                      <w:color w:val="auto"/>
                      <w:spacing w:val="-1"/>
                      <w:sz w:val="21"/>
                      <w:szCs w:val="21"/>
                    </w:rPr>
                    <w:t>模块化装</w:t>
                  </w:r>
                </w:p>
                <w:p w14:paraId="2D7B43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备</w:t>
                  </w:r>
                  <w:r>
                    <w:rPr>
                      <w:rFonts w:ascii="宋体" w:hAnsi="宋体" w:eastAsia="宋体" w:cs="宋体"/>
                      <w:color w:val="auto"/>
                      <w:spacing w:val="-36"/>
                      <w:sz w:val="21"/>
                      <w:szCs w:val="21"/>
                    </w:rPr>
                    <w:t xml:space="preserve"> </w:t>
                  </w:r>
                  <w:r>
                    <w:rPr>
                      <w:color w:val="auto"/>
                      <w:spacing w:val="-5"/>
                      <w:sz w:val="21"/>
                      <w:szCs w:val="21"/>
                    </w:rPr>
                    <w:t>803</w:t>
                  </w:r>
                  <w:r>
                    <w:rPr>
                      <w:color w:val="auto"/>
                      <w:spacing w:val="23"/>
                      <w:sz w:val="21"/>
                      <w:szCs w:val="21"/>
                    </w:rPr>
                    <w:t xml:space="preserve"> </w:t>
                  </w:r>
                  <w:r>
                    <w:rPr>
                      <w:rFonts w:ascii="宋体" w:hAnsi="宋体" w:eastAsia="宋体" w:cs="宋体"/>
                      <w:color w:val="auto"/>
                      <w:spacing w:val="-5"/>
                      <w:sz w:val="21"/>
                      <w:szCs w:val="21"/>
                    </w:rPr>
                    <w:t>台</w:t>
                  </w:r>
                </w:p>
              </w:tc>
              <w:tc>
                <w:tcPr>
                  <w:tcW w:w="1878" w:type="dxa"/>
                  <w:vAlign w:val="center"/>
                </w:tcPr>
                <w:p w14:paraId="56BC60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25 </w:t>
                  </w:r>
                  <w:r>
                    <w:rPr>
                      <w:rFonts w:ascii="宋体" w:hAnsi="宋体" w:eastAsia="宋体" w:cs="宋体"/>
                      <w:color w:val="auto"/>
                      <w:spacing w:val="-1"/>
                      <w:sz w:val="21"/>
                      <w:szCs w:val="21"/>
                    </w:rPr>
                    <w:t>号</w:t>
                  </w:r>
                </w:p>
              </w:tc>
            </w:tr>
            <w:tr w14:paraId="06C95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83585E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37</w:t>
                  </w:r>
                </w:p>
              </w:tc>
              <w:tc>
                <w:tcPr>
                  <w:tcW w:w="961" w:type="dxa"/>
                  <w:vAlign w:val="center"/>
                </w:tcPr>
                <w:p w14:paraId="3949D5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韶关龙督装饰材料有限公司</w:t>
                  </w:r>
                </w:p>
              </w:tc>
              <w:tc>
                <w:tcPr>
                  <w:tcW w:w="600" w:type="dxa"/>
                  <w:vAlign w:val="center"/>
                </w:tcPr>
                <w:p w14:paraId="7F53E56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C251EB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75C86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33812.1</w:t>
                  </w:r>
                </w:p>
              </w:tc>
              <w:tc>
                <w:tcPr>
                  <w:tcW w:w="2053" w:type="dxa"/>
                  <w:vAlign w:val="center"/>
                </w:tcPr>
                <w:p w14:paraId="69E651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年产彩涂铝卷</w:t>
                  </w:r>
                  <w:r>
                    <w:rPr>
                      <w:rFonts w:ascii="宋体" w:hAnsi="宋体" w:eastAsia="宋体" w:cs="宋体"/>
                      <w:color w:val="auto"/>
                      <w:spacing w:val="-47"/>
                      <w:sz w:val="21"/>
                      <w:szCs w:val="21"/>
                    </w:rPr>
                    <w:t xml:space="preserve"> </w:t>
                  </w:r>
                  <w:r>
                    <w:rPr>
                      <w:color w:val="auto"/>
                      <w:spacing w:val="-2"/>
                      <w:sz w:val="21"/>
                      <w:szCs w:val="21"/>
                    </w:rPr>
                    <w:t>400</w:t>
                  </w:r>
                  <w:r>
                    <w:rPr>
                      <w:color w:val="auto"/>
                      <w:spacing w:val="13"/>
                      <w:w w:val="101"/>
                      <w:sz w:val="21"/>
                      <w:szCs w:val="21"/>
                    </w:rPr>
                    <w:t xml:space="preserve"> </w:t>
                  </w:r>
                  <w:r>
                    <w:rPr>
                      <w:rFonts w:ascii="宋体" w:hAnsi="宋体" w:eastAsia="宋体" w:cs="宋体"/>
                      <w:color w:val="auto"/>
                      <w:spacing w:val="-2"/>
                      <w:sz w:val="21"/>
                      <w:szCs w:val="21"/>
                    </w:rPr>
                    <w:t>万平方米，铝幕墙板、铝天花板</w:t>
                  </w:r>
                  <w:r>
                    <w:rPr>
                      <w:rFonts w:ascii="宋体" w:hAnsi="宋体" w:eastAsia="宋体" w:cs="宋体"/>
                      <w:color w:val="auto"/>
                      <w:spacing w:val="-30"/>
                      <w:sz w:val="21"/>
                      <w:szCs w:val="21"/>
                    </w:rPr>
                    <w:t xml:space="preserve"> </w:t>
                  </w:r>
                  <w:r>
                    <w:rPr>
                      <w:color w:val="auto"/>
                      <w:spacing w:val="-2"/>
                      <w:sz w:val="21"/>
                      <w:szCs w:val="21"/>
                    </w:rPr>
                    <w:t>100</w:t>
                  </w:r>
                  <w:r>
                    <w:rPr>
                      <w:color w:val="auto"/>
                      <w:spacing w:val="13"/>
                      <w:w w:val="101"/>
                      <w:sz w:val="21"/>
                      <w:szCs w:val="21"/>
                    </w:rPr>
                    <w:t xml:space="preserve"> </w:t>
                  </w:r>
                  <w:r>
                    <w:rPr>
                      <w:rFonts w:ascii="宋体" w:hAnsi="宋体" w:eastAsia="宋体" w:cs="宋体"/>
                      <w:color w:val="auto"/>
                      <w:spacing w:val="-2"/>
                      <w:sz w:val="21"/>
                      <w:szCs w:val="21"/>
                    </w:rPr>
                    <w:t>万平</w:t>
                  </w:r>
                </w:p>
                <w:p w14:paraId="4D93C56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方米</w:t>
                  </w:r>
                </w:p>
              </w:tc>
              <w:tc>
                <w:tcPr>
                  <w:tcW w:w="1878" w:type="dxa"/>
                  <w:vAlign w:val="center"/>
                </w:tcPr>
                <w:p w14:paraId="232225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"bookmark238"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]50</w:t>
                  </w:r>
                  <w:r>
                    <w:rPr>
                      <w:color w:val="auto"/>
                      <w:spacing w:val="24"/>
                      <w:sz w:val="21"/>
                      <w:szCs w:val="21"/>
                    </w:rPr>
                    <w:t xml:space="preserve"> </w:t>
                  </w:r>
                  <w:r>
                    <w:rPr>
                      <w:rFonts w:ascii="宋体" w:hAnsi="宋体" w:eastAsia="宋体" w:cs="宋体"/>
                      <w:color w:val="auto"/>
                      <w:spacing w:val="-2"/>
                      <w:sz w:val="21"/>
                      <w:szCs w:val="21"/>
                    </w:rPr>
                    <w:t>号</w:t>
                  </w:r>
                </w:p>
              </w:tc>
            </w:tr>
            <w:tr w14:paraId="2C7A9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DDC58C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38</w:t>
                  </w:r>
                </w:p>
              </w:tc>
              <w:tc>
                <w:tcPr>
                  <w:tcW w:w="961" w:type="dxa"/>
                  <w:vAlign w:val="center"/>
                </w:tcPr>
                <w:p w14:paraId="58278ED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乐昌市胜兴新材料有限公司</w:t>
                  </w:r>
                </w:p>
              </w:tc>
              <w:tc>
                <w:tcPr>
                  <w:tcW w:w="600" w:type="dxa"/>
                  <w:vAlign w:val="center"/>
                </w:tcPr>
                <w:p w14:paraId="04DD1CD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CEAA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195209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5760</w:t>
                  </w:r>
                </w:p>
              </w:tc>
              <w:tc>
                <w:tcPr>
                  <w:tcW w:w="2053" w:type="dxa"/>
                  <w:vAlign w:val="center"/>
                </w:tcPr>
                <w:p w14:paraId="3357F6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年产衬布</w:t>
                  </w:r>
                  <w:r>
                    <w:rPr>
                      <w:rFonts w:ascii="宋体" w:hAnsi="宋体" w:eastAsia="宋体" w:cs="宋体"/>
                      <w:color w:val="auto"/>
                      <w:spacing w:val="-43"/>
                      <w:sz w:val="21"/>
                      <w:szCs w:val="21"/>
                    </w:rPr>
                    <w:t xml:space="preserve"> </w:t>
                  </w:r>
                  <w:r>
                    <w:rPr>
                      <w:color w:val="auto"/>
                      <w:spacing w:val="-1"/>
                      <w:sz w:val="21"/>
                      <w:szCs w:val="21"/>
                    </w:rPr>
                    <w:t xml:space="preserve">6000 </w:t>
                  </w:r>
                  <w:r>
                    <w:rPr>
                      <w:rFonts w:ascii="宋体" w:hAnsi="宋体" w:eastAsia="宋体" w:cs="宋体"/>
                      <w:color w:val="auto"/>
                      <w:spacing w:val="-1"/>
                      <w:sz w:val="21"/>
                      <w:szCs w:val="21"/>
                    </w:rPr>
                    <w:t>万米</w:t>
                  </w:r>
                </w:p>
              </w:tc>
              <w:tc>
                <w:tcPr>
                  <w:tcW w:w="1878" w:type="dxa"/>
                  <w:vAlign w:val="center"/>
                </w:tcPr>
                <w:p w14:paraId="142EC94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w:t>
                  </w:r>
                  <w:r>
                    <w:rPr>
                      <w:color w:val="auto"/>
                      <w:sz w:val="21"/>
                      <w:szCs w:val="21"/>
                    </w:rPr>
                    <w:fldChar w:fldCharType="begin"/>
                  </w:r>
                  <w:r>
                    <w:rPr>
                      <w:color w:val="auto"/>
                      <w:sz w:val="21"/>
                      <w:szCs w:val="21"/>
                    </w:rPr>
                    <w:instrText xml:space="preserve"> HYPERLINK \l "bookmark239" </w:instrText>
                  </w:r>
                  <w:r>
                    <w:rPr>
                      <w:color w:val="auto"/>
                      <w:sz w:val="21"/>
                      <w:szCs w:val="21"/>
                    </w:rPr>
                    <w:fldChar w:fldCharType="separate"/>
                  </w:r>
                  <w:r>
                    <w:rPr>
                      <w:color w:val="auto"/>
                      <w:spacing w:val="-2"/>
                      <w:sz w:val="21"/>
                      <w:szCs w:val="21"/>
                    </w:rPr>
                    <w:t>2023</w:t>
                  </w:r>
                  <w:r>
                    <w:rPr>
                      <w:color w:val="auto"/>
                      <w:spacing w:val="-2"/>
                      <w:sz w:val="21"/>
                      <w:szCs w:val="21"/>
                    </w:rPr>
                    <w:fldChar w:fldCharType="end"/>
                  </w:r>
                  <w:r>
                    <w:rPr>
                      <w:color w:val="auto"/>
                      <w:spacing w:val="-2"/>
                      <w:sz w:val="21"/>
                      <w:szCs w:val="21"/>
                    </w:rPr>
                    <w:t>]</w:t>
                  </w:r>
                  <w:r>
                    <w:rPr>
                      <w:color w:val="auto"/>
                      <w:spacing w:val="-20"/>
                      <w:sz w:val="21"/>
                      <w:szCs w:val="21"/>
                    </w:rPr>
                    <w:t xml:space="preserve"> </w:t>
                  </w:r>
                  <w:r>
                    <w:rPr>
                      <w:color w:val="auto"/>
                      <w:spacing w:val="-2"/>
                      <w:sz w:val="21"/>
                      <w:szCs w:val="21"/>
                    </w:rPr>
                    <w:t xml:space="preserve">18 </w:t>
                  </w:r>
                  <w:r>
                    <w:rPr>
                      <w:rFonts w:ascii="宋体" w:hAnsi="宋体" w:eastAsia="宋体" w:cs="宋体"/>
                      <w:color w:val="auto"/>
                      <w:spacing w:val="-2"/>
                      <w:sz w:val="21"/>
                      <w:szCs w:val="21"/>
                    </w:rPr>
                    <w:t>号</w:t>
                  </w:r>
                </w:p>
              </w:tc>
            </w:tr>
            <w:tr w14:paraId="5D207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021A6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39</w:t>
                  </w:r>
                </w:p>
              </w:tc>
              <w:tc>
                <w:tcPr>
                  <w:tcW w:w="961" w:type="dxa"/>
                  <w:vAlign w:val="center"/>
                </w:tcPr>
                <w:p w14:paraId="3C4EA6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乐昌市鸿鑫机械设备有限公</w:t>
                  </w:r>
                </w:p>
                <w:p w14:paraId="07B044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D1CD37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07D942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5786B1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700</w:t>
                  </w:r>
                </w:p>
              </w:tc>
              <w:tc>
                <w:tcPr>
                  <w:tcW w:w="2053" w:type="dxa"/>
                  <w:vAlign w:val="center"/>
                </w:tcPr>
                <w:p w14:paraId="009956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年产液压元件</w:t>
                  </w:r>
                  <w:r>
                    <w:rPr>
                      <w:rFonts w:ascii="宋体" w:hAnsi="宋体" w:eastAsia="宋体" w:cs="宋体"/>
                      <w:color w:val="auto"/>
                      <w:spacing w:val="-17"/>
                      <w:sz w:val="21"/>
                      <w:szCs w:val="21"/>
                    </w:rPr>
                    <w:t xml:space="preserve"> </w:t>
                  </w:r>
                  <w:r>
                    <w:rPr>
                      <w:color w:val="auto"/>
                      <w:spacing w:val="-3"/>
                      <w:sz w:val="21"/>
                      <w:szCs w:val="21"/>
                    </w:rPr>
                    <w:t xml:space="preserve">1000 </w:t>
                  </w:r>
                  <w:r>
                    <w:rPr>
                      <w:rFonts w:ascii="宋体" w:hAnsi="宋体" w:eastAsia="宋体" w:cs="宋体"/>
                      <w:color w:val="auto"/>
                      <w:spacing w:val="-3"/>
                      <w:sz w:val="21"/>
                      <w:szCs w:val="21"/>
                    </w:rPr>
                    <w:t>套</w:t>
                  </w:r>
                </w:p>
              </w:tc>
              <w:tc>
                <w:tcPr>
                  <w:tcW w:w="1878" w:type="dxa"/>
                  <w:vAlign w:val="center"/>
                </w:tcPr>
                <w:p w14:paraId="5410A4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38 </w:t>
                  </w:r>
                  <w:r>
                    <w:rPr>
                      <w:rFonts w:ascii="宋体" w:hAnsi="宋体" w:eastAsia="宋体" w:cs="宋体"/>
                      <w:color w:val="auto"/>
                      <w:spacing w:val="-1"/>
                      <w:sz w:val="21"/>
                      <w:szCs w:val="21"/>
                    </w:rPr>
                    <w:t>号</w:t>
                  </w:r>
                </w:p>
              </w:tc>
            </w:tr>
            <w:tr w14:paraId="682AA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6F5BA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w:t>
                  </w:r>
                </w:p>
              </w:tc>
              <w:tc>
                <w:tcPr>
                  <w:tcW w:w="961" w:type="dxa"/>
                  <w:vAlign w:val="center"/>
                </w:tcPr>
                <w:p w14:paraId="3DF65E9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广东柏创智能装备有限公司</w:t>
                  </w:r>
                </w:p>
              </w:tc>
              <w:tc>
                <w:tcPr>
                  <w:tcW w:w="600" w:type="dxa"/>
                  <w:vAlign w:val="center"/>
                </w:tcPr>
                <w:p w14:paraId="1F0779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503E89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33561E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23334.5</w:t>
                  </w:r>
                </w:p>
              </w:tc>
              <w:tc>
                <w:tcPr>
                  <w:tcW w:w="2053" w:type="dxa"/>
                  <w:vAlign w:val="center"/>
                </w:tcPr>
                <w:p w14:paraId="4BC361C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年产单晶炉热交换器</w:t>
                  </w:r>
                  <w:r>
                    <w:rPr>
                      <w:rFonts w:ascii="宋体" w:hAnsi="宋体" w:eastAsia="宋体" w:cs="宋体"/>
                      <w:color w:val="auto"/>
                      <w:spacing w:val="-28"/>
                      <w:sz w:val="21"/>
                      <w:szCs w:val="21"/>
                    </w:rPr>
                    <w:t xml:space="preserve"> </w:t>
                  </w:r>
                  <w:r>
                    <w:rPr>
                      <w:color w:val="auto"/>
                      <w:spacing w:val="-1"/>
                      <w:sz w:val="21"/>
                      <w:szCs w:val="21"/>
                    </w:rPr>
                    <w:t xml:space="preserve">1.2 </w:t>
                  </w:r>
                  <w:r>
                    <w:rPr>
                      <w:rFonts w:ascii="宋体" w:hAnsi="宋体" w:eastAsia="宋体" w:cs="宋体"/>
                      <w:color w:val="auto"/>
                      <w:spacing w:val="-1"/>
                      <w:sz w:val="21"/>
                      <w:szCs w:val="21"/>
                    </w:rPr>
                    <w:t>万套、腔体部件</w:t>
                  </w:r>
                  <w:r>
                    <w:rPr>
                      <w:rFonts w:ascii="宋体" w:hAnsi="宋体" w:eastAsia="宋体" w:cs="宋体"/>
                      <w:color w:val="auto"/>
                      <w:spacing w:val="-47"/>
                      <w:sz w:val="21"/>
                      <w:szCs w:val="21"/>
                    </w:rPr>
                    <w:t xml:space="preserve"> </w:t>
                  </w:r>
                  <w:r>
                    <w:rPr>
                      <w:color w:val="auto"/>
                      <w:spacing w:val="-1"/>
                      <w:sz w:val="21"/>
                      <w:szCs w:val="21"/>
                    </w:rPr>
                    <w:t xml:space="preserve">200 </w:t>
                  </w:r>
                  <w:r>
                    <w:rPr>
                      <w:rFonts w:ascii="宋体" w:hAnsi="宋体" w:eastAsia="宋体" w:cs="宋体"/>
                      <w:color w:val="auto"/>
                      <w:spacing w:val="-1"/>
                      <w:sz w:val="21"/>
                      <w:szCs w:val="21"/>
                    </w:rPr>
                    <w:t>套、</w:t>
                  </w:r>
                  <w:r>
                    <w:rPr>
                      <w:rFonts w:ascii="宋体" w:hAnsi="宋体" w:eastAsia="宋体" w:cs="宋体"/>
                      <w:color w:val="auto"/>
                      <w:spacing w:val="-2"/>
                      <w:sz w:val="21"/>
                      <w:szCs w:val="21"/>
                    </w:rPr>
                    <w:t>晶棒相关</w:t>
                  </w:r>
                </w:p>
                <w:p w14:paraId="51EFA1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自动化设备</w:t>
                  </w:r>
                  <w:r>
                    <w:rPr>
                      <w:rFonts w:ascii="宋体" w:hAnsi="宋体" w:eastAsia="宋体" w:cs="宋体"/>
                      <w:color w:val="auto"/>
                      <w:spacing w:val="-46"/>
                      <w:sz w:val="21"/>
                      <w:szCs w:val="21"/>
                    </w:rPr>
                    <w:t xml:space="preserve"> </w:t>
                  </w:r>
                  <w:r>
                    <w:rPr>
                      <w:color w:val="auto"/>
                      <w:spacing w:val="-4"/>
                      <w:sz w:val="21"/>
                      <w:szCs w:val="21"/>
                    </w:rPr>
                    <w:t xml:space="preserve">200 </w:t>
                  </w:r>
                  <w:r>
                    <w:rPr>
                      <w:rFonts w:ascii="宋体" w:hAnsi="宋体" w:eastAsia="宋体" w:cs="宋体"/>
                      <w:color w:val="auto"/>
                      <w:spacing w:val="-4"/>
                      <w:sz w:val="21"/>
                      <w:szCs w:val="21"/>
                    </w:rPr>
                    <w:t>套</w:t>
                  </w:r>
                </w:p>
              </w:tc>
              <w:tc>
                <w:tcPr>
                  <w:tcW w:w="1878" w:type="dxa"/>
                  <w:vAlign w:val="center"/>
                </w:tcPr>
                <w:p w14:paraId="61944D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33</w:t>
                  </w:r>
                  <w:r>
                    <w:rPr>
                      <w:color w:val="auto"/>
                      <w:spacing w:val="18"/>
                      <w:sz w:val="21"/>
                      <w:szCs w:val="21"/>
                    </w:rPr>
                    <w:t xml:space="preserve"> </w:t>
                  </w:r>
                  <w:r>
                    <w:rPr>
                      <w:rFonts w:ascii="宋体" w:hAnsi="宋体" w:eastAsia="宋体" w:cs="宋体"/>
                      <w:color w:val="auto"/>
                      <w:spacing w:val="-1"/>
                      <w:sz w:val="21"/>
                      <w:szCs w:val="21"/>
                    </w:rPr>
                    <w:t>号</w:t>
                  </w:r>
                </w:p>
              </w:tc>
            </w:tr>
            <w:tr w14:paraId="4E3ED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965B0D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41</w:t>
                  </w:r>
                </w:p>
              </w:tc>
              <w:tc>
                <w:tcPr>
                  <w:tcW w:w="961" w:type="dxa"/>
                  <w:vAlign w:val="center"/>
                </w:tcPr>
                <w:p w14:paraId="0E6B725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广东中衡能源设备有限公司</w:t>
                  </w:r>
                </w:p>
              </w:tc>
              <w:tc>
                <w:tcPr>
                  <w:tcW w:w="600" w:type="dxa"/>
                  <w:vAlign w:val="center"/>
                </w:tcPr>
                <w:p w14:paraId="58836A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9DACB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1D2F0B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13940.57</w:t>
                  </w:r>
                </w:p>
              </w:tc>
              <w:tc>
                <w:tcPr>
                  <w:tcW w:w="2053" w:type="dxa"/>
                  <w:vAlign w:val="center"/>
                </w:tcPr>
                <w:p w14:paraId="60ECB0A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年产移动通信基站设备</w:t>
                  </w:r>
                  <w:r>
                    <w:rPr>
                      <w:rFonts w:ascii="宋体" w:hAnsi="宋体" w:eastAsia="宋体" w:cs="宋体"/>
                      <w:color w:val="auto"/>
                      <w:spacing w:val="-43"/>
                      <w:sz w:val="21"/>
                      <w:szCs w:val="21"/>
                    </w:rPr>
                    <w:t xml:space="preserve"> </w:t>
                  </w:r>
                  <w:r>
                    <w:rPr>
                      <w:color w:val="auto"/>
                      <w:spacing w:val="-1"/>
                      <w:sz w:val="21"/>
                      <w:szCs w:val="21"/>
                    </w:rPr>
                    <w:t xml:space="preserve">3 </w:t>
                  </w:r>
                  <w:r>
                    <w:rPr>
                      <w:rFonts w:ascii="宋体" w:hAnsi="宋体" w:eastAsia="宋体" w:cs="宋体"/>
                      <w:color w:val="auto"/>
                      <w:spacing w:val="-1"/>
                      <w:sz w:val="21"/>
                      <w:szCs w:val="21"/>
                    </w:rPr>
                    <w:t>万套、移动通信机柜</w:t>
                  </w:r>
                  <w:r>
                    <w:rPr>
                      <w:rFonts w:ascii="宋体" w:hAnsi="宋体" w:eastAsia="宋体" w:cs="宋体"/>
                      <w:color w:val="auto"/>
                      <w:spacing w:val="-49"/>
                      <w:sz w:val="21"/>
                      <w:szCs w:val="21"/>
                    </w:rPr>
                    <w:t xml:space="preserve"> </w:t>
                  </w:r>
                  <w:r>
                    <w:rPr>
                      <w:color w:val="auto"/>
                      <w:spacing w:val="-2"/>
                      <w:sz w:val="21"/>
                      <w:szCs w:val="21"/>
                    </w:rPr>
                    <w:t>2</w:t>
                  </w:r>
                  <w:r>
                    <w:rPr>
                      <w:color w:val="auto"/>
                      <w:spacing w:val="14"/>
                      <w:w w:val="101"/>
                      <w:sz w:val="21"/>
                      <w:szCs w:val="21"/>
                    </w:rPr>
                    <w:t xml:space="preserve"> </w:t>
                  </w:r>
                  <w:r>
                    <w:rPr>
                      <w:rFonts w:ascii="宋体" w:hAnsi="宋体" w:eastAsia="宋体" w:cs="宋体"/>
                      <w:color w:val="auto"/>
                      <w:spacing w:val="-2"/>
                      <w:sz w:val="21"/>
                      <w:szCs w:val="21"/>
                    </w:rPr>
                    <w:t>万套</w:t>
                  </w:r>
                </w:p>
              </w:tc>
              <w:tc>
                <w:tcPr>
                  <w:tcW w:w="1878" w:type="dxa"/>
                  <w:vAlign w:val="center"/>
                </w:tcPr>
                <w:p w14:paraId="38A827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12</w:t>
                  </w:r>
                  <w:r>
                    <w:rPr>
                      <w:color w:val="auto"/>
                      <w:spacing w:val="18"/>
                      <w:sz w:val="21"/>
                      <w:szCs w:val="21"/>
                    </w:rPr>
                    <w:t xml:space="preserve"> </w:t>
                  </w:r>
                  <w:r>
                    <w:rPr>
                      <w:rFonts w:ascii="宋体" w:hAnsi="宋体" w:eastAsia="宋体" w:cs="宋体"/>
                      <w:color w:val="auto"/>
                      <w:spacing w:val="-1"/>
                      <w:sz w:val="21"/>
                      <w:szCs w:val="21"/>
                    </w:rPr>
                    <w:t>号</w:t>
                  </w:r>
                </w:p>
              </w:tc>
            </w:tr>
            <w:tr w14:paraId="6070D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11" w:type="dxa"/>
                  <w:vAlign w:val="center"/>
                </w:tcPr>
                <w:p w14:paraId="31954A8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A44C6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47E316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42</w:t>
                  </w:r>
                </w:p>
              </w:tc>
              <w:tc>
                <w:tcPr>
                  <w:tcW w:w="961" w:type="dxa"/>
                  <w:vAlign w:val="center"/>
                </w:tcPr>
                <w:p w14:paraId="0A5F60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韶关欧亚特电子制品有限公</w:t>
                  </w:r>
                </w:p>
                <w:p w14:paraId="13FBD0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553750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4BA89C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w:t>
                  </w:r>
                </w:p>
                <w:p w14:paraId="0375BD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他电子设备制造</w:t>
                  </w:r>
                </w:p>
                <w:p w14:paraId="220E67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业、电气机械和器</w:t>
                  </w:r>
                </w:p>
                <w:p w14:paraId="633CE3C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材制造业、橡胶和</w:t>
                  </w:r>
                </w:p>
                <w:p w14:paraId="55F704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塑料制品业</w:t>
                  </w:r>
                </w:p>
              </w:tc>
              <w:tc>
                <w:tcPr>
                  <w:tcW w:w="1140" w:type="dxa"/>
                  <w:vAlign w:val="center"/>
                </w:tcPr>
                <w:p w14:paraId="354546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18664</w:t>
                  </w:r>
                </w:p>
              </w:tc>
              <w:tc>
                <w:tcPr>
                  <w:tcW w:w="2053" w:type="dxa"/>
                  <w:vAlign w:val="center"/>
                </w:tcPr>
                <w:p w14:paraId="2FBFB0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w:t>
                  </w:r>
                  <w:r>
                    <w:rPr>
                      <w:rFonts w:ascii="宋体" w:hAnsi="宋体" w:eastAsia="宋体" w:cs="宋体"/>
                      <w:color w:val="auto"/>
                      <w:spacing w:val="-27"/>
                      <w:sz w:val="21"/>
                      <w:szCs w:val="21"/>
                    </w:rPr>
                    <w:t xml:space="preserve"> </w:t>
                  </w:r>
                  <w:r>
                    <w:rPr>
                      <w:color w:val="auto"/>
                      <w:spacing w:val="-3"/>
                      <w:sz w:val="21"/>
                      <w:szCs w:val="21"/>
                    </w:rPr>
                    <w:t xml:space="preserve">1000 </w:t>
                  </w:r>
                  <w:r>
                    <w:rPr>
                      <w:rFonts w:ascii="宋体" w:hAnsi="宋体" w:eastAsia="宋体" w:cs="宋体"/>
                      <w:color w:val="auto"/>
                      <w:spacing w:val="-3"/>
                      <w:sz w:val="21"/>
                      <w:szCs w:val="21"/>
                    </w:rPr>
                    <w:t>万支热熔胶枪及</w:t>
                  </w:r>
                  <w:r>
                    <w:rPr>
                      <w:rFonts w:ascii="宋体" w:hAnsi="宋体" w:eastAsia="宋体" w:cs="宋体"/>
                      <w:color w:val="auto"/>
                      <w:spacing w:val="-28"/>
                      <w:sz w:val="21"/>
                      <w:szCs w:val="21"/>
                    </w:rPr>
                    <w:t xml:space="preserve"> </w:t>
                  </w:r>
                  <w:r>
                    <w:rPr>
                      <w:color w:val="auto"/>
                      <w:spacing w:val="-3"/>
                      <w:sz w:val="21"/>
                      <w:szCs w:val="21"/>
                    </w:rPr>
                    <w:t>1000</w:t>
                  </w:r>
                  <w:r>
                    <w:rPr>
                      <w:color w:val="auto"/>
                      <w:spacing w:val="14"/>
                      <w:sz w:val="21"/>
                      <w:szCs w:val="21"/>
                    </w:rPr>
                    <w:t xml:space="preserve"> </w:t>
                  </w:r>
                  <w:r>
                    <w:rPr>
                      <w:rFonts w:ascii="宋体" w:hAnsi="宋体" w:eastAsia="宋体" w:cs="宋体"/>
                      <w:color w:val="auto"/>
                      <w:spacing w:val="-3"/>
                      <w:sz w:val="21"/>
                      <w:szCs w:val="21"/>
                    </w:rPr>
                    <w:t>万根插头线、</w:t>
                  </w:r>
                  <w:r>
                    <w:rPr>
                      <w:color w:val="auto"/>
                      <w:spacing w:val="-3"/>
                      <w:sz w:val="21"/>
                      <w:szCs w:val="21"/>
                    </w:rPr>
                    <w:t>30</w:t>
                  </w:r>
                  <w:r>
                    <w:rPr>
                      <w:color w:val="auto"/>
                      <w:spacing w:val="-4"/>
                      <w:sz w:val="21"/>
                      <w:szCs w:val="21"/>
                    </w:rPr>
                    <w:t xml:space="preserve">00 </w:t>
                  </w:r>
                  <w:r>
                    <w:rPr>
                      <w:rFonts w:ascii="宋体" w:hAnsi="宋体" w:eastAsia="宋体" w:cs="宋体"/>
                      <w:color w:val="auto"/>
                      <w:spacing w:val="-4"/>
                      <w:sz w:val="21"/>
                      <w:szCs w:val="21"/>
                    </w:rPr>
                    <w:t>万条热熔</w:t>
                  </w:r>
                </w:p>
                <w:p w14:paraId="591063A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胶条</w:t>
                  </w:r>
                </w:p>
              </w:tc>
              <w:tc>
                <w:tcPr>
                  <w:tcW w:w="1878" w:type="dxa"/>
                  <w:vAlign w:val="center"/>
                </w:tcPr>
                <w:p w14:paraId="44E5BA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"bookmark240" </w:instrText>
                  </w:r>
                  <w:r>
                    <w:rPr>
                      <w:color w:val="auto"/>
                      <w:sz w:val="21"/>
                      <w:szCs w:val="21"/>
                    </w:rPr>
                    <w:fldChar w:fldCharType="separate"/>
                  </w:r>
                  <w:r>
                    <w:rPr>
                      <w:color w:val="auto"/>
                      <w:spacing w:val="-2"/>
                      <w:sz w:val="21"/>
                      <w:szCs w:val="21"/>
                    </w:rPr>
                    <w:t>2011</w:t>
                  </w:r>
                  <w:r>
                    <w:rPr>
                      <w:color w:val="auto"/>
                      <w:spacing w:val="-2"/>
                      <w:sz w:val="21"/>
                      <w:szCs w:val="21"/>
                    </w:rPr>
                    <w:fldChar w:fldCharType="end"/>
                  </w:r>
                  <w:r>
                    <w:rPr>
                      <w:color w:val="auto"/>
                      <w:spacing w:val="-2"/>
                      <w:sz w:val="21"/>
                      <w:szCs w:val="21"/>
                    </w:rPr>
                    <w:t xml:space="preserve">]79 </w:t>
                  </w:r>
                  <w:r>
                    <w:rPr>
                      <w:rFonts w:ascii="宋体" w:hAnsi="宋体" w:eastAsia="宋体" w:cs="宋体"/>
                      <w:color w:val="auto"/>
                      <w:spacing w:val="-2"/>
                      <w:sz w:val="21"/>
                      <w:szCs w:val="21"/>
                    </w:rPr>
                    <w:t>号、乐环审</w:t>
                  </w:r>
                </w:p>
                <w:p w14:paraId="6A7A80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"bookmark241"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 xml:space="preserve">]09 </w:t>
                  </w:r>
                  <w:r>
                    <w:rPr>
                      <w:rFonts w:ascii="宋体" w:hAnsi="宋体" w:eastAsia="宋体" w:cs="宋体"/>
                      <w:color w:val="auto"/>
                      <w:spacing w:val="-2"/>
                      <w:sz w:val="21"/>
                      <w:szCs w:val="21"/>
                    </w:rPr>
                    <w:t>号、乐环审</w:t>
                  </w:r>
                  <w:r>
                    <w:rPr>
                      <w:color w:val="auto"/>
                      <w:spacing w:val="-2"/>
                      <w:sz w:val="21"/>
                      <w:szCs w:val="21"/>
                    </w:rPr>
                    <w:t>[</w:t>
                  </w:r>
                  <w:r>
                    <w:rPr>
                      <w:color w:val="auto"/>
                      <w:sz w:val="21"/>
                      <w:szCs w:val="21"/>
                    </w:rPr>
                    <w:fldChar w:fldCharType="begin"/>
                  </w:r>
                  <w:r>
                    <w:rPr>
                      <w:color w:val="auto"/>
                      <w:sz w:val="21"/>
                      <w:szCs w:val="21"/>
                    </w:rPr>
                    <w:instrText xml:space="preserve"> HYPERLINK \l "bookmark241"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]52</w:t>
                  </w:r>
                  <w:r>
                    <w:rPr>
                      <w:color w:val="auto"/>
                      <w:spacing w:val="24"/>
                      <w:sz w:val="21"/>
                      <w:szCs w:val="21"/>
                    </w:rPr>
                    <w:t xml:space="preserve"> </w:t>
                  </w:r>
                  <w:r>
                    <w:rPr>
                      <w:rFonts w:ascii="宋体" w:hAnsi="宋体" w:eastAsia="宋体" w:cs="宋体"/>
                      <w:color w:val="auto"/>
                      <w:spacing w:val="-2"/>
                      <w:sz w:val="21"/>
                      <w:szCs w:val="21"/>
                    </w:rPr>
                    <w:t>号、</w:t>
                  </w:r>
                </w:p>
                <w:p w14:paraId="1BA732F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05 </w:t>
                  </w:r>
                  <w:r>
                    <w:rPr>
                      <w:rFonts w:ascii="宋体" w:hAnsi="宋体" w:eastAsia="宋体" w:cs="宋体"/>
                      <w:color w:val="auto"/>
                      <w:spacing w:val="-1"/>
                      <w:sz w:val="21"/>
                      <w:szCs w:val="21"/>
                    </w:rPr>
                    <w:t>号</w:t>
                  </w:r>
                </w:p>
              </w:tc>
            </w:tr>
            <w:tr w14:paraId="1532C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58E434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43</w:t>
                  </w:r>
                </w:p>
              </w:tc>
              <w:tc>
                <w:tcPr>
                  <w:tcW w:w="961" w:type="dxa"/>
                  <w:vAlign w:val="center"/>
                </w:tcPr>
                <w:p w14:paraId="2C93A11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德尔安科技（广东）有限公司</w:t>
                  </w:r>
                </w:p>
              </w:tc>
              <w:tc>
                <w:tcPr>
                  <w:tcW w:w="600" w:type="dxa"/>
                  <w:vAlign w:val="center"/>
                </w:tcPr>
                <w:p w14:paraId="1ED7EC8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211507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0C2ABD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27672.2</w:t>
                  </w:r>
                </w:p>
              </w:tc>
              <w:tc>
                <w:tcPr>
                  <w:tcW w:w="2053" w:type="dxa"/>
                  <w:vAlign w:val="center"/>
                </w:tcPr>
                <w:p w14:paraId="068B4F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11" w:hanging="79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年产过滤式消防自救呼吸器</w:t>
                  </w:r>
                  <w:r>
                    <w:rPr>
                      <w:rFonts w:ascii="宋体" w:hAnsi="宋体" w:eastAsia="宋体" w:cs="宋体"/>
                      <w:color w:val="auto"/>
                      <w:spacing w:val="-49"/>
                      <w:sz w:val="21"/>
                      <w:szCs w:val="21"/>
                    </w:rPr>
                    <w:t xml:space="preserve"> </w:t>
                  </w:r>
                  <w:r>
                    <w:rPr>
                      <w:color w:val="auto"/>
                      <w:spacing w:val="-1"/>
                      <w:sz w:val="21"/>
                      <w:szCs w:val="21"/>
                    </w:rPr>
                    <w:t xml:space="preserve">400 </w:t>
                  </w:r>
                  <w:r>
                    <w:rPr>
                      <w:rFonts w:ascii="宋体" w:hAnsi="宋体" w:eastAsia="宋体" w:cs="宋体"/>
                      <w:color w:val="auto"/>
                      <w:spacing w:val="-1"/>
                      <w:sz w:val="21"/>
                      <w:szCs w:val="21"/>
                    </w:rPr>
                    <w:t>万具，水基型灭火器</w:t>
                  </w:r>
                  <w:r>
                    <w:rPr>
                      <w:rFonts w:ascii="宋体" w:hAnsi="宋体" w:eastAsia="宋体" w:cs="宋体"/>
                      <w:color w:val="auto"/>
                      <w:spacing w:val="-27"/>
                      <w:sz w:val="21"/>
                      <w:szCs w:val="21"/>
                    </w:rPr>
                    <w:t xml:space="preserve"> </w:t>
                  </w:r>
                  <w:r>
                    <w:rPr>
                      <w:color w:val="auto"/>
                      <w:spacing w:val="-1"/>
                      <w:sz w:val="21"/>
                      <w:szCs w:val="21"/>
                    </w:rPr>
                    <w:t>1</w:t>
                  </w:r>
                  <w:r>
                    <w:rPr>
                      <w:color w:val="auto"/>
                      <w:spacing w:val="-2"/>
                      <w:sz w:val="21"/>
                      <w:szCs w:val="21"/>
                    </w:rPr>
                    <w:t xml:space="preserve">00 </w:t>
                  </w:r>
                  <w:r>
                    <w:rPr>
                      <w:rFonts w:ascii="宋体" w:hAnsi="宋体" w:eastAsia="宋体" w:cs="宋体"/>
                      <w:color w:val="auto"/>
                      <w:spacing w:val="-2"/>
                      <w:sz w:val="21"/>
                      <w:szCs w:val="21"/>
                    </w:rPr>
                    <w:t>万</w:t>
                  </w:r>
                  <w:r>
                    <w:rPr>
                      <w:rFonts w:ascii="宋体" w:hAnsi="宋体" w:eastAsia="宋体" w:cs="宋体"/>
                      <w:color w:val="auto"/>
                      <w:sz w:val="21"/>
                      <w:szCs w:val="21"/>
                    </w:rPr>
                    <w:t>具，催化剂</w:t>
                  </w:r>
                  <w:r>
                    <w:rPr>
                      <w:rFonts w:ascii="宋体" w:hAnsi="宋体" w:eastAsia="宋体" w:cs="宋体"/>
                      <w:color w:val="auto"/>
                      <w:spacing w:val="-36"/>
                      <w:sz w:val="21"/>
                      <w:szCs w:val="21"/>
                    </w:rPr>
                    <w:t xml:space="preserve"> </w:t>
                  </w:r>
                  <w:r>
                    <w:rPr>
                      <w:color w:val="auto"/>
                      <w:sz w:val="21"/>
                      <w:szCs w:val="21"/>
                    </w:rPr>
                    <w:t>600</w:t>
                  </w:r>
                  <w:r>
                    <w:rPr>
                      <w:color w:val="auto"/>
                      <w:spacing w:val="16"/>
                      <w:w w:val="101"/>
                      <w:sz w:val="21"/>
                      <w:szCs w:val="21"/>
                    </w:rPr>
                    <w:t xml:space="preserve"> </w:t>
                  </w:r>
                  <w:r>
                    <w:rPr>
                      <w:rFonts w:ascii="宋体" w:hAnsi="宋体" w:eastAsia="宋体" w:cs="宋体"/>
                      <w:color w:val="auto"/>
                      <w:sz w:val="21"/>
                      <w:szCs w:val="21"/>
                    </w:rPr>
                    <w:t>吨和水系灭火剂</w:t>
                  </w:r>
                  <w:r>
                    <w:rPr>
                      <w:color w:val="auto"/>
                      <w:sz w:val="21"/>
                      <w:szCs w:val="21"/>
                    </w:rPr>
                    <w:t>2400</w:t>
                  </w:r>
                  <w:r>
                    <w:rPr>
                      <w:color w:val="auto"/>
                      <w:spacing w:val="18"/>
                      <w:sz w:val="21"/>
                      <w:szCs w:val="21"/>
                    </w:rPr>
                    <w:t xml:space="preserve"> </w:t>
                  </w:r>
                  <w:r>
                    <w:rPr>
                      <w:rFonts w:ascii="宋体" w:hAnsi="宋体" w:eastAsia="宋体" w:cs="宋体"/>
                      <w:color w:val="auto"/>
                      <w:sz w:val="21"/>
                      <w:szCs w:val="21"/>
                    </w:rPr>
                    <w:t>吨等</w:t>
                  </w:r>
                </w:p>
              </w:tc>
              <w:tc>
                <w:tcPr>
                  <w:tcW w:w="1878" w:type="dxa"/>
                  <w:vAlign w:val="center"/>
                </w:tcPr>
                <w:p w14:paraId="316683F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23</w:t>
                  </w:r>
                  <w:r>
                    <w:rPr>
                      <w:color w:val="auto"/>
                      <w:spacing w:val="18"/>
                      <w:sz w:val="21"/>
                      <w:szCs w:val="21"/>
                    </w:rPr>
                    <w:t xml:space="preserve"> </w:t>
                  </w:r>
                  <w:r>
                    <w:rPr>
                      <w:rFonts w:ascii="宋体" w:hAnsi="宋体" w:eastAsia="宋体" w:cs="宋体"/>
                      <w:color w:val="auto"/>
                      <w:spacing w:val="-1"/>
                      <w:sz w:val="21"/>
                      <w:szCs w:val="21"/>
                    </w:rPr>
                    <w:t>号</w:t>
                  </w:r>
                </w:p>
              </w:tc>
            </w:tr>
            <w:tr w14:paraId="41FF8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B67ED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44</w:t>
                  </w:r>
                </w:p>
              </w:tc>
              <w:tc>
                <w:tcPr>
                  <w:tcW w:w="961" w:type="dxa"/>
                  <w:vAlign w:val="center"/>
                </w:tcPr>
                <w:p w14:paraId="532BF16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广东东田实业有限公司</w:t>
                  </w:r>
                </w:p>
              </w:tc>
              <w:tc>
                <w:tcPr>
                  <w:tcW w:w="600" w:type="dxa"/>
                  <w:vAlign w:val="center"/>
                </w:tcPr>
                <w:p w14:paraId="280BE80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D32624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6DED46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1557.48</w:t>
                  </w:r>
                </w:p>
              </w:tc>
              <w:tc>
                <w:tcPr>
                  <w:tcW w:w="2053" w:type="dxa"/>
                  <w:vAlign w:val="center"/>
                </w:tcPr>
                <w:p w14:paraId="726CC87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年产移动通信基站电源钣金件</w:t>
                  </w:r>
                  <w:r>
                    <w:rPr>
                      <w:rFonts w:ascii="宋体" w:hAnsi="宋体" w:eastAsia="宋体" w:cs="宋体"/>
                      <w:color w:val="auto"/>
                      <w:spacing w:val="-35"/>
                      <w:sz w:val="21"/>
                      <w:szCs w:val="21"/>
                    </w:rPr>
                    <w:t xml:space="preserve"> </w:t>
                  </w:r>
                  <w:r>
                    <w:rPr>
                      <w:color w:val="auto"/>
                      <w:spacing w:val="-1"/>
                      <w:sz w:val="21"/>
                      <w:szCs w:val="21"/>
                    </w:rPr>
                    <w:t xml:space="preserve">5 </w:t>
                  </w:r>
                  <w:r>
                    <w:rPr>
                      <w:rFonts w:ascii="宋体" w:hAnsi="宋体" w:eastAsia="宋体" w:cs="宋体"/>
                      <w:color w:val="auto"/>
                      <w:spacing w:val="-1"/>
                      <w:sz w:val="21"/>
                      <w:szCs w:val="21"/>
                    </w:rPr>
                    <w:t>万套</w:t>
                  </w:r>
                </w:p>
              </w:tc>
              <w:tc>
                <w:tcPr>
                  <w:tcW w:w="1878" w:type="dxa"/>
                  <w:vAlign w:val="center"/>
                </w:tcPr>
                <w:p w14:paraId="637A4BA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27 </w:t>
                  </w:r>
                  <w:r>
                    <w:rPr>
                      <w:rFonts w:ascii="宋体" w:hAnsi="宋体" w:eastAsia="宋体" w:cs="宋体"/>
                      <w:color w:val="auto"/>
                      <w:spacing w:val="-1"/>
                      <w:sz w:val="21"/>
                      <w:szCs w:val="21"/>
                    </w:rPr>
                    <w:t>号</w:t>
                  </w:r>
                </w:p>
              </w:tc>
            </w:tr>
            <w:tr w14:paraId="582E3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0581C40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45</w:t>
                  </w:r>
                </w:p>
              </w:tc>
              <w:tc>
                <w:tcPr>
                  <w:tcW w:w="961" w:type="dxa"/>
                  <w:vAlign w:val="center"/>
                </w:tcPr>
                <w:p w14:paraId="0D2D7AA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广东弘德宝厨具有限公司</w:t>
                  </w:r>
                </w:p>
              </w:tc>
              <w:tc>
                <w:tcPr>
                  <w:tcW w:w="600" w:type="dxa"/>
                  <w:vAlign w:val="center"/>
                </w:tcPr>
                <w:p w14:paraId="1F4FEFF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0516EF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F278C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26640</w:t>
                  </w:r>
                </w:p>
              </w:tc>
              <w:tc>
                <w:tcPr>
                  <w:tcW w:w="2053" w:type="dxa"/>
                  <w:vAlign w:val="center"/>
                </w:tcPr>
                <w:p w14:paraId="1E1A13A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年产铸铁厨房用具</w:t>
                  </w:r>
                  <w:r>
                    <w:rPr>
                      <w:rFonts w:ascii="宋体" w:hAnsi="宋体" w:eastAsia="宋体" w:cs="宋体"/>
                      <w:color w:val="auto"/>
                      <w:spacing w:val="-41"/>
                      <w:sz w:val="21"/>
                      <w:szCs w:val="21"/>
                    </w:rPr>
                    <w:t xml:space="preserve"> </w:t>
                  </w:r>
                  <w:r>
                    <w:rPr>
                      <w:color w:val="auto"/>
                      <w:spacing w:val="-2"/>
                      <w:sz w:val="21"/>
                      <w:szCs w:val="21"/>
                    </w:rPr>
                    <w:t>2.5</w:t>
                  </w:r>
                  <w:r>
                    <w:rPr>
                      <w:color w:val="auto"/>
                      <w:spacing w:val="13"/>
                      <w:w w:val="101"/>
                      <w:sz w:val="21"/>
                      <w:szCs w:val="21"/>
                    </w:rPr>
                    <w:t xml:space="preserve"> </w:t>
                  </w:r>
                  <w:r>
                    <w:rPr>
                      <w:rFonts w:ascii="宋体" w:hAnsi="宋体" w:eastAsia="宋体" w:cs="宋体"/>
                      <w:color w:val="auto"/>
                      <w:spacing w:val="-2"/>
                      <w:sz w:val="21"/>
                      <w:szCs w:val="21"/>
                    </w:rPr>
                    <w:t>万吨</w:t>
                  </w:r>
                </w:p>
              </w:tc>
              <w:tc>
                <w:tcPr>
                  <w:tcW w:w="1878" w:type="dxa"/>
                  <w:vAlign w:val="center"/>
                </w:tcPr>
                <w:p w14:paraId="436962B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18</w:t>
                  </w:r>
                  <w:r>
                    <w:rPr>
                      <w:color w:val="auto"/>
                      <w:spacing w:val="18"/>
                      <w:sz w:val="21"/>
                      <w:szCs w:val="21"/>
                    </w:rPr>
                    <w:t xml:space="preserve"> </w:t>
                  </w:r>
                  <w:r>
                    <w:rPr>
                      <w:rFonts w:ascii="宋体" w:hAnsi="宋体" w:eastAsia="宋体" w:cs="宋体"/>
                      <w:color w:val="auto"/>
                      <w:spacing w:val="-1"/>
                      <w:sz w:val="21"/>
                      <w:szCs w:val="21"/>
                    </w:rPr>
                    <w:t>号</w:t>
                  </w:r>
                </w:p>
              </w:tc>
            </w:tr>
            <w:tr w14:paraId="021D2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7093933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E4405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46</w:t>
                  </w:r>
                </w:p>
              </w:tc>
              <w:tc>
                <w:tcPr>
                  <w:tcW w:w="961" w:type="dxa"/>
                  <w:vAlign w:val="center"/>
                </w:tcPr>
                <w:p w14:paraId="7F22AF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158A8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冠荣科技（韶关）有限公司</w:t>
                  </w:r>
                </w:p>
              </w:tc>
              <w:tc>
                <w:tcPr>
                  <w:tcW w:w="600" w:type="dxa"/>
                  <w:vAlign w:val="center"/>
                </w:tcPr>
                <w:p w14:paraId="6AE8E7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E0258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598C4B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766BA2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业、印刷和记录媒</w:t>
                  </w:r>
                </w:p>
                <w:p w14:paraId="061F3A8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介复制业</w:t>
                  </w:r>
                </w:p>
              </w:tc>
              <w:tc>
                <w:tcPr>
                  <w:tcW w:w="1140" w:type="dxa"/>
                  <w:vAlign w:val="center"/>
                </w:tcPr>
                <w:p w14:paraId="2A6345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3F24D9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23334.5</w:t>
                  </w:r>
                </w:p>
              </w:tc>
              <w:tc>
                <w:tcPr>
                  <w:tcW w:w="2053" w:type="dxa"/>
                  <w:vAlign w:val="center"/>
                </w:tcPr>
                <w:p w14:paraId="2678BC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BE3705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年产商标</w:t>
                  </w:r>
                  <w:r>
                    <w:rPr>
                      <w:rFonts w:ascii="宋体" w:hAnsi="宋体" w:eastAsia="宋体" w:cs="宋体"/>
                      <w:color w:val="auto"/>
                      <w:spacing w:val="-27"/>
                      <w:sz w:val="21"/>
                      <w:szCs w:val="21"/>
                    </w:rPr>
                    <w:t xml:space="preserve"> </w:t>
                  </w:r>
                  <w:r>
                    <w:rPr>
                      <w:color w:val="auto"/>
                      <w:spacing w:val="-1"/>
                      <w:sz w:val="21"/>
                      <w:szCs w:val="21"/>
                    </w:rPr>
                    <w:t xml:space="preserve">18000 </w:t>
                  </w:r>
                  <w:r>
                    <w:rPr>
                      <w:rFonts w:ascii="宋体" w:hAnsi="宋体" w:eastAsia="宋体" w:cs="宋体"/>
                      <w:color w:val="auto"/>
                      <w:spacing w:val="-1"/>
                      <w:sz w:val="21"/>
                      <w:szCs w:val="21"/>
                    </w:rPr>
                    <w:t>万个、</w:t>
                  </w:r>
                  <w:r>
                    <w:rPr>
                      <w:color w:val="auto"/>
                      <w:spacing w:val="-1"/>
                      <w:sz w:val="21"/>
                      <w:szCs w:val="21"/>
                    </w:rPr>
                    <w:t xml:space="preserve">TPU </w:t>
                  </w:r>
                  <w:r>
                    <w:rPr>
                      <w:rFonts w:ascii="宋体" w:hAnsi="宋体" w:eastAsia="宋体" w:cs="宋体"/>
                      <w:color w:val="auto"/>
                      <w:spacing w:val="-1"/>
                      <w:sz w:val="21"/>
                      <w:szCs w:val="21"/>
                    </w:rPr>
                    <w:t>材料</w:t>
                  </w:r>
                  <w:r>
                    <w:rPr>
                      <w:rFonts w:ascii="宋体" w:hAnsi="宋体" w:eastAsia="宋体" w:cs="宋体"/>
                      <w:color w:val="auto"/>
                      <w:spacing w:val="-2"/>
                      <w:sz w:val="21"/>
                      <w:szCs w:val="21"/>
                    </w:rPr>
                    <w:t>和硅胶材料</w:t>
                  </w:r>
                  <w:r>
                    <w:rPr>
                      <w:rFonts w:ascii="宋体" w:hAnsi="宋体" w:eastAsia="宋体" w:cs="宋体"/>
                      <w:color w:val="auto"/>
                      <w:spacing w:val="-43"/>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万平方米</w:t>
                  </w:r>
                </w:p>
              </w:tc>
              <w:tc>
                <w:tcPr>
                  <w:tcW w:w="1878" w:type="dxa"/>
                  <w:vAlign w:val="center"/>
                </w:tcPr>
                <w:p w14:paraId="6D3893E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71B1DAD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07</w:t>
                  </w:r>
                  <w:r>
                    <w:rPr>
                      <w:color w:val="auto"/>
                      <w:spacing w:val="18"/>
                      <w:sz w:val="21"/>
                      <w:szCs w:val="21"/>
                    </w:rPr>
                    <w:t xml:space="preserve"> </w:t>
                  </w:r>
                  <w:r>
                    <w:rPr>
                      <w:rFonts w:ascii="宋体" w:hAnsi="宋体" w:eastAsia="宋体" w:cs="宋体"/>
                      <w:color w:val="auto"/>
                      <w:spacing w:val="-1"/>
                      <w:sz w:val="21"/>
                      <w:szCs w:val="21"/>
                    </w:rPr>
                    <w:t>号</w:t>
                  </w:r>
                </w:p>
              </w:tc>
            </w:tr>
            <w:tr w14:paraId="000D6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428D1E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47</w:t>
                  </w:r>
                </w:p>
              </w:tc>
              <w:tc>
                <w:tcPr>
                  <w:tcW w:w="961" w:type="dxa"/>
                  <w:vAlign w:val="center"/>
                </w:tcPr>
                <w:p w14:paraId="5B9AEF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添亿包装（广东）有限公司</w:t>
                  </w:r>
                </w:p>
              </w:tc>
              <w:tc>
                <w:tcPr>
                  <w:tcW w:w="600" w:type="dxa"/>
                  <w:vAlign w:val="center"/>
                </w:tcPr>
                <w:p w14:paraId="3A43BF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23EDCA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纸制品制造</w:t>
                  </w:r>
                </w:p>
              </w:tc>
              <w:tc>
                <w:tcPr>
                  <w:tcW w:w="1140" w:type="dxa"/>
                  <w:vAlign w:val="center"/>
                </w:tcPr>
                <w:p w14:paraId="42AE1A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16564.72</w:t>
                  </w:r>
                </w:p>
              </w:tc>
              <w:tc>
                <w:tcPr>
                  <w:tcW w:w="2053" w:type="dxa"/>
                  <w:vAlign w:val="center"/>
                </w:tcPr>
                <w:p w14:paraId="0390040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年产彩盒</w:t>
                  </w:r>
                  <w:r>
                    <w:rPr>
                      <w:rFonts w:ascii="宋体" w:hAnsi="宋体" w:eastAsia="宋体" w:cs="宋体"/>
                      <w:color w:val="auto"/>
                      <w:spacing w:val="-20"/>
                      <w:sz w:val="21"/>
                      <w:szCs w:val="21"/>
                    </w:rPr>
                    <w:t xml:space="preserve"> </w:t>
                  </w:r>
                  <w:r>
                    <w:rPr>
                      <w:color w:val="auto"/>
                      <w:spacing w:val="-4"/>
                      <w:sz w:val="21"/>
                      <w:szCs w:val="21"/>
                    </w:rPr>
                    <w:t xml:space="preserve">10 </w:t>
                  </w:r>
                  <w:r>
                    <w:rPr>
                      <w:rFonts w:ascii="宋体" w:hAnsi="宋体" w:eastAsia="宋体" w:cs="宋体"/>
                      <w:color w:val="auto"/>
                      <w:spacing w:val="-4"/>
                      <w:sz w:val="21"/>
                      <w:szCs w:val="21"/>
                    </w:rPr>
                    <w:t>亿套</w:t>
                  </w:r>
                </w:p>
              </w:tc>
              <w:tc>
                <w:tcPr>
                  <w:tcW w:w="1878" w:type="dxa"/>
                  <w:vAlign w:val="center"/>
                </w:tcPr>
                <w:p w14:paraId="330F1D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301C2A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0DD2A3A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48</w:t>
                  </w:r>
                </w:p>
              </w:tc>
              <w:tc>
                <w:tcPr>
                  <w:tcW w:w="961" w:type="dxa"/>
                  <w:vAlign w:val="center"/>
                </w:tcPr>
                <w:p w14:paraId="7CBC86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广东光宝微电子有限公司</w:t>
                  </w:r>
                </w:p>
              </w:tc>
              <w:tc>
                <w:tcPr>
                  <w:tcW w:w="600" w:type="dxa"/>
                  <w:vAlign w:val="center"/>
                </w:tcPr>
                <w:p w14:paraId="4EAAA24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6FEDB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2F0B95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3600</w:t>
                  </w:r>
                </w:p>
              </w:tc>
              <w:tc>
                <w:tcPr>
                  <w:tcW w:w="2053" w:type="dxa"/>
                  <w:vAlign w:val="center"/>
                </w:tcPr>
                <w:p w14:paraId="52EC84F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年产发光二极管</w:t>
                  </w:r>
                  <w:r>
                    <w:rPr>
                      <w:rFonts w:ascii="宋体" w:hAnsi="宋体" w:eastAsia="宋体" w:cs="宋体"/>
                      <w:color w:val="auto"/>
                      <w:spacing w:val="-14"/>
                      <w:sz w:val="21"/>
                      <w:szCs w:val="21"/>
                    </w:rPr>
                    <w:t xml:space="preserve"> </w:t>
                  </w:r>
                  <w:r>
                    <w:rPr>
                      <w:color w:val="auto"/>
                      <w:spacing w:val="-3"/>
                      <w:sz w:val="21"/>
                      <w:szCs w:val="21"/>
                    </w:rPr>
                    <w:t xml:space="preserve">1.2 </w:t>
                  </w:r>
                  <w:r>
                    <w:rPr>
                      <w:rFonts w:ascii="宋体" w:hAnsi="宋体" w:eastAsia="宋体" w:cs="宋体"/>
                      <w:color w:val="auto"/>
                      <w:spacing w:val="-3"/>
                      <w:sz w:val="21"/>
                      <w:szCs w:val="21"/>
                    </w:rPr>
                    <w:t>亿个、光电耦合器件</w:t>
                  </w:r>
                  <w:r>
                    <w:rPr>
                      <w:rFonts w:ascii="宋体" w:hAnsi="宋体" w:eastAsia="宋体" w:cs="宋体"/>
                      <w:color w:val="auto"/>
                      <w:spacing w:val="-27"/>
                      <w:sz w:val="21"/>
                      <w:szCs w:val="21"/>
                    </w:rPr>
                    <w:t xml:space="preserve"> </w:t>
                  </w:r>
                  <w:r>
                    <w:rPr>
                      <w:color w:val="auto"/>
                      <w:spacing w:val="-3"/>
                      <w:sz w:val="21"/>
                      <w:szCs w:val="21"/>
                    </w:rPr>
                    <w:t>1500</w:t>
                  </w:r>
                  <w:r>
                    <w:rPr>
                      <w:color w:val="auto"/>
                      <w:spacing w:val="13"/>
                      <w:w w:val="101"/>
                      <w:sz w:val="21"/>
                      <w:szCs w:val="21"/>
                    </w:rPr>
                    <w:t xml:space="preserve"> </w:t>
                  </w:r>
                  <w:r>
                    <w:rPr>
                      <w:rFonts w:ascii="宋体" w:hAnsi="宋体" w:eastAsia="宋体" w:cs="宋体"/>
                      <w:color w:val="auto"/>
                      <w:spacing w:val="-3"/>
                      <w:sz w:val="21"/>
                      <w:szCs w:val="21"/>
                    </w:rPr>
                    <w:t>万个</w:t>
                  </w:r>
                </w:p>
              </w:tc>
              <w:tc>
                <w:tcPr>
                  <w:tcW w:w="1878" w:type="dxa"/>
                  <w:vAlign w:val="center"/>
                </w:tcPr>
                <w:p w14:paraId="4FFF02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62A53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4F760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49</w:t>
                  </w:r>
                </w:p>
              </w:tc>
              <w:tc>
                <w:tcPr>
                  <w:tcW w:w="961" w:type="dxa"/>
                  <w:vAlign w:val="center"/>
                </w:tcPr>
                <w:p w14:paraId="2D5282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韶关博鑫工程服务有限公司</w:t>
                  </w:r>
                </w:p>
              </w:tc>
              <w:tc>
                <w:tcPr>
                  <w:tcW w:w="600" w:type="dxa"/>
                  <w:vAlign w:val="center"/>
                </w:tcPr>
                <w:p w14:paraId="6AF13A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4FC963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DD248A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51544.6</w:t>
                  </w:r>
                </w:p>
              </w:tc>
              <w:tc>
                <w:tcPr>
                  <w:tcW w:w="2053" w:type="dxa"/>
                  <w:vAlign w:val="center"/>
                </w:tcPr>
                <w:p w14:paraId="105E5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年产铝合金模板</w:t>
                  </w:r>
                  <w:r>
                    <w:rPr>
                      <w:rFonts w:ascii="宋体" w:hAnsi="宋体" w:eastAsia="宋体" w:cs="宋体"/>
                      <w:color w:val="auto"/>
                      <w:spacing w:val="-48"/>
                      <w:sz w:val="21"/>
                      <w:szCs w:val="21"/>
                    </w:rPr>
                    <w:t xml:space="preserve"> </w:t>
                  </w:r>
                  <w:r>
                    <w:rPr>
                      <w:color w:val="auto"/>
                      <w:spacing w:val="-3"/>
                      <w:sz w:val="21"/>
                      <w:szCs w:val="21"/>
                    </w:rPr>
                    <w:t xml:space="preserve">20 </w:t>
                  </w:r>
                  <w:r>
                    <w:rPr>
                      <w:rFonts w:ascii="宋体" w:hAnsi="宋体" w:eastAsia="宋体" w:cs="宋体"/>
                      <w:color w:val="auto"/>
                      <w:spacing w:val="-3"/>
                      <w:sz w:val="21"/>
                      <w:szCs w:val="21"/>
                    </w:rPr>
                    <w:t>万立方米、翻新铝合金模板</w:t>
                  </w:r>
                  <w:r>
                    <w:rPr>
                      <w:color w:val="auto"/>
                      <w:spacing w:val="-3"/>
                      <w:sz w:val="21"/>
                      <w:szCs w:val="21"/>
                    </w:rPr>
                    <w:t>20</w:t>
                  </w:r>
                  <w:r>
                    <w:rPr>
                      <w:color w:val="auto"/>
                      <w:spacing w:val="14"/>
                      <w:sz w:val="21"/>
                      <w:szCs w:val="21"/>
                    </w:rPr>
                    <w:t xml:space="preserve"> </w:t>
                  </w:r>
                  <w:r>
                    <w:rPr>
                      <w:rFonts w:ascii="宋体" w:hAnsi="宋体" w:eastAsia="宋体" w:cs="宋体"/>
                      <w:color w:val="auto"/>
                      <w:spacing w:val="-4"/>
                      <w:sz w:val="21"/>
                      <w:szCs w:val="21"/>
                    </w:rPr>
                    <w:t>万立方米、</w:t>
                  </w:r>
                </w:p>
                <w:p w14:paraId="63549C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翻新背楞</w:t>
                  </w:r>
                  <w:r>
                    <w:rPr>
                      <w:rFonts w:ascii="宋体" w:hAnsi="宋体" w:eastAsia="宋体" w:cs="宋体"/>
                      <w:color w:val="auto"/>
                      <w:spacing w:val="-42"/>
                      <w:sz w:val="21"/>
                      <w:szCs w:val="21"/>
                    </w:rPr>
                    <w:t xml:space="preserve"> </w:t>
                  </w:r>
                  <w:r>
                    <w:rPr>
                      <w:color w:val="auto"/>
                      <w:spacing w:val="-2"/>
                      <w:sz w:val="21"/>
                      <w:szCs w:val="21"/>
                    </w:rPr>
                    <w:t>2000</w:t>
                  </w:r>
                  <w:r>
                    <w:rPr>
                      <w:color w:val="auto"/>
                      <w:spacing w:val="16"/>
                      <w:sz w:val="21"/>
                      <w:szCs w:val="21"/>
                    </w:rPr>
                    <w:t xml:space="preserve"> </w:t>
                  </w:r>
                  <w:r>
                    <w:rPr>
                      <w:rFonts w:ascii="宋体" w:hAnsi="宋体" w:eastAsia="宋体" w:cs="宋体"/>
                      <w:color w:val="auto"/>
                      <w:spacing w:val="-2"/>
                      <w:sz w:val="21"/>
                      <w:szCs w:val="21"/>
                    </w:rPr>
                    <w:t>吨、其他配套产品</w:t>
                  </w:r>
                  <w:r>
                    <w:rPr>
                      <w:rFonts w:ascii="宋体" w:hAnsi="宋体" w:eastAsia="宋体" w:cs="宋体"/>
                      <w:color w:val="auto"/>
                      <w:spacing w:val="-44"/>
                      <w:sz w:val="21"/>
                      <w:szCs w:val="21"/>
                    </w:rPr>
                    <w:t xml:space="preserve"> </w:t>
                  </w:r>
                  <w:r>
                    <w:rPr>
                      <w:color w:val="auto"/>
                      <w:spacing w:val="-2"/>
                      <w:sz w:val="21"/>
                      <w:szCs w:val="21"/>
                    </w:rPr>
                    <w:t>3000</w:t>
                  </w:r>
                  <w:r>
                    <w:rPr>
                      <w:color w:val="auto"/>
                      <w:spacing w:val="19"/>
                      <w:sz w:val="21"/>
                      <w:szCs w:val="21"/>
                    </w:rPr>
                    <w:t xml:space="preserve"> </w:t>
                  </w:r>
                  <w:r>
                    <w:rPr>
                      <w:rFonts w:ascii="宋体" w:hAnsi="宋体" w:eastAsia="宋体" w:cs="宋体"/>
                      <w:color w:val="auto"/>
                      <w:spacing w:val="-2"/>
                      <w:sz w:val="21"/>
                      <w:szCs w:val="21"/>
                    </w:rPr>
                    <w:t>吨</w:t>
                  </w:r>
                </w:p>
              </w:tc>
              <w:tc>
                <w:tcPr>
                  <w:tcW w:w="1878" w:type="dxa"/>
                  <w:vAlign w:val="center"/>
                </w:tcPr>
                <w:p w14:paraId="1EBCE7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34</w:t>
                  </w:r>
                  <w:r>
                    <w:rPr>
                      <w:color w:val="auto"/>
                      <w:spacing w:val="18"/>
                      <w:sz w:val="21"/>
                      <w:szCs w:val="21"/>
                    </w:rPr>
                    <w:t xml:space="preserve"> </w:t>
                  </w:r>
                  <w:r>
                    <w:rPr>
                      <w:rFonts w:ascii="宋体" w:hAnsi="宋体" w:eastAsia="宋体" w:cs="宋体"/>
                      <w:color w:val="auto"/>
                      <w:spacing w:val="-1"/>
                      <w:sz w:val="21"/>
                      <w:szCs w:val="21"/>
                    </w:rPr>
                    <w:t>号</w:t>
                  </w:r>
                </w:p>
              </w:tc>
            </w:tr>
            <w:tr w14:paraId="2B307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869AD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50</w:t>
                  </w:r>
                </w:p>
              </w:tc>
              <w:tc>
                <w:tcPr>
                  <w:tcW w:w="961" w:type="dxa"/>
                  <w:vAlign w:val="center"/>
                </w:tcPr>
                <w:p w14:paraId="564001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乐昌市安顺达管道天然气有</w:t>
                  </w:r>
                </w:p>
                <w:p w14:paraId="0D8740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789E4EB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CD747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燃气生产和供应业</w:t>
                  </w:r>
                </w:p>
              </w:tc>
              <w:tc>
                <w:tcPr>
                  <w:tcW w:w="1140" w:type="dxa"/>
                  <w:vAlign w:val="center"/>
                </w:tcPr>
                <w:p w14:paraId="0B36E5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20080</w:t>
                  </w:r>
                </w:p>
              </w:tc>
              <w:tc>
                <w:tcPr>
                  <w:tcW w:w="2053" w:type="dxa"/>
                  <w:vAlign w:val="center"/>
                </w:tcPr>
                <w:p w14:paraId="0E8D7B2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日供气量约</w:t>
                  </w:r>
                  <w:r>
                    <w:rPr>
                      <w:rFonts w:ascii="宋体" w:hAnsi="宋体" w:eastAsia="宋体" w:cs="宋体"/>
                      <w:color w:val="auto"/>
                      <w:spacing w:val="-26"/>
                      <w:sz w:val="21"/>
                      <w:szCs w:val="21"/>
                    </w:rPr>
                    <w:t xml:space="preserve"> </w:t>
                  </w:r>
                  <w:r>
                    <w:rPr>
                      <w:color w:val="auto"/>
                      <w:spacing w:val="-8"/>
                      <w:sz w:val="21"/>
                      <w:szCs w:val="21"/>
                    </w:rPr>
                    <w:t>15</w:t>
                  </w:r>
                  <w:r>
                    <w:rPr>
                      <w:color w:val="auto"/>
                      <w:spacing w:val="11"/>
                      <w:sz w:val="21"/>
                      <w:szCs w:val="21"/>
                    </w:rPr>
                    <w:t xml:space="preserve"> </w:t>
                  </w:r>
                  <w:r>
                    <w:rPr>
                      <w:rFonts w:ascii="宋体" w:hAnsi="宋体" w:eastAsia="宋体" w:cs="宋体"/>
                      <w:color w:val="auto"/>
                      <w:spacing w:val="-8"/>
                      <w:sz w:val="21"/>
                      <w:szCs w:val="21"/>
                    </w:rPr>
                    <w:t>万立方</w:t>
                  </w:r>
                </w:p>
              </w:tc>
              <w:tc>
                <w:tcPr>
                  <w:tcW w:w="1878" w:type="dxa"/>
                  <w:vAlign w:val="center"/>
                </w:tcPr>
                <w:p w14:paraId="2EE6275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"bookmark242" </w:instrText>
                  </w:r>
                  <w:r>
                    <w:rPr>
                      <w:color w:val="auto"/>
                      <w:sz w:val="21"/>
                      <w:szCs w:val="21"/>
                    </w:rPr>
                    <w:fldChar w:fldCharType="separate"/>
                  </w:r>
                  <w:r>
                    <w:rPr>
                      <w:color w:val="auto"/>
                      <w:spacing w:val="-2"/>
                      <w:sz w:val="21"/>
                      <w:szCs w:val="21"/>
                    </w:rPr>
                    <w:t>2012</w:t>
                  </w:r>
                  <w:r>
                    <w:rPr>
                      <w:color w:val="auto"/>
                      <w:spacing w:val="-2"/>
                      <w:sz w:val="21"/>
                      <w:szCs w:val="21"/>
                    </w:rPr>
                    <w:fldChar w:fldCharType="end"/>
                  </w:r>
                  <w:r>
                    <w:rPr>
                      <w:color w:val="auto"/>
                      <w:spacing w:val="-2"/>
                      <w:sz w:val="21"/>
                      <w:szCs w:val="21"/>
                    </w:rPr>
                    <w:t>]53</w:t>
                  </w:r>
                  <w:r>
                    <w:rPr>
                      <w:color w:val="auto"/>
                      <w:spacing w:val="24"/>
                      <w:sz w:val="21"/>
                      <w:szCs w:val="21"/>
                    </w:rPr>
                    <w:t xml:space="preserve"> </w:t>
                  </w:r>
                  <w:r>
                    <w:rPr>
                      <w:rFonts w:ascii="宋体" w:hAnsi="宋体" w:eastAsia="宋体" w:cs="宋体"/>
                      <w:color w:val="auto"/>
                      <w:spacing w:val="-2"/>
                      <w:sz w:val="21"/>
                      <w:szCs w:val="21"/>
                    </w:rPr>
                    <w:t>号</w:t>
                  </w:r>
                </w:p>
              </w:tc>
            </w:tr>
            <w:tr w14:paraId="5D505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233CE6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51</w:t>
                  </w:r>
                </w:p>
              </w:tc>
              <w:tc>
                <w:tcPr>
                  <w:tcW w:w="961" w:type="dxa"/>
                  <w:vAlign w:val="center"/>
                </w:tcPr>
                <w:p w14:paraId="3280E3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广东利生源生物饲料有限公</w:t>
                  </w:r>
                </w:p>
                <w:p w14:paraId="07AFCF4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524235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023502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农副食品加工业</w:t>
                  </w:r>
                </w:p>
              </w:tc>
              <w:tc>
                <w:tcPr>
                  <w:tcW w:w="1140" w:type="dxa"/>
                  <w:vAlign w:val="center"/>
                </w:tcPr>
                <w:p w14:paraId="2E4D40D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10770</w:t>
                  </w:r>
                </w:p>
              </w:tc>
              <w:tc>
                <w:tcPr>
                  <w:tcW w:w="2053" w:type="dxa"/>
                  <w:vAlign w:val="center"/>
                </w:tcPr>
                <w:p w14:paraId="394F9D8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年产优能乳</w:t>
                  </w:r>
                  <w:r>
                    <w:rPr>
                      <w:rFonts w:ascii="宋体" w:hAnsi="宋体" w:eastAsia="宋体" w:cs="宋体"/>
                      <w:color w:val="auto"/>
                      <w:spacing w:val="-26"/>
                      <w:sz w:val="21"/>
                      <w:szCs w:val="21"/>
                    </w:rPr>
                    <w:t xml:space="preserve"> </w:t>
                  </w:r>
                  <w:r>
                    <w:rPr>
                      <w:color w:val="auto"/>
                      <w:spacing w:val="-3"/>
                      <w:sz w:val="21"/>
                      <w:szCs w:val="21"/>
                    </w:rPr>
                    <w:t>10800</w:t>
                  </w:r>
                  <w:r>
                    <w:rPr>
                      <w:color w:val="auto"/>
                      <w:spacing w:val="18"/>
                      <w:w w:val="101"/>
                      <w:sz w:val="21"/>
                      <w:szCs w:val="21"/>
                    </w:rPr>
                    <w:t xml:space="preserve"> </w:t>
                  </w:r>
                  <w:r>
                    <w:rPr>
                      <w:rFonts w:ascii="宋体" w:hAnsi="宋体" w:eastAsia="宋体" w:cs="宋体"/>
                      <w:color w:val="auto"/>
                      <w:spacing w:val="-3"/>
                      <w:sz w:val="21"/>
                      <w:szCs w:val="21"/>
                    </w:rPr>
                    <w:t>吨、利生宝</w:t>
                  </w:r>
                  <w:r>
                    <w:rPr>
                      <w:rFonts w:ascii="宋体" w:hAnsi="宋体" w:eastAsia="宋体" w:cs="宋体"/>
                      <w:color w:val="auto"/>
                      <w:spacing w:val="-44"/>
                      <w:sz w:val="21"/>
                      <w:szCs w:val="21"/>
                    </w:rPr>
                    <w:t xml:space="preserve"> </w:t>
                  </w:r>
                  <w:r>
                    <w:rPr>
                      <w:color w:val="auto"/>
                      <w:spacing w:val="-3"/>
                      <w:sz w:val="21"/>
                      <w:szCs w:val="21"/>
                    </w:rPr>
                    <w:t>3000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050DDDA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乐环函</w:t>
                  </w:r>
                  <w:r>
                    <w:rPr>
                      <w:color w:val="auto"/>
                      <w:spacing w:val="-3"/>
                      <w:sz w:val="21"/>
                      <w:szCs w:val="21"/>
                    </w:rPr>
                    <w:t>[</w:t>
                  </w:r>
                  <w:r>
                    <w:rPr>
                      <w:color w:val="auto"/>
                      <w:sz w:val="21"/>
                      <w:szCs w:val="21"/>
                    </w:rPr>
                    <w:fldChar w:fldCharType="begin"/>
                  </w:r>
                  <w:r>
                    <w:rPr>
                      <w:color w:val="auto"/>
                      <w:sz w:val="21"/>
                      <w:szCs w:val="21"/>
                    </w:rPr>
                    <w:instrText xml:space="preserve"> HYPERLINK \l "bookmark243" </w:instrText>
                  </w:r>
                  <w:r>
                    <w:rPr>
                      <w:color w:val="auto"/>
                      <w:sz w:val="21"/>
                      <w:szCs w:val="21"/>
                    </w:rPr>
                    <w:fldChar w:fldCharType="separate"/>
                  </w:r>
                  <w:r>
                    <w:rPr>
                      <w:color w:val="auto"/>
                      <w:spacing w:val="-3"/>
                      <w:sz w:val="21"/>
                      <w:szCs w:val="21"/>
                    </w:rPr>
                    <w:t>2011</w:t>
                  </w:r>
                  <w:r>
                    <w:rPr>
                      <w:color w:val="auto"/>
                      <w:spacing w:val="-3"/>
                      <w:sz w:val="21"/>
                      <w:szCs w:val="21"/>
                    </w:rPr>
                    <w:fldChar w:fldCharType="end"/>
                  </w:r>
                  <w:r>
                    <w:rPr>
                      <w:color w:val="auto"/>
                      <w:spacing w:val="-3"/>
                      <w:sz w:val="21"/>
                      <w:szCs w:val="21"/>
                    </w:rPr>
                    <w:t>]</w:t>
                  </w:r>
                  <w:r>
                    <w:rPr>
                      <w:color w:val="auto"/>
                      <w:spacing w:val="-20"/>
                      <w:sz w:val="21"/>
                      <w:szCs w:val="21"/>
                    </w:rPr>
                    <w:t xml:space="preserve"> </w:t>
                  </w:r>
                  <w:r>
                    <w:rPr>
                      <w:color w:val="auto"/>
                      <w:spacing w:val="-3"/>
                      <w:sz w:val="21"/>
                      <w:szCs w:val="21"/>
                    </w:rPr>
                    <w:t xml:space="preserve">103 </w:t>
                  </w:r>
                  <w:r>
                    <w:rPr>
                      <w:rFonts w:ascii="宋体" w:hAnsi="宋体" w:eastAsia="宋体" w:cs="宋体"/>
                      <w:color w:val="auto"/>
                      <w:spacing w:val="-3"/>
                      <w:sz w:val="21"/>
                      <w:szCs w:val="21"/>
                    </w:rPr>
                    <w:t>号</w:t>
                  </w:r>
                </w:p>
              </w:tc>
            </w:tr>
            <w:tr w14:paraId="5C2F5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30BB2F3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52</w:t>
                  </w:r>
                </w:p>
              </w:tc>
              <w:tc>
                <w:tcPr>
                  <w:tcW w:w="961" w:type="dxa"/>
                  <w:vAlign w:val="center"/>
                </w:tcPr>
                <w:p w14:paraId="2B913A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乐昌市自来水有限公司</w:t>
                  </w:r>
                </w:p>
              </w:tc>
              <w:tc>
                <w:tcPr>
                  <w:tcW w:w="600" w:type="dxa"/>
                  <w:vAlign w:val="center"/>
                </w:tcPr>
                <w:p w14:paraId="07E778A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2DAE61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自来水生产和供应</w:t>
                  </w:r>
                  <w:r>
                    <w:rPr>
                      <w:rFonts w:ascii="宋体" w:hAnsi="宋体" w:eastAsia="宋体" w:cs="宋体"/>
                      <w:color w:val="auto"/>
                      <w:sz w:val="21"/>
                      <w:szCs w:val="21"/>
                    </w:rPr>
                    <w:t>业</w:t>
                  </w:r>
                </w:p>
              </w:tc>
              <w:tc>
                <w:tcPr>
                  <w:tcW w:w="1140" w:type="dxa"/>
                  <w:vAlign w:val="center"/>
                </w:tcPr>
                <w:p w14:paraId="37EC43E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9303.8</w:t>
                  </w:r>
                </w:p>
              </w:tc>
              <w:tc>
                <w:tcPr>
                  <w:tcW w:w="2053" w:type="dxa"/>
                  <w:vAlign w:val="center"/>
                </w:tcPr>
                <w:p w14:paraId="2A5AFAB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加压泵站建设，供应水量</w:t>
                  </w:r>
                  <w:r>
                    <w:rPr>
                      <w:rFonts w:ascii="宋体" w:hAnsi="宋体" w:eastAsia="宋体" w:cs="宋体"/>
                      <w:color w:val="auto"/>
                      <w:spacing w:val="-39"/>
                      <w:sz w:val="21"/>
                      <w:szCs w:val="21"/>
                    </w:rPr>
                    <w:t xml:space="preserve"> </w:t>
                  </w:r>
                  <w:r>
                    <w:rPr>
                      <w:color w:val="auto"/>
                      <w:spacing w:val="-1"/>
                      <w:sz w:val="21"/>
                      <w:szCs w:val="21"/>
                    </w:rPr>
                    <w:t xml:space="preserve">5000 </w:t>
                  </w:r>
                  <w:r>
                    <w:rPr>
                      <w:rFonts w:ascii="宋体" w:hAnsi="宋体" w:eastAsia="宋体" w:cs="宋体"/>
                      <w:color w:val="auto"/>
                      <w:spacing w:val="-1"/>
                      <w:sz w:val="21"/>
                      <w:szCs w:val="21"/>
                    </w:rPr>
                    <w:t>立方</w:t>
                  </w:r>
                </w:p>
              </w:tc>
              <w:tc>
                <w:tcPr>
                  <w:tcW w:w="1878" w:type="dxa"/>
                  <w:vAlign w:val="center"/>
                </w:tcPr>
                <w:p w14:paraId="6CAE15B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"bookmark244" </w:instrText>
                  </w:r>
                  <w:r>
                    <w:rPr>
                      <w:color w:val="auto"/>
                      <w:sz w:val="21"/>
                      <w:szCs w:val="21"/>
                    </w:rPr>
                    <w:fldChar w:fldCharType="separate"/>
                  </w:r>
                  <w:r>
                    <w:rPr>
                      <w:color w:val="auto"/>
                      <w:spacing w:val="-2"/>
                      <w:sz w:val="21"/>
                      <w:szCs w:val="21"/>
                    </w:rPr>
                    <w:t>2012</w:t>
                  </w:r>
                  <w:r>
                    <w:rPr>
                      <w:color w:val="auto"/>
                      <w:spacing w:val="-2"/>
                      <w:sz w:val="21"/>
                      <w:szCs w:val="21"/>
                    </w:rPr>
                    <w:fldChar w:fldCharType="end"/>
                  </w:r>
                  <w:r>
                    <w:rPr>
                      <w:color w:val="auto"/>
                      <w:spacing w:val="-2"/>
                      <w:sz w:val="21"/>
                      <w:szCs w:val="21"/>
                    </w:rPr>
                    <w:t>]</w:t>
                  </w:r>
                  <w:r>
                    <w:rPr>
                      <w:color w:val="auto"/>
                      <w:spacing w:val="-27"/>
                      <w:sz w:val="21"/>
                      <w:szCs w:val="21"/>
                    </w:rPr>
                    <w:t xml:space="preserve"> </w:t>
                  </w:r>
                  <w:r>
                    <w:rPr>
                      <w:color w:val="auto"/>
                      <w:spacing w:val="-2"/>
                      <w:sz w:val="21"/>
                      <w:szCs w:val="21"/>
                    </w:rPr>
                    <w:t xml:space="preserve">103 </w:t>
                  </w:r>
                  <w:r>
                    <w:rPr>
                      <w:rFonts w:ascii="宋体" w:hAnsi="宋体" w:eastAsia="宋体" w:cs="宋体"/>
                      <w:color w:val="auto"/>
                      <w:spacing w:val="-2"/>
                      <w:sz w:val="21"/>
                      <w:szCs w:val="21"/>
                    </w:rPr>
                    <w:t>号</w:t>
                  </w:r>
                </w:p>
              </w:tc>
            </w:tr>
            <w:tr w14:paraId="1D7C2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633E91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53</w:t>
                  </w:r>
                </w:p>
              </w:tc>
              <w:tc>
                <w:tcPr>
                  <w:tcW w:w="961" w:type="dxa"/>
                  <w:vAlign w:val="center"/>
                </w:tcPr>
                <w:p w14:paraId="273400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7"/>
                      <w:sz w:val="21"/>
                      <w:szCs w:val="21"/>
                    </w:rPr>
                    <w:t>东莞东坑（乐昌）产业转移园</w:t>
                  </w:r>
                </w:p>
                <w:p w14:paraId="65C432E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污水处理厂</w:t>
                  </w:r>
                </w:p>
              </w:tc>
              <w:tc>
                <w:tcPr>
                  <w:tcW w:w="600" w:type="dxa"/>
                  <w:vAlign w:val="center"/>
                </w:tcPr>
                <w:p w14:paraId="1097777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F0A9A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污水处理及其再生</w:t>
                  </w:r>
                  <w:r>
                    <w:rPr>
                      <w:rFonts w:ascii="宋体" w:hAnsi="宋体" w:eastAsia="宋体" w:cs="宋体"/>
                      <w:color w:val="auto"/>
                      <w:spacing w:val="-2"/>
                      <w:sz w:val="21"/>
                      <w:szCs w:val="21"/>
                    </w:rPr>
                    <w:t>利用业</w:t>
                  </w:r>
                </w:p>
              </w:tc>
              <w:tc>
                <w:tcPr>
                  <w:tcW w:w="1140" w:type="dxa"/>
                  <w:vAlign w:val="center"/>
                </w:tcPr>
                <w:p w14:paraId="02FA7A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15400</w:t>
                  </w:r>
                </w:p>
              </w:tc>
              <w:tc>
                <w:tcPr>
                  <w:tcW w:w="2053" w:type="dxa"/>
                  <w:vAlign w:val="center"/>
                </w:tcPr>
                <w:p w14:paraId="28D6C1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3"/>
                      <w:sz w:val="21"/>
                      <w:szCs w:val="21"/>
                    </w:rPr>
                    <w:t>处理水量</w:t>
                  </w:r>
                  <w:r>
                    <w:rPr>
                      <w:rFonts w:ascii="宋体" w:hAnsi="宋体" w:eastAsia="宋体" w:cs="宋体"/>
                      <w:color w:val="auto"/>
                      <w:spacing w:val="-18"/>
                      <w:sz w:val="21"/>
                      <w:szCs w:val="21"/>
                    </w:rPr>
                    <w:t xml:space="preserve"> </w:t>
                  </w:r>
                  <w:r>
                    <w:rPr>
                      <w:color w:val="auto"/>
                      <w:spacing w:val="-3"/>
                      <w:sz w:val="21"/>
                      <w:szCs w:val="21"/>
                    </w:rPr>
                    <w:t xml:space="preserve">10000 </w:t>
                  </w:r>
                  <w:r>
                    <w:rPr>
                      <w:rFonts w:ascii="宋体" w:hAnsi="宋体" w:eastAsia="宋体" w:cs="宋体"/>
                      <w:color w:val="auto"/>
                      <w:spacing w:val="-3"/>
                      <w:sz w:val="21"/>
                      <w:szCs w:val="21"/>
                    </w:rPr>
                    <w:t>立方米</w:t>
                  </w:r>
                  <w:r>
                    <w:rPr>
                      <w:color w:val="auto"/>
                      <w:spacing w:val="-3"/>
                      <w:sz w:val="21"/>
                      <w:szCs w:val="21"/>
                    </w:rPr>
                    <w:t>/d</w:t>
                  </w:r>
                </w:p>
              </w:tc>
              <w:tc>
                <w:tcPr>
                  <w:tcW w:w="1878" w:type="dxa"/>
                  <w:vAlign w:val="center"/>
                </w:tcPr>
                <w:p w14:paraId="5CA30A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乐环函</w:t>
                  </w:r>
                  <w:r>
                    <w:rPr>
                      <w:color w:val="auto"/>
                      <w:spacing w:val="-2"/>
                      <w:sz w:val="21"/>
                      <w:szCs w:val="21"/>
                    </w:rPr>
                    <w:t>[</w:t>
                  </w:r>
                  <w:r>
                    <w:rPr>
                      <w:color w:val="auto"/>
                      <w:sz w:val="21"/>
                      <w:szCs w:val="21"/>
                    </w:rPr>
                    <w:fldChar w:fldCharType="begin"/>
                  </w:r>
                  <w:r>
                    <w:rPr>
                      <w:color w:val="auto"/>
                      <w:sz w:val="21"/>
                      <w:szCs w:val="21"/>
                    </w:rPr>
                    <w:instrText xml:space="preserve"> HYPERLINK \l "bookmark245" </w:instrText>
                  </w:r>
                  <w:r>
                    <w:rPr>
                      <w:color w:val="auto"/>
                      <w:sz w:val="21"/>
                      <w:szCs w:val="21"/>
                    </w:rPr>
                    <w:fldChar w:fldCharType="separate"/>
                  </w:r>
                  <w:r>
                    <w:rPr>
                      <w:color w:val="auto"/>
                      <w:spacing w:val="-2"/>
                      <w:sz w:val="21"/>
                      <w:szCs w:val="21"/>
                    </w:rPr>
                    <w:t>2010</w:t>
                  </w:r>
                  <w:r>
                    <w:rPr>
                      <w:color w:val="auto"/>
                      <w:spacing w:val="-2"/>
                      <w:sz w:val="21"/>
                      <w:szCs w:val="21"/>
                    </w:rPr>
                    <w:fldChar w:fldCharType="end"/>
                  </w:r>
                  <w:r>
                    <w:rPr>
                      <w:color w:val="auto"/>
                      <w:spacing w:val="-2"/>
                      <w:sz w:val="21"/>
                      <w:szCs w:val="21"/>
                    </w:rPr>
                    <w:t>]</w:t>
                  </w:r>
                  <w:r>
                    <w:rPr>
                      <w:color w:val="auto"/>
                      <w:spacing w:val="-27"/>
                      <w:sz w:val="21"/>
                      <w:szCs w:val="21"/>
                    </w:rPr>
                    <w:t xml:space="preserve"> </w:t>
                  </w:r>
                  <w:r>
                    <w:rPr>
                      <w:color w:val="auto"/>
                      <w:spacing w:val="-2"/>
                      <w:sz w:val="21"/>
                      <w:szCs w:val="21"/>
                    </w:rPr>
                    <w:t xml:space="preserve">107 </w:t>
                  </w:r>
                  <w:r>
                    <w:rPr>
                      <w:rFonts w:ascii="宋体" w:hAnsi="宋体" w:eastAsia="宋体" w:cs="宋体"/>
                      <w:color w:val="auto"/>
                      <w:spacing w:val="-2"/>
                      <w:sz w:val="21"/>
                      <w:szCs w:val="21"/>
                    </w:rPr>
                    <w:t>号</w:t>
                  </w:r>
                </w:p>
              </w:tc>
            </w:tr>
            <w:tr w14:paraId="7D47D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45683C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54</w:t>
                  </w:r>
                </w:p>
              </w:tc>
              <w:tc>
                <w:tcPr>
                  <w:tcW w:w="961" w:type="dxa"/>
                  <w:vAlign w:val="center"/>
                </w:tcPr>
                <w:p w14:paraId="0D7159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乐昌市玉煌科技有限公司</w:t>
                  </w:r>
                </w:p>
              </w:tc>
              <w:tc>
                <w:tcPr>
                  <w:tcW w:w="600" w:type="dxa"/>
                  <w:vAlign w:val="center"/>
                </w:tcPr>
                <w:p w14:paraId="22C4E9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96359F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FC2984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15291.1</w:t>
                  </w:r>
                </w:p>
              </w:tc>
              <w:tc>
                <w:tcPr>
                  <w:tcW w:w="2053" w:type="dxa"/>
                  <w:vAlign w:val="center"/>
                </w:tcPr>
                <w:p w14:paraId="64DE47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年产螺丝紧固件</w:t>
                  </w:r>
                  <w:r>
                    <w:rPr>
                      <w:rFonts w:ascii="宋体" w:hAnsi="宋体" w:eastAsia="宋体" w:cs="宋体"/>
                      <w:color w:val="auto"/>
                      <w:spacing w:val="-37"/>
                      <w:sz w:val="21"/>
                      <w:szCs w:val="21"/>
                    </w:rPr>
                    <w:t xml:space="preserve"> </w:t>
                  </w:r>
                  <w:r>
                    <w:rPr>
                      <w:color w:val="auto"/>
                      <w:spacing w:val="-2"/>
                      <w:sz w:val="21"/>
                      <w:szCs w:val="21"/>
                    </w:rPr>
                    <w:t>2000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7351458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"bookmark246"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]54</w:t>
                  </w:r>
                  <w:r>
                    <w:rPr>
                      <w:color w:val="auto"/>
                      <w:spacing w:val="24"/>
                      <w:sz w:val="21"/>
                      <w:szCs w:val="21"/>
                    </w:rPr>
                    <w:t xml:space="preserve"> </w:t>
                  </w:r>
                  <w:r>
                    <w:rPr>
                      <w:rFonts w:ascii="宋体" w:hAnsi="宋体" w:eastAsia="宋体" w:cs="宋体"/>
                      <w:color w:val="auto"/>
                      <w:spacing w:val="-2"/>
                      <w:sz w:val="21"/>
                      <w:szCs w:val="21"/>
                    </w:rPr>
                    <w:t>号</w:t>
                  </w:r>
                </w:p>
              </w:tc>
            </w:tr>
            <w:tr w14:paraId="385D5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11" w:type="dxa"/>
                  <w:vAlign w:val="center"/>
                </w:tcPr>
                <w:p w14:paraId="5932C80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11B760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55</w:t>
                  </w:r>
                </w:p>
              </w:tc>
              <w:tc>
                <w:tcPr>
                  <w:tcW w:w="961" w:type="dxa"/>
                  <w:vAlign w:val="center"/>
                </w:tcPr>
                <w:p w14:paraId="77A99FB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广东科优精密机械制造有限</w:t>
                  </w:r>
                </w:p>
                <w:p w14:paraId="4F228EE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813ACB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14D6EF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19F338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12528.8</w:t>
                  </w:r>
                </w:p>
              </w:tc>
              <w:tc>
                <w:tcPr>
                  <w:tcW w:w="2053" w:type="dxa"/>
                  <w:vAlign w:val="center"/>
                </w:tcPr>
                <w:p w14:paraId="4CAA3ED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年产电磁阀用汇流板</w:t>
                  </w:r>
                  <w:r>
                    <w:rPr>
                      <w:rFonts w:ascii="宋体" w:hAnsi="宋体" w:eastAsia="宋体" w:cs="宋体"/>
                      <w:color w:val="auto"/>
                      <w:spacing w:val="-37"/>
                      <w:sz w:val="21"/>
                      <w:szCs w:val="21"/>
                    </w:rPr>
                    <w:t xml:space="preserve"> </w:t>
                  </w:r>
                  <w:r>
                    <w:rPr>
                      <w:color w:val="auto"/>
                      <w:spacing w:val="-5"/>
                      <w:sz w:val="21"/>
                      <w:szCs w:val="21"/>
                    </w:rPr>
                    <w:t>5000</w:t>
                  </w:r>
                  <w:r>
                    <w:rPr>
                      <w:color w:val="auto"/>
                      <w:spacing w:val="16"/>
                      <w:w w:val="101"/>
                      <w:sz w:val="21"/>
                      <w:szCs w:val="21"/>
                    </w:rPr>
                    <w:t xml:space="preserve"> </w:t>
                  </w:r>
                  <w:r>
                    <w:rPr>
                      <w:rFonts w:ascii="宋体" w:hAnsi="宋体" w:eastAsia="宋体" w:cs="宋体"/>
                      <w:color w:val="auto"/>
                      <w:spacing w:val="-5"/>
                      <w:sz w:val="21"/>
                      <w:szCs w:val="21"/>
                    </w:rPr>
                    <w:t>吨、精抽加工铝制品</w:t>
                  </w:r>
                  <w:r>
                    <w:rPr>
                      <w:rFonts w:ascii="宋体" w:hAnsi="宋体" w:eastAsia="宋体" w:cs="宋体"/>
                      <w:color w:val="auto"/>
                      <w:spacing w:val="-49"/>
                      <w:sz w:val="21"/>
                      <w:szCs w:val="21"/>
                    </w:rPr>
                    <w:t xml:space="preserve"> </w:t>
                  </w:r>
                  <w:r>
                    <w:rPr>
                      <w:color w:val="auto"/>
                      <w:spacing w:val="-5"/>
                      <w:sz w:val="21"/>
                      <w:szCs w:val="21"/>
                    </w:rPr>
                    <w:t>400</w:t>
                  </w:r>
                  <w:r>
                    <w:rPr>
                      <w:color w:val="auto"/>
                      <w:spacing w:val="16"/>
                      <w:sz w:val="21"/>
                      <w:szCs w:val="21"/>
                    </w:rPr>
                    <w:t xml:space="preserve"> </w:t>
                  </w:r>
                  <w:r>
                    <w:rPr>
                      <w:rFonts w:ascii="宋体" w:hAnsi="宋体" w:eastAsia="宋体" w:cs="宋体"/>
                      <w:color w:val="auto"/>
                      <w:spacing w:val="-5"/>
                      <w:sz w:val="21"/>
                      <w:szCs w:val="21"/>
                    </w:rPr>
                    <w:t>吨，表面</w:t>
                  </w:r>
                </w:p>
                <w:p w14:paraId="6FB8F3A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处理汇流板产品</w:t>
                  </w:r>
                  <w:r>
                    <w:rPr>
                      <w:rFonts w:ascii="宋体" w:hAnsi="宋体" w:eastAsia="宋体" w:cs="宋体"/>
                      <w:color w:val="auto"/>
                      <w:spacing w:val="-28"/>
                      <w:sz w:val="21"/>
                      <w:szCs w:val="21"/>
                    </w:rPr>
                    <w:t xml:space="preserve"> </w:t>
                  </w:r>
                  <w:r>
                    <w:rPr>
                      <w:color w:val="auto"/>
                      <w:spacing w:val="-3"/>
                      <w:sz w:val="21"/>
                      <w:szCs w:val="21"/>
                    </w:rPr>
                    <w:t>1800</w:t>
                  </w:r>
                  <w:r>
                    <w:rPr>
                      <w:color w:val="auto"/>
                      <w:spacing w:val="18"/>
                      <w:sz w:val="21"/>
                      <w:szCs w:val="21"/>
                    </w:rPr>
                    <w:t xml:space="preserve"> </w:t>
                  </w:r>
                  <w:r>
                    <w:rPr>
                      <w:rFonts w:ascii="宋体" w:hAnsi="宋体" w:eastAsia="宋体" w:cs="宋体"/>
                      <w:color w:val="auto"/>
                      <w:spacing w:val="-3"/>
                      <w:sz w:val="21"/>
                      <w:szCs w:val="21"/>
                    </w:rPr>
                    <w:t>吨</w:t>
                  </w:r>
                </w:p>
              </w:tc>
              <w:tc>
                <w:tcPr>
                  <w:tcW w:w="1878" w:type="dxa"/>
                  <w:vAlign w:val="center"/>
                </w:tcPr>
                <w:p w14:paraId="25C489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"bookmark247"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]03</w:t>
                  </w:r>
                  <w:r>
                    <w:rPr>
                      <w:color w:val="auto"/>
                      <w:spacing w:val="18"/>
                      <w:sz w:val="21"/>
                      <w:szCs w:val="21"/>
                    </w:rPr>
                    <w:t xml:space="preserve"> </w:t>
                  </w:r>
                  <w:r>
                    <w:rPr>
                      <w:rFonts w:ascii="宋体" w:hAnsi="宋体" w:eastAsia="宋体" w:cs="宋体"/>
                      <w:color w:val="auto"/>
                      <w:spacing w:val="-2"/>
                      <w:sz w:val="21"/>
                      <w:szCs w:val="21"/>
                    </w:rPr>
                    <w:t>号、乐环审</w:t>
                  </w:r>
                </w:p>
                <w:p w14:paraId="1517E44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6"/>
                      <w:sz w:val="21"/>
                      <w:szCs w:val="21"/>
                    </w:rPr>
                    <w:t>[</w:t>
                  </w:r>
                  <w:r>
                    <w:rPr>
                      <w:color w:val="auto"/>
                      <w:sz w:val="21"/>
                      <w:szCs w:val="21"/>
                    </w:rPr>
                    <w:fldChar w:fldCharType="begin"/>
                  </w:r>
                  <w:r>
                    <w:rPr>
                      <w:color w:val="auto"/>
                      <w:sz w:val="21"/>
                      <w:szCs w:val="21"/>
                    </w:rPr>
                    <w:instrText xml:space="preserve"> HYPERLINK \l "bookmark248" </w:instrText>
                  </w:r>
                  <w:r>
                    <w:rPr>
                      <w:color w:val="auto"/>
                      <w:sz w:val="21"/>
                      <w:szCs w:val="21"/>
                    </w:rPr>
                    <w:fldChar w:fldCharType="separate"/>
                  </w:r>
                  <w:r>
                    <w:rPr>
                      <w:color w:val="auto"/>
                      <w:spacing w:val="-6"/>
                      <w:sz w:val="21"/>
                      <w:szCs w:val="21"/>
                    </w:rPr>
                    <w:t>2018</w:t>
                  </w:r>
                  <w:r>
                    <w:rPr>
                      <w:color w:val="auto"/>
                      <w:spacing w:val="-6"/>
                      <w:sz w:val="21"/>
                      <w:szCs w:val="21"/>
                    </w:rPr>
                    <w:fldChar w:fldCharType="end"/>
                  </w:r>
                  <w:r>
                    <w:rPr>
                      <w:color w:val="auto"/>
                      <w:spacing w:val="-6"/>
                      <w:sz w:val="21"/>
                      <w:szCs w:val="21"/>
                    </w:rPr>
                    <w:t>]24</w:t>
                  </w:r>
                  <w:r>
                    <w:rPr>
                      <w:color w:val="auto"/>
                      <w:spacing w:val="16"/>
                      <w:sz w:val="21"/>
                      <w:szCs w:val="21"/>
                    </w:rPr>
                    <w:t xml:space="preserve"> </w:t>
                  </w:r>
                  <w:r>
                    <w:rPr>
                      <w:rFonts w:ascii="宋体" w:hAnsi="宋体" w:eastAsia="宋体" w:cs="宋体"/>
                      <w:color w:val="auto"/>
                      <w:spacing w:val="-6"/>
                      <w:sz w:val="21"/>
                      <w:szCs w:val="21"/>
                    </w:rPr>
                    <w:t>号、韶环乐审〔</w:t>
                  </w:r>
                  <w:r>
                    <w:rPr>
                      <w:color w:val="auto"/>
                      <w:spacing w:val="-6"/>
                      <w:sz w:val="21"/>
                      <w:szCs w:val="21"/>
                    </w:rPr>
                    <w:t>2024</w:t>
                  </w:r>
                  <w:r>
                    <w:rPr>
                      <w:rFonts w:ascii="宋体" w:hAnsi="宋体" w:eastAsia="宋体" w:cs="宋体"/>
                      <w:color w:val="auto"/>
                      <w:spacing w:val="-6"/>
                      <w:sz w:val="21"/>
                      <w:szCs w:val="21"/>
                    </w:rPr>
                    <w:t>〕</w:t>
                  </w:r>
                  <w:r>
                    <w:rPr>
                      <w:color w:val="auto"/>
                      <w:spacing w:val="-6"/>
                      <w:sz w:val="21"/>
                      <w:szCs w:val="21"/>
                    </w:rPr>
                    <w:t>04</w:t>
                  </w:r>
                </w:p>
                <w:p w14:paraId="12DA9EC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号</w:t>
                  </w:r>
                </w:p>
              </w:tc>
            </w:tr>
            <w:tr w14:paraId="616E8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1DA119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56</w:t>
                  </w:r>
                </w:p>
              </w:tc>
              <w:tc>
                <w:tcPr>
                  <w:tcW w:w="961" w:type="dxa"/>
                  <w:vAlign w:val="center"/>
                </w:tcPr>
                <w:p w14:paraId="48E487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广东中博交通环保设备有限</w:t>
                  </w:r>
                </w:p>
                <w:p w14:paraId="19766D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54C66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C45C4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B4F27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20059.4</w:t>
                  </w:r>
                </w:p>
              </w:tc>
              <w:tc>
                <w:tcPr>
                  <w:tcW w:w="2053" w:type="dxa"/>
                  <w:vAlign w:val="center"/>
                </w:tcPr>
                <w:p w14:paraId="645EDF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年加工生产交通环保材料</w:t>
                  </w:r>
                  <w:r>
                    <w:rPr>
                      <w:rFonts w:ascii="宋体" w:hAnsi="宋体" w:eastAsia="宋体" w:cs="宋体"/>
                      <w:color w:val="auto"/>
                      <w:spacing w:val="-39"/>
                      <w:sz w:val="21"/>
                      <w:szCs w:val="21"/>
                    </w:rPr>
                    <w:t xml:space="preserve"> </w:t>
                  </w:r>
                  <w:r>
                    <w:rPr>
                      <w:color w:val="auto"/>
                      <w:spacing w:val="-2"/>
                      <w:sz w:val="21"/>
                      <w:szCs w:val="21"/>
                    </w:rPr>
                    <w:t>50</w:t>
                  </w:r>
                  <w:r>
                    <w:rPr>
                      <w:color w:val="auto"/>
                      <w:spacing w:val="14"/>
                      <w:sz w:val="21"/>
                      <w:szCs w:val="21"/>
                    </w:rPr>
                    <w:t xml:space="preserve"> </w:t>
                  </w:r>
                  <w:r>
                    <w:rPr>
                      <w:rFonts w:ascii="宋体" w:hAnsi="宋体" w:eastAsia="宋体" w:cs="宋体"/>
                      <w:color w:val="auto"/>
                      <w:spacing w:val="-2"/>
                      <w:sz w:val="21"/>
                      <w:szCs w:val="21"/>
                    </w:rPr>
                    <w:t>万件</w:t>
                  </w:r>
                </w:p>
              </w:tc>
              <w:tc>
                <w:tcPr>
                  <w:tcW w:w="1878" w:type="dxa"/>
                  <w:vAlign w:val="center"/>
                </w:tcPr>
                <w:p w14:paraId="7ADD41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"bookmark249"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]59</w:t>
                  </w:r>
                  <w:r>
                    <w:rPr>
                      <w:color w:val="auto"/>
                      <w:spacing w:val="24"/>
                      <w:sz w:val="21"/>
                      <w:szCs w:val="21"/>
                    </w:rPr>
                    <w:t xml:space="preserve"> </w:t>
                  </w:r>
                  <w:r>
                    <w:rPr>
                      <w:rFonts w:ascii="宋体" w:hAnsi="宋体" w:eastAsia="宋体" w:cs="宋体"/>
                      <w:color w:val="auto"/>
                      <w:spacing w:val="-2"/>
                      <w:sz w:val="21"/>
                      <w:szCs w:val="21"/>
                    </w:rPr>
                    <w:t>号</w:t>
                  </w:r>
                </w:p>
              </w:tc>
            </w:tr>
            <w:tr w14:paraId="0993E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BA3F83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57</w:t>
                  </w:r>
                </w:p>
              </w:tc>
              <w:tc>
                <w:tcPr>
                  <w:tcW w:w="961" w:type="dxa"/>
                  <w:vAlign w:val="center"/>
                </w:tcPr>
                <w:p w14:paraId="6914661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乐昌欧典高分子装饰材料有</w:t>
                  </w:r>
                </w:p>
                <w:p w14:paraId="602E5E3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0C8619D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1B510C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2E6ED5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8631.1</w:t>
                  </w:r>
                </w:p>
              </w:tc>
              <w:tc>
                <w:tcPr>
                  <w:tcW w:w="2053" w:type="dxa"/>
                  <w:vAlign w:val="center"/>
                </w:tcPr>
                <w:p w14:paraId="6BBF2D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51"/>
                      <w:sz w:val="21"/>
                      <w:szCs w:val="21"/>
                    </w:rPr>
                    <w:t xml:space="preserve"> </w:t>
                  </w:r>
                  <w:r>
                    <w:rPr>
                      <w:color w:val="auto"/>
                      <w:spacing w:val="-1"/>
                      <w:sz w:val="21"/>
                      <w:szCs w:val="21"/>
                    </w:rPr>
                    <w:t xml:space="preserve">PVC </w:t>
                  </w:r>
                  <w:r>
                    <w:rPr>
                      <w:rFonts w:ascii="宋体" w:hAnsi="宋体" w:eastAsia="宋体" w:cs="宋体"/>
                      <w:color w:val="auto"/>
                      <w:spacing w:val="-1"/>
                      <w:sz w:val="21"/>
                      <w:szCs w:val="21"/>
                    </w:rPr>
                    <w:t>墙板</w:t>
                  </w:r>
                  <w:r>
                    <w:rPr>
                      <w:rFonts w:ascii="宋体" w:hAnsi="宋体" w:eastAsia="宋体" w:cs="宋体"/>
                      <w:color w:val="auto"/>
                      <w:spacing w:val="-43"/>
                      <w:sz w:val="21"/>
                      <w:szCs w:val="21"/>
                    </w:rPr>
                    <w:t xml:space="preserve"> </w:t>
                  </w:r>
                  <w:r>
                    <w:rPr>
                      <w:color w:val="auto"/>
                      <w:spacing w:val="-1"/>
                      <w:sz w:val="21"/>
                      <w:szCs w:val="21"/>
                    </w:rPr>
                    <w:t>300</w:t>
                  </w:r>
                  <w:r>
                    <w:rPr>
                      <w:color w:val="auto"/>
                      <w:spacing w:val="13"/>
                      <w:w w:val="101"/>
                      <w:sz w:val="21"/>
                      <w:szCs w:val="21"/>
                    </w:rPr>
                    <w:t xml:space="preserve"> </w:t>
                  </w:r>
                  <w:r>
                    <w:rPr>
                      <w:rFonts w:ascii="宋体" w:hAnsi="宋体" w:eastAsia="宋体" w:cs="宋体"/>
                      <w:color w:val="auto"/>
                      <w:spacing w:val="-1"/>
                      <w:sz w:val="21"/>
                      <w:szCs w:val="21"/>
                    </w:rPr>
                    <w:t>万平方、</w:t>
                  </w:r>
                  <w:r>
                    <w:rPr>
                      <w:color w:val="auto"/>
                      <w:spacing w:val="-1"/>
                      <w:sz w:val="21"/>
                      <w:szCs w:val="21"/>
                    </w:rPr>
                    <w:t xml:space="preserve">PVC </w:t>
                  </w:r>
                  <w:r>
                    <w:rPr>
                      <w:rFonts w:ascii="宋体" w:hAnsi="宋体" w:eastAsia="宋体" w:cs="宋体"/>
                      <w:color w:val="auto"/>
                      <w:spacing w:val="-1"/>
                      <w:sz w:val="21"/>
                      <w:szCs w:val="21"/>
                    </w:rPr>
                    <w:t>墙板</w:t>
                  </w:r>
                  <w:r>
                    <w:rPr>
                      <w:rFonts w:ascii="宋体" w:hAnsi="宋体" w:eastAsia="宋体" w:cs="宋体"/>
                      <w:color w:val="auto"/>
                      <w:spacing w:val="-2"/>
                      <w:sz w:val="21"/>
                      <w:szCs w:val="21"/>
                    </w:rPr>
                    <w:t>配套线条约</w:t>
                  </w:r>
                  <w:r>
                    <w:rPr>
                      <w:rFonts w:ascii="宋体" w:hAnsi="宋体" w:eastAsia="宋体" w:cs="宋体"/>
                      <w:color w:val="auto"/>
                      <w:spacing w:val="-48"/>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万米</w:t>
                  </w:r>
                </w:p>
              </w:tc>
              <w:tc>
                <w:tcPr>
                  <w:tcW w:w="1878" w:type="dxa"/>
                  <w:vAlign w:val="center"/>
                </w:tcPr>
                <w:p w14:paraId="24DEE1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"bookmark250" </w:instrText>
                  </w:r>
                  <w:r>
                    <w:rPr>
                      <w:color w:val="auto"/>
                      <w:sz w:val="21"/>
                      <w:szCs w:val="21"/>
                    </w:rPr>
                    <w:fldChar w:fldCharType="separate"/>
                  </w:r>
                  <w:r>
                    <w:rPr>
                      <w:color w:val="auto"/>
                      <w:spacing w:val="-2"/>
                      <w:sz w:val="21"/>
                      <w:szCs w:val="21"/>
                    </w:rPr>
                    <w:t>2019</w:t>
                  </w:r>
                  <w:r>
                    <w:rPr>
                      <w:color w:val="auto"/>
                      <w:spacing w:val="-2"/>
                      <w:sz w:val="21"/>
                      <w:szCs w:val="21"/>
                    </w:rPr>
                    <w:fldChar w:fldCharType="end"/>
                  </w:r>
                  <w:r>
                    <w:rPr>
                      <w:color w:val="auto"/>
                      <w:spacing w:val="-2"/>
                      <w:sz w:val="21"/>
                      <w:szCs w:val="21"/>
                    </w:rPr>
                    <w:t>]68</w:t>
                  </w:r>
                  <w:r>
                    <w:rPr>
                      <w:color w:val="auto"/>
                      <w:spacing w:val="24"/>
                      <w:sz w:val="21"/>
                      <w:szCs w:val="21"/>
                    </w:rPr>
                    <w:t xml:space="preserve"> </w:t>
                  </w:r>
                  <w:r>
                    <w:rPr>
                      <w:rFonts w:ascii="宋体" w:hAnsi="宋体" w:eastAsia="宋体" w:cs="宋体"/>
                      <w:color w:val="auto"/>
                      <w:spacing w:val="-2"/>
                      <w:sz w:val="21"/>
                      <w:szCs w:val="21"/>
                    </w:rPr>
                    <w:t>号</w:t>
                  </w:r>
                </w:p>
              </w:tc>
            </w:tr>
            <w:tr w14:paraId="0AE3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59A893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8790E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58</w:t>
                  </w:r>
                </w:p>
              </w:tc>
              <w:tc>
                <w:tcPr>
                  <w:tcW w:w="961" w:type="dxa"/>
                  <w:vAlign w:val="center"/>
                </w:tcPr>
                <w:p w14:paraId="02E2208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韶关豪立再生资源利用有限</w:t>
                  </w:r>
                </w:p>
                <w:p w14:paraId="3AD6D97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37374A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9A7E8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5C236B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17646</w:t>
                  </w:r>
                </w:p>
              </w:tc>
              <w:tc>
                <w:tcPr>
                  <w:tcW w:w="2053" w:type="dxa"/>
                  <w:vAlign w:val="center"/>
                </w:tcPr>
                <w:p w14:paraId="3DA4CD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年处理废金属</w:t>
                  </w:r>
                  <w:r>
                    <w:rPr>
                      <w:rFonts w:ascii="宋体" w:hAnsi="宋体" w:eastAsia="宋体" w:cs="宋体"/>
                      <w:color w:val="auto"/>
                      <w:spacing w:val="-45"/>
                      <w:sz w:val="21"/>
                      <w:szCs w:val="21"/>
                    </w:rPr>
                    <w:t xml:space="preserve"> </w:t>
                  </w:r>
                  <w:r>
                    <w:rPr>
                      <w:color w:val="auto"/>
                      <w:spacing w:val="-3"/>
                      <w:sz w:val="21"/>
                      <w:szCs w:val="21"/>
                    </w:rPr>
                    <w:t>79760</w:t>
                  </w:r>
                  <w:r>
                    <w:rPr>
                      <w:color w:val="auto"/>
                      <w:spacing w:val="16"/>
                      <w:w w:val="101"/>
                      <w:sz w:val="21"/>
                      <w:szCs w:val="21"/>
                    </w:rPr>
                    <w:t xml:space="preserve"> </w:t>
                  </w:r>
                  <w:r>
                    <w:rPr>
                      <w:rFonts w:ascii="宋体" w:hAnsi="宋体" w:eastAsia="宋体" w:cs="宋体"/>
                      <w:color w:val="auto"/>
                      <w:spacing w:val="-3"/>
                      <w:sz w:val="21"/>
                      <w:szCs w:val="21"/>
                    </w:rPr>
                    <w:t>吨、废纸</w:t>
                  </w:r>
                  <w:r>
                    <w:rPr>
                      <w:rFonts w:ascii="宋体" w:hAnsi="宋体" w:eastAsia="宋体" w:cs="宋体"/>
                      <w:color w:val="auto"/>
                      <w:spacing w:val="-42"/>
                      <w:sz w:val="21"/>
                      <w:szCs w:val="21"/>
                    </w:rPr>
                    <w:t xml:space="preserve"> </w:t>
                  </w:r>
                  <w:r>
                    <w:rPr>
                      <w:color w:val="auto"/>
                      <w:spacing w:val="-3"/>
                      <w:sz w:val="21"/>
                      <w:szCs w:val="21"/>
                    </w:rPr>
                    <w:t>5982</w:t>
                  </w:r>
                  <w:r>
                    <w:rPr>
                      <w:color w:val="auto"/>
                      <w:spacing w:val="16"/>
                      <w:w w:val="101"/>
                      <w:sz w:val="21"/>
                      <w:szCs w:val="21"/>
                    </w:rPr>
                    <w:t xml:space="preserve"> </w:t>
                  </w:r>
                  <w:r>
                    <w:rPr>
                      <w:rFonts w:ascii="宋体" w:hAnsi="宋体" w:eastAsia="宋体" w:cs="宋体"/>
                      <w:color w:val="auto"/>
                      <w:spacing w:val="-3"/>
                      <w:sz w:val="21"/>
                      <w:szCs w:val="21"/>
                    </w:rPr>
                    <w:t>吨、拆解设备</w:t>
                  </w:r>
                  <w:r>
                    <w:rPr>
                      <w:rFonts w:ascii="宋体" w:hAnsi="宋体" w:eastAsia="宋体" w:cs="宋体"/>
                      <w:color w:val="auto"/>
                      <w:spacing w:val="-51"/>
                      <w:sz w:val="21"/>
                      <w:szCs w:val="21"/>
                    </w:rPr>
                    <w:t xml:space="preserve"> </w:t>
                  </w:r>
                  <w:r>
                    <w:rPr>
                      <w:color w:val="auto"/>
                      <w:spacing w:val="-3"/>
                      <w:sz w:val="21"/>
                      <w:szCs w:val="21"/>
                    </w:rPr>
                    <w:t>20</w:t>
                  </w:r>
                  <w:r>
                    <w:rPr>
                      <w:color w:val="auto"/>
                      <w:spacing w:val="-4"/>
                      <w:sz w:val="21"/>
                      <w:szCs w:val="21"/>
                    </w:rPr>
                    <w:t>00</w:t>
                  </w:r>
                  <w:r>
                    <w:rPr>
                      <w:color w:val="auto"/>
                      <w:spacing w:val="25"/>
                      <w:w w:val="101"/>
                      <w:sz w:val="21"/>
                      <w:szCs w:val="21"/>
                    </w:rPr>
                    <w:t xml:space="preserve"> </w:t>
                  </w:r>
                  <w:r>
                    <w:rPr>
                      <w:rFonts w:ascii="宋体" w:hAnsi="宋体" w:eastAsia="宋体" w:cs="宋体"/>
                      <w:color w:val="auto"/>
                      <w:spacing w:val="-4"/>
                      <w:sz w:val="21"/>
                      <w:szCs w:val="21"/>
                    </w:rPr>
                    <w:t>台，</w:t>
                  </w:r>
                </w:p>
                <w:p w14:paraId="201FCB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年产再生玻璃</w:t>
                  </w:r>
                  <w:r>
                    <w:rPr>
                      <w:rFonts w:ascii="宋体" w:hAnsi="宋体" w:eastAsia="宋体" w:cs="宋体"/>
                      <w:color w:val="auto"/>
                      <w:spacing w:val="-14"/>
                      <w:sz w:val="21"/>
                      <w:szCs w:val="21"/>
                    </w:rPr>
                    <w:t xml:space="preserve"> </w:t>
                  </w:r>
                  <w:r>
                    <w:rPr>
                      <w:color w:val="auto"/>
                      <w:spacing w:val="-3"/>
                      <w:sz w:val="21"/>
                      <w:szCs w:val="21"/>
                    </w:rPr>
                    <w:t xml:space="preserve">11.4 </w:t>
                  </w:r>
                  <w:r>
                    <w:rPr>
                      <w:rFonts w:ascii="宋体" w:hAnsi="宋体" w:eastAsia="宋体" w:cs="宋体"/>
                      <w:color w:val="auto"/>
                      <w:spacing w:val="-3"/>
                      <w:sz w:val="21"/>
                      <w:szCs w:val="21"/>
                    </w:rPr>
                    <w:t>万吨、玻璃纤维</w:t>
                  </w:r>
                  <w:r>
                    <w:rPr>
                      <w:rFonts w:ascii="宋体" w:hAnsi="宋体" w:eastAsia="宋体" w:cs="宋体"/>
                      <w:color w:val="auto"/>
                      <w:spacing w:val="-43"/>
                      <w:sz w:val="21"/>
                      <w:szCs w:val="21"/>
                    </w:rPr>
                    <w:t xml:space="preserve"> </w:t>
                  </w:r>
                  <w:r>
                    <w:rPr>
                      <w:color w:val="auto"/>
                      <w:spacing w:val="-3"/>
                      <w:sz w:val="21"/>
                      <w:szCs w:val="21"/>
                    </w:rPr>
                    <w:t xml:space="preserve">3 </w:t>
                  </w:r>
                  <w:r>
                    <w:rPr>
                      <w:rFonts w:ascii="宋体" w:hAnsi="宋体" w:eastAsia="宋体" w:cs="宋体"/>
                      <w:color w:val="auto"/>
                      <w:spacing w:val="-3"/>
                      <w:sz w:val="21"/>
                      <w:szCs w:val="21"/>
                    </w:rPr>
                    <w:t>万吨、玻璃纤维增强塑</w:t>
                  </w:r>
                </w:p>
                <w:p w14:paraId="6FCA15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料制品</w:t>
                  </w:r>
                  <w:r>
                    <w:rPr>
                      <w:rFonts w:ascii="宋体" w:hAnsi="宋体" w:eastAsia="宋体" w:cs="宋体"/>
                      <w:color w:val="auto"/>
                      <w:spacing w:val="-44"/>
                      <w:sz w:val="21"/>
                      <w:szCs w:val="21"/>
                    </w:rPr>
                    <w:t xml:space="preserve"> </w:t>
                  </w:r>
                  <w:r>
                    <w:rPr>
                      <w:color w:val="auto"/>
                      <w:spacing w:val="-2"/>
                      <w:sz w:val="21"/>
                      <w:szCs w:val="21"/>
                    </w:rPr>
                    <w:t>7200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31D79C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"bookmark251"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]69</w:t>
                  </w:r>
                  <w:r>
                    <w:rPr>
                      <w:color w:val="auto"/>
                      <w:spacing w:val="20"/>
                      <w:sz w:val="21"/>
                      <w:szCs w:val="21"/>
                    </w:rPr>
                    <w:t xml:space="preserve"> </w:t>
                  </w:r>
                  <w:r>
                    <w:rPr>
                      <w:rFonts w:ascii="宋体" w:hAnsi="宋体" w:eastAsia="宋体" w:cs="宋体"/>
                      <w:color w:val="auto"/>
                      <w:spacing w:val="-2"/>
                      <w:sz w:val="21"/>
                      <w:szCs w:val="21"/>
                    </w:rPr>
                    <w:t>号、韶环乐审</w:t>
                  </w:r>
                </w:p>
                <w:p w14:paraId="2E9E835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w:t>
                  </w:r>
                  <w:r>
                    <w:rPr>
                      <w:color w:val="auto"/>
                      <w:spacing w:val="-8"/>
                      <w:sz w:val="21"/>
                      <w:szCs w:val="21"/>
                    </w:rPr>
                    <w:t>2021</w:t>
                  </w:r>
                  <w:r>
                    <w:rPr>
                      <w:rFonts w:ascii="宋体" w:hAnsi="宋体" w:eastAsia="宋体" w:cs="宋体"/>
                      <w:color w:val="auto"/>
                      <w:spacing w:val="-8"/>
                      <w:sz w:val="21"/>
                      <w:szCs w:val="21"/>
                    </w:rPr>
                    <w:t>〕</w:t>
                  </w:r>
                  <w:r>
                    <w:rPr>
                      <w:color w:val="auto"/>
                      <w:spacing w:val="-8"/>
                      <w:sz w:val="21"/>
                      <w:szCs w:val="21"/>
                    </w:rPr>
                    <w:t>06</w:t>
                  </w:r>
                  <w:r>
                    <w:rPr>
                      <w:color w:val="auto"/>
                      <w:spacing w:val="25"/>
                      <w:w w:val="101"/>
                      <w:sz w:val="21"/>
                      <w:szCs w:val="21"/>
                    </w:rPr>
                    <w:t xml:space="preserve"> </w:t>
                  </w:r>
                  <w:r>
                    <w:rPr>
                      <w:rFonts w:ascii="宋体" w:hAnsi="宋体" w:eastAsia="宋体" w:cs="宋体"/>
                      <w:color w:val="auto"/>
                      <w:spacing w:val="-8"/>
                      <w:sz w:val="21"/>
                      <w:szCs w:val="21"/>
                    </w:rPr>
                    <w:t>号、韶环乐审〔</w:t>
                  </w:r>
                  <w:r>
                    <w:rPr>
                      <w:color w:val="auto"/>
                      <w:spacing w:val="-8"/>
                      <w:sz w:val="21"/>
                      <w:szCs w:val="21"/>
                    </w:rPr>
                    <w:t>2023</w:t>
                  </w:r>
                  <w:r>
                    <w:rPr>
                      <w:rFonts w:ascii="宋体" w:hAnsi="宋体" w:eastAsia="宋体" w:cs="宋体"/>
                      <w:color w:val="auto"/>
                      <w:spacing w:val="-8"/>
                      <w:sz w:val="21"/>
                      <w:szCs w:val="21"/>
                    </w:rPr>
                    <w:t>〕</w:t>
                  </w:r>
                </w:p>
                <w:p w14:paraId="0B0774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2"/>
                      <w:sz w:val="21"/>
                      <w:szCs w:val="21"/>
                    </w:rPr>
                    <w:t>23</w:t>
                  </w:r>
                  <w:r>
                    <w:rPr>
                      <w:color w:val="auto"/>
                      <w:spacing w:val="15"/>
                      <w:sz w:val="21"/>
                      <w:szCs w:val="21"/>
                    </w:rPr>
                    <w:t xml:space="preserve"> </w:t>
                  </w:r>
                  <w:r>
                    <w:rPr>
                      <w:rFonts w:ascii="宋体" w:hAnsi="宋体" w:eastAsia="宋体" w:cs="宋体"/>
                      <w:color w:val="auto"/>
                      <w:spacing w:val="-2"/>
                      <w:sz w:val="21"/>
                      <w:szCs w:val="21"/>
                    </w:rPr>
                    <w:t>号</w:t>
                  </w:r>
                </w:p>
              </w:tc>
            </w:tr>
            <w:tr w14:paraId="3B8AA5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CDC6ED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59</w:t>
                  </w:r>
                </w:p>
              </w:tc>
              <w:tc>
                <w:tcPr>
                  <w:tcW w:w="961" w:type="dxa"/>
                  <w:vAlign w:val="center"/>
                </w:tcPr>
                <w:p w14:paraId="6AC495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乐昌市优泰德电器有限公司</w:t>
                  </w:r>
                </w:p>
                <w:p w14:paraId="7629FCB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（创业就业基地）</w:t>
                  </w:r>
                </w:p>
              </w:tc>
              <w:tc>
                <w:tcPr>
                  <w:tcW w:w="600" w:type="dxa"/>
                  <w:vAlign w:val="center"/>
                </w:tcPr>
                <w:p w14:paraId="371091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8895A4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6E1DB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3504</w:t>
                  </w:r>
                </w:p>
              </w:tc>
              <w:tc>
                <w:tcPr>
                  <w:tcW w:w="2053" w:type="dxa"/>
                  <w:vAlign w:val="center"/>
                </w:tcPr>
                <w:p w14:paraId="716215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年产塑料及五金制品</w:t>
                  </w:r>
                  <w:r>
                    <w:rPr>
                      <w:rFonts w:ascii="宋体" w:hAnsi="宋体" w:eastAsia="宋体" w:cs="宋体"/>
                      <w:color w:val="auto"/>
                      <w:spacing w:val="-39"/>
                      <w:sz w:val="21"/>
                      <w:szCs w:val="21"/>
                    </w:rPr>
                    <w:t xml:space="preserve"> </w:t>
                  </w:r>
                  <w:r>
                    <w:rPr>
                      <w:color w:val="auto"/>
                      <w:spacing w:val="-1"/>
                      <w:sz w:val="21"/>
                      <w:szCs w:val="21"/>
                    </w:rPr>
                    <w:t xml:space="preserve">280 </w:t>
                  </w:r>
                  <w:r>
                    <w:rPr>
                      <w:rFonts w:ascii="宋体" w:hAnsi="宋体" w:eastAsia="宋体" w:cs="宋体"/>
                      <w:color w:val="auto"/>
                      <w:spacing w:val="-1"/>
                      <w:sz w:val="21"/>
                      <w:szCs w:val="21"/>
                    </w:rPr>
                    <w:t>万件</w:t>
                  </w:r>
                </w:p>
              </w:tc>
              <w:tc>
                <w:tcPr>
                  <w:tcW w:w="1878" w:type="dxa"/>
                  <w:vAlign w:val="center"/>
                </w:tcPr>
                <w:p w14:paraId="3DA1FE7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28 </w:t>
                  </w:r>
                  <w:r>
                    <w:rPr>
                      <w:rFonts w:ascii="宋体" w:hAnsi="宋体" w:eastAsia="宋体" w:cs="宋体"/>
                      <w:color w:val="auto"/>
                      <w:spacing w:val="-1"/>
                      <w:sz w:val="21"/>
                      <w:szCs w:val="21"/>
                    </w:rPr>
                    <w:t>号</w:t>
                  </w:r>
                </w:p>
              </w:tc>
            </w:tr>
            <w:tr w14:paraId="75EF3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8E545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60</w:t>
                  </w:r>
                </w:p>
              </w:tc>
              <w:tc>
                <w:tcPr>
                  <w:tcW w:w="961" w:type="dxa"/>
                  <w:vAlign w:val="center"/>
                </w:tcPr>
                <w:p w14:paraId="0B74EB5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乐昌市优泰德电器有限公司</w:t>
                  </w:r>
                </w:p>
                <w:p w14:paraId="2E73D4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color w:val="auto"/>
                      <w:spacing w:val="-3"/>
                      <w:sz w:val="21"/>
                      <w:szCs w:val="21"/>
                    </w:rPr>
                    <w:t>(</w:t>
                  </w:r>
                  <w:r>
                    <w:rPr>
                      <w:rFonts w:ascii="宋体" w:hAnsi="宋体" w:eastAsia="宋体" w:cs="宋体"/>
                      <w:color w:val="auto"/>
                      <w:spacing w:val="-3"/>
                      <w:sz w:val="21"/>
                      <w:szCs w:val="21"/>
                    </w:rPr>
                    <w:t>金玲三路）</w:t>
                  </w:r>
                </w:p>
              </w:tc>
              <w:tc>
                <w:tcPr>
                  <w:tcW w:w="600" w:type="dxa"/>
                  <w:vAlign w:val="center"/>
                </w:tcPr>
                <w:p w14:paraId="4E9A6B7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BBECF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453F68F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15173</w:t>
                  </w:r>
                </w:p>
              </w:tc>
              <w:tc>
                <w:tcPr>
                  <w:tcW w:w="2053" w:type="dxa"/>
                  <w:vAlign w:val="center"/>
                </w:tcPr>
                <w:p w14:paraId="75418D9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年产家用小电器（电吹风、直发器、卷发器等）</w:t>
                  </w:r>
                  <w:r>
                    <w:rPr>
                      <w:color w:val="auto"/>
                      <w:spacing w:val="-1"/>
                      <w:sz w:val="21"/>
                      <w:szCs w:val="21"/>
                    </w:rPr>
                    <w:t>250</w:t>
                  </w:r>
                  <w:r>
                    <w:rPr>
                      <w:color w:val="auto"/>
                      <w:spacing w:val="27"/>
                      <w:sz w:val="21"/>
                      <w:szCs w:val="21"/>
                    </w:rPr>
                    <w:t xml:space="preserve"> </w:t>
                  </w:r>
                  <w:r>
                    <w:rPr>
                      <w:rFonts w:ascii="宋体" w:hAnsi="宋体" w:eastAsia="宋体" w:cs="宋体"/>
                      <w:color w:val="auto"/>
                      <w:spacing w:val="-1"/>
                      <w:sz w:val="21"/>
                      <w:szCs w:val="21"/>
                    </w:rPr>
                    <w:t>万台</w:t>
                  </w:r>
                </w:p>
              </w:tc>
              <w:tc>
                <w:tcPr>
                  <w:tcW w:w="1878" w:type="dxa"/>
                  <w:vAlign w:val="center"/>
                </w:tcPr>
                <w:p w14:paraId="1ED0A4F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40 </w:t>
                  </w:r>
                  <w:r>
                    <w:rPr>
                      <w:rFonts w:ascii="宋体" w:hAnsi="宋体" w:eastAsia="宋体" w:cs="宋体"/>
                      <w:color w:val="auto"/>
                      <w:spacing w:val="-1"/>
                      <w:sz w:val="21"/>
                      <w:szCs w:val="21"/>
                    </w:rPr>
                    <w:t>号</w:t>
                  </w:r>
                </w:p>
              </w:tc>
            </w:tr>
            <w:tr w14:paraId="6D253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7B30EE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61</w:t>
                  </w:r>
                </w:p>
              </w:tc>
              <w:tc>
                <w:tcPr>
                  <w:tcW w:w="961" w:type="dxa"/>
                  <w:vAlign w:val="center"/>
                </w:tcPr>
                <w:p w14:paraId="0CD86A4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广东昊奕智能科技有限公司</w:t>
                  </w:r>
                </w:p>
              </w:tc>
              <w:tc>
                <w:tcPr>
                  <w:tcW w:w="600" w:type="dxa"/>
                  <w:vAlign w:val="center"/>
                </w:tcPr>
                <w:p w14:paraId="52BE1E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DA82F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55480C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9533.38</w:t>
                  </w:r>
                </w:p>
              </w:tc>
              <w:tc>
                <w:tcPr>
                  <w:tcW w:w="2053" w:type="dxa"/>
                  <w:vAlign w:val="center"/>
                </w:tcPr>
                <w:p w14:paraId="7E28F07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年产不锈钢线材</w:t>
                  </w:r>
                  <w:r>
                    <w:rPr>
                      <w:rFonts w:ascii="宋体" w:hAnsi="宋体" w:eastAsia="宋体" w:cs="宋体"/>
                      <w:color w:val="auto"/>
                      <w:spacing w:val="-37"/>
                      <w:sz w:val="21"/>
                      <w:szCs w:val="21"/>
                    </w:rPr>
                    <w:t xml:space="preserve"> </w:t>
                  </w:r>
                  <w:r>
                    <w:rPr>
                      <w:color w:val="auto"/>
                      <w:spacing w:val="-2"/>
                      <w:sz w:val="21"/>
                      <w:szCs w:val="21"/>
                    </w:rPr>
                    <w:t>5000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2C4030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01</w:t>
                  </w:r>
                  <w:r>
                    <w:rPr>
                      <w:color w:val="auto"/>
                      <w:spacing w:val="18"/>
                      <w:sz w:val="21"/>
                      <w:szCs w:val="21"/>
                    </w:rPr>
                    <w:t xml:space="preserve"> </w:t>
                  </w:r>
                  <w:r>
                    <w:rPr>
                      <w:rFonts w:ascii="宋体" w:hAnsi="宋体" w:eastAsia="宋体" w:cs="宋体"/>
                      <w:color w:val="auto"/>
                      <w:spacing w:val="-1"/>
                      <w:sz w:val="21"/>
                      <w:szCs w:val="21"/>
                    </w:rPr>
                    <w:t>号</w:t>
                  </w:r>
                </w:p>
              </w:tc>
            </w:tr>
            <w:tr w14:paraId="1A7AD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8B0E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62</w:t>
                  </w:r>
                </w:p>
              </w:tc>
              <w:tc>
                <w:tcPr>
                  <w:tcW w:w="961" w:type="dxa"/>
                  <w:vAlign w:val="center"/>
                </w:tcPr>
                <w:p w14:paraId="690373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三创复合材料</w:t>
                  </w:r>
                  <w:r>
                    <w:rPr>
                      <w:color w:val="auto"/>
                      <w:spacing w:val="-1"/>
                      <w:sz w:val="21"/>
                      <w:szCs w:val="21"/>
                    </w:rPr>
                    <w:t>(</w:t>
                  </w:r>
                  <w:r>
                    <w:rPr>
                      <w:rFonts w:ascii="宋体" w:hAnsi="宋体" w:eastAsia="宋体" w:cs="宋体"/>
                      <w:color w:val="auto"/>
                      <w:spacing w:val="-1"/>
                      <w:sz w:val="21"/>
                      <w:szCs w:val="21"/>
                    </w:rPr>
                    <w:t>乐昌</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56B3C9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57C57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0DC8CC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25577.13</w:t>
                  </w:r>
                </w:p>
              </w:tc>
              <w:tc>
                <w:tcPr>
                  <w:tcW w:w="2053" w:type="dxa"/>
                  <w:vAlign w:val="center"/>
                </w:tcPr>
                <w:p w14:paraId="2CEE6E3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年产玻璃纤维和碳素纤维复合材料制品</w:t>
                  </w:r>
                  <w:r>
                    <w:rPr>
                      <w:rFonts w:ascii="宋体" w:hAnsi="宋体" w:eastAsia="宋体" w:cs="宋体"/>
                      <w:color w:val="auto"/>
                      <w:spacing w:val="-37"/>
                      <w:sz w:val="21"/>
                      <w:szCs w:val="21"/>
                    </w:rPr>
                    <w:t xml:space="preserve"> </w:t>
                  </w:r>
                  <w:r>
                    <w:rPr>
                      <w:color w:val="auto"/>
                      <w:spacing w:val="-1"/>
                      <w:sz w:val="21"/>
                      <w:szCs w:val="21"/>
                    </w:rPr>
                    <w:t>6365</w:t>
                  </w:r>
                  <w:r>
                    <w:rPr>
                      <w:color w:val="auto"/>
                      <w:spacing w:val="16"/>
                      <w:w w:val="101"/>
                      <w:sz w:val="21"/>
                      <w:szCs w:val="21"/>
                    </w:rPr>
                    <w:t xml:space="preserve"> </w:t>
                  </w:r>
                  <w:r>
                    <w:rPr>
                      <w:rFonts w:ascii="宋体" w:hAnsi="宋体" w:eastAsia="宋体" w:cs="宋体"/>
                      <w:color w:val="auto"/>
                      <w:spacing w:val="-1"/>
                      <w:sz w:val="21"/>
                      <w:szCs w:val="21"/>
                    </w:rPr>
                    <w:t>吨</w:t>
                  </w:r>
                </w:p>
              </w:tc>
              <w:tc>
                <w:tcPr>
                  <w:tcW w:w="1878" w:type="dxa"/>
                  <w:vAlign w:val="center"/>
                </w:tcPr>
                <w:p w14:paraId="04EF011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09</w:t>
                  </w:r>
                  <w:r>
                    <w:rPr>
                      <w:color w:val="auto"/>
                      <w:spacing w:val="18"/>
                      <w:sz w:val="21"/>
                      <w:szCs w:val="21"/>
                    </w:rPr>
                    <w:t xml:space="preserve"> </w:t>
                  </w:r>
                  <w:r>
                    <w:rPr>
                      <w:rFonts w:ascii="宋体" w:hAnsi="宋体" w:eastAsia="宋体" w:cs="宋体"/>
                      <w:color w:val="auto"/>
                      <w:spacing w:val="-1"/>
                      <w:sz w:val="21"/>
                      <w:szCs w:val="21"/>
                    </w:rPr>
                    <w:t>号</w:t>
                  </w:r>
                </w:p>
              </w:tc>
            </w:tr>
            <w:tr w14:paraId="0F1C5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04A719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63</w:t>
                  </w:r>
                </w:p>
              </w:tc>
              <w:tc>
                <w:tcPr>
                  <w:tcW w:w="961" w:type="dxa"/>
                  <w:vAlign w:val="center"/>
                </w:tcPr>
                <w:p w14:paraId="4422273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广东联丰科技有限公司</w:t>
                  </w:r>
                </w:p>
              </w:tc>
              <w:tc>
                <w:tcPr>
                  <w:tcW w:w="600" w:type="dxa"/>
                  <w:vAlign w:val="center"/>
                </w:tcPr>
                <w:p w14:paraId="2FFE0FA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3C172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7BDCD15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11862.25</w:t>
                  </w:r>
                </w:p>
              </w:tc>
              <w:tc>
                <w:tcPr>
                  <w:tcW w:w="2053" w:type="dxa"/>
                  <w:vAlign w:val="center"/>
                </w:tcPr>
                <w:p w14:paraId="5F63E65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rFonts w:ascii="宋体" w:hAnsi="宋体" w:eastAsia="宋体" w:cs="宋体"/>
                      <w:color w:val="auto"/>
                      <w:spacing w:val="-7"/>
                      <w:sz w:val="21"/>
                      <w:szCs w:val="21"/>
                    </w:rPr>
                    <w:t>年产</w:t>
                  </w:r>
                  <w:r>
                    <w:rPr>
                      <w:color w:val="auto"/>
                      <w:spacing w:val="-7"/>
                      <w:sz w:val="21"/>
                      <w:szCs w:val="21"/>
                    </w:rPr>
                    <w:t xml:space="preserve">HDPE </w:t>
                  </w:r>
                  <w:r>
                    <w:rPr>
                      <w:rFonts w:ascii="宋体" w:hAnsi="宋体" w:eastAsia="宋体" w:cs="宋体"/>
                      <w:color w:val="auto"/>
                      <w:spacing w:val="-7"/>
                      <w:sz w:val="21"/>
                      <w:szCs w:val="21"/>
                    </w:rPr>
                    <w:t>双壁波纹管</w:t>
                  </w:r>
                  <w:r>
                    <w:rPr>
                      <w:rFonts w:ascii="宋体" w:hAnsi="宋体" w:eastAsia="宋体" w:cs="宋体"/>
                      <w:color w:val="auto"/>
                      <w:spacing w:val="-49"/>
                      <w:sz w:val="21"/>
                      <w:szCs w:val="21"/>
                    </w:rPr>
                    <w:t xml:space="preserve"> </w:t>
                  </w:r>
                  <w:r>
                    <w:rPr>
                      <w:color w:val="auto"/>
                      <w:spacing w:val="-7"/>
                      <w:sz w:val="21"/>
                      <w:szCs w:val="21"/>
                    </w:rPr>
                    <w:t xml:space="preserve">2800 </w:t>
                  </w:r>
                  <w:r>
                    <w:rPr>
                      <w:rFonts w:ascii="宋体" w:hAnsi="宋体" w:eastAsia="宋体" w:cs="宋体"/>
                      <w:color w:val="auto"/>
                      <w:spacing w:val="-7"/>
                      <w:sz w:val="21"/>
                      <w:szCs w:val="21"/>
                    </w:rPr>
                    <w:t>吨、</w:t>
                  </w:r>
                  <w:r>
                    <w:rPr>
                      <w:color w:val="auto"/>
                      <w:spacing w:val="-7"/>
                      <w:sz w:val="21"/>
                      <w:szCs w:val="21"/>
                    </w:rPr>
                    <w:t xml:space="preserve">HDPE </w:t>
                  </w:r>
                  <w:r>
                    <w:rPr>
                      <w:rFonts w:ascii="宋体" w:hAnsi="宋体" w:eastAsia="宋体" w:cs="宋体"/>
                      <w:color w:val="auto"/>
                      <w:spacing w:val="-7"/>
                      <w:sz w:val="21"/>
                      <w:szCs w:val="21"/>
                    </w:rPr>
                    <w:t>缠绕管</w:t>
                  </w:r>
                  <w:r>
                    <w:rPr>
                      <w:rFonts w:ascii="宋体" w:hAnsi="宋体" w:eastAsia="宋体" w:cs="宋体"/>
                      <w:color w:val="auto"/>
                      <w:spacing w:val="-62"/>
                      <w:sz w:val="21"/>
                      <w:szCs w:val="21"/>
                    </w:rPr>
                    <w:t xml:space="preserve"> </w:t>
                  </w:r>
                  <w:r>
                    <w:rPr>
                      <w:color w:val="auto"/>
                      <w:spacing w:val="-7"/>
                      <w:sz w:val="21"/>
                      <w:szCs w:val="21"/>
                    </w:rPr>
                    <w:t xml:space="preserve">2350 </w:t>
                  </w:r>
                  <w:r>
                    <w:rPr>
                      <w:rFonts w:ascii="宋体" w:hAnsi="宋体" w:eastAsia="宋体" w:cs="宋体"/>
                      <w:color w:val="auto"/>
                      <w:spacing w:val="-7"/>
                      <w:sz w:val="21"/>
                      <w:szCs w:val="21"/>
                    </w:rPr>
                    <w:t>吨、</w:t>
                  </w:r>
                  <w:r>
                    <w:rPr>
                      <w:color w:val="auto"/>
                      <w:spacing w:val="-7"/>
                      <w:sz w:val="21"/>
                      <w:szCs w:val="21"/>
                    </w:rPr>
                    <w:t>HDPE</w:t>
                  </w:r>
                </w:p>
                <w:p w14:paraId="7F39EAC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供水管</w:t>
                  </w:r>
                  <w:r>
                    <w:rPr>
                      <w:rFonts w:ascii="宋体" w:hAnsi="宋体" w:eastAsia="宋体" w:cs="宋体"/>
                      <w:color w:val="auto"/>
                      <w:spacing w:val="-42"/>
                      <w:sz w:val="21"/>
                      <w:szCs w:val="21"/>
                    </w:rPr>
                    <w:t xml:space="preserve"> </w:t>
                  </w:r>
                  <w:r>
                    <w:rPr>
                      <w:color w:val="auto"/>
                      <w:spacing w:val="-3"/>
                      <w:sz w:val="21"/>
                      <w:szCs w:val="21"/>
                    </w:rPr>
                    <w:t>2580</w:t>
                  </w:r>
                  <w:r>
                    <w:rPr>
                      <w:color w:val="auto"/>
                      <w:spacing w:val="18"/>
                      <w:w w:val="101"/>
                      <w:sz w:val="21"/>
                      <w:szCs w:val="21"/>
                    </w:rPr>
                    <w:t xml:space="preserve"> </w:t>
                  </w:r>
                  <w:r>
                    <w:rPr>
                      <w:rFonts w:ascii="宋体" w:hAnsi="宋体" w:eastAsia="宋体" w:cs="宋体"/>
                      <w:color w:val="auto"/>
                      <w:spacing w:val="-3"/>
                      <w:sz w:val="21"/>
                      <w:szCs w:val="21"/>
                    </w:rPr>
                    <w:t>吨、</w:t>
                  </w:r>
                  <w:r>
                    <w:rPr>
                      <w:color w:val="auto"/>
                      <w:spacing w:val="-3"/>
                      <w:sz w:val="21"/>
                      <w:szCs w:val="21"/>
                    </w:rPr>
                    <w:t>PVC</w:t>
                  </w:r>
                  <w:r>
                    <w:rPr>
                      <w:color w:val="auto"/>
                      <w:spacing w:val="14"/>
                      <w:w w:val="101"/>
                      <w:sz w:val="21"/>
                      <w:szCs w:val="21"/>
                    </w:rPr>
                    <w:t xml:space="preserve"> </w:t>
                  </w:r>
                  <w:r>
                    <w:rPr>
                      <w:rFonts w:ascii="宋体" w:hAnsi="宋体" w:eastAsia="宋体" w:cs="宋体"/>
                      <w:color w:val="auto"/>
                      <w:spacing w:val="-3"/>
                      <w:sz w:val="21"/>
                      <w:szCs w:val="21"/>
                    </w:rPr>
                    <w:t>管</w:t>
                  </w:r>
                  <w:r>
                    <w:rPr>
                      <w:rFonts w:ascii="宋体" w:hAnsi="宋体" w:eastAsia="宋体" w:cs="宋体"/>
                      <w:color w:val="auto"/>
                      <w:spacing w:val="-48"/>
                      <w:sz w:val="21"/>
                      <w:szCs w:val="21"/>
                    </w:rPr>
                    <w:t xml:space="preserve"> </w:t>
                  </w:r>
                  <w:r>
                    <w:rPr>
                      <w:color w:val="auto"/>
                      <w:spacing w:val="-3"/>
                      <w:sz w:val="21"/>
                      <w:szCs w:val="21"/>
                    </w:rPr>
                    <w:t>2270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62A08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03</w:t>
                  </w:r>
                  <w:r>
                    <w:rPr>
                      <w:color w:val="auto"/>
                      <w:spacing w:val="18"/>
                      <w:sz w:val="21"/>
                      <w:szCs w:val="21"/>
                    </w:rPr>
                    <w:t xml:space="preserve"> </w:t>
                  </w:r>
                  <w:r>
                    <w:rPr>
                      <w:rFonts w:ascii="宋体" w:hAnsi="宋体" w:eastAsia="宋体" w:cs="宋体"/>
                      <w:color w:val="auto"/>
                      <w:spacing w:val="-1"/>
                      <w:sz w:val="21"/>
                      <w:szCs w:val="21"/>
                    </w:rPr>
                    <w:t>号</w:t>
                  </w:r>
                </w:p>
              </w:tc>
            </w:tr>
            <w:tr w14:paraId="5CA13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29864E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64</w:t>
                  </w:r>
                </w:p>
              </w:tc>
              <w:tc>
                <w:tcPr>
                  <w:tcW w:w="961" w:type="dxa"/>
                  <w:vAlign w:val="center"/>
                </w:tcPr>
                <w:p w14:paraId="526FD9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材通</w:t>
                  </w:r>
                  <w:r>
                    <w:rPr>
                      <w:color w:val="auto"/>
                      <w:spacing w:val="-1"/>
                      <w:sz w:val="21"/>
                      <w:szCs w:val="21"/>
                    </w:rPr>
                    <w:t>(</w:t>
                  </w:r>
                  <w:r>
                    <w:rPr>
                      <w:rFonts w:ascii="宋体" w:hAnsi="宋体" w:eastAsia="宋体" w:cs="宋体"/>
                      <w:color w:val="auto"/>
                      <w:spacing w:val="-1"/>
                      <w:sz w:val="21"/>
                      <w:szCs w:val="21"/>
                    </w:rPr>
                    <w:t>乐昌</w:t>
                  </w:r>
                  <w:r>
                    <w:rPr>
                      <w:color w:val="auto"/>
                      <w:spacing w:val="-1"/>
                      <w:sz w:val="21"/>
                      <w:szCs w:val="21"/>
                    </w:rPr>
                    <w:t>)</w:t>
                  </w:r>
                  <w:r>
                    <w:rPr>
                      <w:rFonts w:ascii="宋体" w:hAnsi="宋体" w:eastAsia="宋体" w:cs="宋体"/>
                      <w:color w:val="auto"/>
                      <w:spacing w:val="-1"/>
                      <w:sz w:val="21"/>
                      <w:szCs w:val="21"/>
                    </w:rPr>
                    <w:t>管业科技有限公司</w:t>
                  </w:r>
                </w:p>
              </w:tc>
              <w:tc>
                <w:tcPr>
                  <w:tcW w:w="600" w:type="dxa"/>
                  <w:vAlign w:val="center"/>
                </w:tcPr>
                <w:p w14:paraId="6853C9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C91CE8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33B112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47574.68</w:t>
                  </w:r>
                </w:p>
              </w:tc>
              <w:tc>
                <w:tcPr>
                  <w:tcW w:w="2053" w:type="dxa"/>
                  <w:vAlign w:val="center"/>
                </w:tcPr>
                <w:p w14:paraId="6C15FAF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47"/>
                      <w:sz w:val="21"/>
                      <w:szCs w:val="21"/>
                    </w:rPr>
                    <w:t xml:space="preserve"> </w:t>
                  </w:r>
                  <w:r>
                    <w:rPr>
                      <w:color w:val="auto"/>
                      <w:spacing w:val="-4"/>
                      <w:sz w:val="21"/>
                      <w:szCs w:val="21"/>
                    </w:rPr>
                    <w:t>PVC</w:t>
                  </w:r>
                  <w:r>
                    <w:rPr>
                      <w:color w:val="auto"/>
                      <w:spacing w:val="15"/>
                      <w:sz w:val="21"/>
                      <w:szCs w:val="21"/>
                    </w:rPr>
                    <w:t xml:space="preserve"> </w:t>
                  </w:r>
                  <w:r>
                    <w:rPr>
                      <w:rFonts w:ascii="宋体" w:hAnsi="宋体" w:eastAsia="宋体" w:cs="宋体"/>
                      <w:color w:val="auto"/>
                      <w:spacing w:val="-4"/>
                      <w:sz w:val="21"/>
                      <w:szCs w:val="21"/>
                    </w:rPr>
                    <w:t>管材</w:t>
                  </w:r>
                  <w:r>
                    <w:rPr>
                      <w:rFonts w:ascii="宋体" w:hAnsi="宋体" w:eastAsia="宋体" w:cs="宋体"/>
                      <w:color w:val="auto"/>
                      <w:spacing w:val="-28"/>
                      <w:sz w:val="21"/>
                      <w:szCs w:val="21"/>
                    </w:rPr>
                    <w:t xml:space="preserve"> </w:t>
                  </w:r>
                  <w:r>
                    <w:rPr>
                      <w:color w:val="auto"/>
                      <w:spacing w:val="-4"/>
                      <w:sz w:val="21"/>
                      <w:szCs w:val="21"/>
                    </w:rPr>
                    <w:t>16820</w:t>
                  </w:r>
                  <w:r>
                    <w:rPr>
                      <w:color w:val="auto"/>
                      <w:spacing w:val="16"/>
                      <w:w w:val="101"/>
                      <w:sz w:val="21"/>
                      <w:szCs w:val="21"/>
                    </w:rPr>
                    <w:t xml:space="preserve"> </w:t>
                  </w:r>
                  <w:r>
                    <w:rPr>
                      <w:rFonts w:ascii="宋体" w:hAnsi="宋体" w:eastAsia="宋体" w:cs="宋体"/>
                      <w:color w:val="auto"/>
                      <w:spacing w:val="-4"/>
                      <w:sz w:val="21"/>
                      <w:szCs w:val="21"/>
                    </w:rPr>
                    <w:t>吨</w:t>
                  </w:r>
                </w:p>
              </w:tc>
              <w:tc>
                <w:tcPr>
                  <w:tcW w:w="1878" w:type="dxa"/>
                  <w:vAlign w:val="center"/>
                </w:tcPr>
                <w:p w14:paraId="0E3CF65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08 </w:t>
                  </w:r>
                  <w:r>
                    <w:rPr>
                      <w:rFonts w:ascii="宋体" w:hAnsi="宋体" w:eastAsia="宋体" w:cs="宋体"/>
                      <w:color w:val="auto"/>
                      <w:spacing w:val="-1"/>
                      <w:sz w:val="21"/>
                      <w:szCs w:val="21"/>
                    </w:rPr>
                    <w:t>号</w:t>
                  </w:r>
                </w:p>
              </w:tc>
            </w:tr>
            <w:tr w14:paraId="5E0FE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5BA28E1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65</w:t>
                  </w:r>
                </w:p>
              </w:tc>
              <w:tc>
                <w:tcPr>
                  <w:tcW w:w="961" w:type="dxa"/>
                  <w:vAlign w:val="center"/>
                </w:tcPr>
                <w:p w14:paraId="1BB40F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乐昌市鑫东穗汽车用品有限</w:t>
                  </w:r>
                </w:p>
                <w:p w14:paraId="35B059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563DA77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6261C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汽车零部件及配件</w:t>
                  </w:r>
                  <w:r>
                    <w:rPr>
                      <w:rFonts w:ascii="宋体" w:hAnsi="宋体" w:eastAsia="宋体" w:cs="宋体"/>
                      <w:color w:val="auto"/>
                      <w:spacing w:val="-2"/>
                      <w:sz w:val="21"/>
                      <w:szCs w:val="21"/>
                    </w:rPr>
                    <w:t>制造</w:t>
                  </w:r>
                </w:p>
              </w:tc>
              <w:tc>
                <w:tcPr>
                  <w:tcW w:w="1140" w:type="dxa"/>
                  <w:vAlign w:val="center"/>
                </w:tcPr>
                <w:p w14:paraId="7E453B9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17932.7</w:t>
                  </w:r>
                </w:p>
              </w:tc>
              <w:tc>
                <w:tcPr>
                  <w:tcW w:w="2053" w:type="dxa"/>
                  <w:vAlign w:val="center"/>
                </w:tcPr>
                <w:p w14:paraId="0AED15B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年产汽车零配件</w:t>
                  </w:r>
                  <w:r>
                    <w:rPr>
                      <w:rFonts w:ascii="宋体" w:hAnsi="宋体" w:eastAsia="宋体" w:cs="宋体"/>
                      <w:color w:val="auto"/>
                      <w:spacing w:val="-42"/>
                      <w:sz w:val="21"/>
                      <w:szCs w:val="21"/>
                    </w:rPr>
                    <w:t xml:space="preserve"> </w:t>
                  </w:r>
                  <w:r>
                    <w:rPr>
                      <w:color w:val="auto"/>
                      <w:spacing w:val="-1"/>
                      <w:sz w:val="21"/>
                      <w:szCs w:val="21"/>
                    </w:rPr>
                    <w:t xml:space="preserve">30 </w:t>
                  </w:r>
                  <w:r>
                    <w:rPr>
                      <w:rFonts w:ascii="宋体" w:hAnsi="宋体" w:eastAsia="宋体" w:cs="宋体"/>
                      <w:color w:val="auto"/>
                      <w:spacing w:val="-1"/>
                      <w:sz w:val="21"/>
                      <w:szCs w:val="21"/>
                    </w:rPr>
                    <w:t>万套</w:t>
                  </w:r>
                </w:p>
              </w:tc>
              <w:tc>
                <w:tcPr>
                  <w:tcW w:w="1878" w:type="dxa"/>
                  <w:vAlign w:val="center"/>
                </w:tcPr>
                <w:p w14:paraId="0FF5F7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 xml:space="preserve">02 </w:t>
                  </w:r>
                  <w:r>
                    <w:rPr>
                      <w:rFonts w:ascii="宋体" w:hAnsi="宋体" w:eastAsia="宋体" w:cs="宋体"/>
                      <w:color w:val="auto"/>
                      <w:spacing w:val="-1"/>
                      <w:sz w:val="21"/>
                      <w:szCs w:val="21"/>
                    </w:rPr>
                    <w:t>号、韶环乐审</w:t>
                  </w:r>
                </w:p>
                <w:p w14:paraId="0BF5FEC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w:t>
                  </w:r>
                  <w:r>
                    <w:rPr>
                      <w:color w:val="auto"/>
                      <w:spacing w:val="-4"/>
                      <w:sz w:val="21"/>
                      <w:szCs w:val="21"/>
                    </w:rPr>
                    <w:t>2024</w:t>
                  </w:r>
                  <w:r>
                    <w:rPr>
                      <w:rFonts w:ascii="宋体" w:hAnsi="宋体" w:eastAsia="宋体" w:cs="宋体"/>
                      <w:color w:val="auto"/>
                      <w:spacing w:val="-4"/>
                      <w:sz w:val="21"/>
                      <w:szCs w:val="21"/>
                    </w:rPr>
                    <w:t>〕</w:t>
                  </w:r>
                  <w:r>
                    <w:rPr>
                      <w:color w:val="auto"/>
                      <w:spacing w:val="-4"/>
                      <w:sz w:val="21"/>
                      <w:szCs w:val="21"/>
                    </w:rPr>
                    <w:t>23</w:t>
                  </w:r>
                  <w:r>
                    <w:rPr>
                      <w:color w:val="auto"/>
                      <w:spacing w:val="17"/>
                      <w:sz w:val="21"/>
                      <w:szCs w:val="21"/>
                    </w:rPr>
                    <w:t xml:space="preserve"> </w:t>
                  </w:r>
                  <w:r>
                    <w:rPr>
                      <w:rFonts w:ascii="宋体" w:hAnsi="宋体" w:eastAsia="宋体" w:cs="宋体"/>
                      <w:color w:val="auto"/>
                      <w:spacing w:val="-4"/>
                      <w:sz w:val="21"/>
                      <w:szCs w:val="21"/>
                    </w:rPr>
                    <w:t>号</w:t>
                  </w:r>
                </w:p>
              </w:tc>
            </w:tr>
            <w:tr w14:paraId="3A8F7C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378A41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66</w:t>
                  </w:r>
                </w:p>
              </w:tc>
              <w:tc>
                <w:tcPr>
                  <w:tcW w:w="961" w:type="dxa"/>
                  <w:vAlign w:val="center"/>
                </w:tcPr>
                <w:p w14:paraId="3E113F3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杨氏婴童用品</w:t>
                  </w:r>
                  <w:r>
                    <w:rPr>
                      <w:color w:val="auto"/>
                      <w:spacing w:val="-1"/>
                      <w:sz w:val="21"/>
                      <w:szCs w:val="21"/>
                    </w:rPr>
                    <w:t>(</w:t>
                  </w:r>
                  <w:r>
                    <w:rPr>
                      <w:rFonts w:ascii="宋体" w:hAnsi="宋体" w:eastAsia="宋体" w:cs="宋体"/>
                      <w:color w:val="auto"/>
                      <w:spacing w:val="-1"/>
                      <w:sz w:val="21"/>
                      <w:szCs w:val="21"/>
                    </w:rPr>
                    <w:t>广东</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1A03E61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D3574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E04008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20215.42</w:t>
                  </w:r>
                </w:p>
              </w:tc>
              <w:tc>
                <w:tcPr>
                  <w:tcW w:w="2053" w:type="dxa"/>
                  <w:vAlign w:val="center"/>
                </w:tcPr>
                <w:p w14:paraId="4A77F7D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年产奶瓶、水杯</w:t>
                  </w:r>
                  <w:r>
                    <w:rPr>
                      <w:rFonts w:ascii="宋体" w:hAnsi="宋体" w:eastAsia="宋体" w:cs="宋体"/>
                      <w:color w:val="auto"/>
                      <w:spacing w:val="-41"/>
                      <w:sz w:val="21"/>
                      <w:szCs w:val="21"/>
                    </w:rPr>
                    <w:t xml:space="preserve"> </w:t>
                  </w:r>
                  <w:r>
                    <w:rPr>
                      <w:color w:val="auto"/>
                      <w:spacing w:val="-1"/>
                      <w:sz w:val="21"/>
                      <w:szCs w:val="21"/>
                    </w:rPr>
                    <w:t xml:space="preserve">600 </w:t>
                  </w:r>
                  <w:r>
                    <w:rPr>
                      <w:rFonts w:ascii="宋体" w:hAnsi="宋体" w:eastAsia="宋体" w:cs="宋体"/>
                      <w:color w:val="auto"/>
                      <w:spacing w:val="-1"/>
                      <w:sz w:val="21"/>
                      <w:szCs w:val="21"/>
                    </w:rPr>
                    <w:t>万件</w:t>
                  </w:r>
                </w:p>
              </w:tc>
              <w:tc>
                <w:tcPr>
                  <w:tcW w:w="1878" w:type="dxa"/>
                  <w:vAlign w:val="center"/>
                </w:tcPr>
                <w:p w14:paraId="328651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6C4BE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765ED5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67</w:t>
                  </w:r>
                </w:p>
              </w:tc>
              <w:tc>
                <w:tcPr>
                  <w:tcW w:w="961" w:type="dxa"/>
                  <w:vAlign w:val="center"/>
                </w:tcPr>
                <w:p w14:paraId="25307B3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广东邦嘉硅胶科技有限公司</w:t>
                  </w:r>
                </w:p>
              </w:tc>
              <w:tc>
                <w:tcPr>
                  <w:tcW w:w="600" w:type="dxa"/>
                  <w:vAlign w:val="center"/>
                </w:tcPr>
                <w:p w14:paraId="67CA87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91C6D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0AB17D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36000</w:t>
                  </w:r>
                </w:p>
              </w:tc>
              <w:tc>
                <w:tcPr>
                  <w:tcW w:w="2053" w:type="dxa"/>
                  <w:vAlign w:val="center"/>
                </w:tcPr>
                <w:p w14:paraId="7289521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103" w:hanging="431"/>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年产固体硅胶</w:t>
                  </w:r>
                  <w:r>
                    <w:rPr>
                      <w:rFonts w:ascii="宋体" w:hAnsi="宋体" w:eastAsia="宋体" w:cs="宋体"/>
                      <w:color w:val="auto"/>
                      <w:spacing w:val="-40"/>
                      <w:sz w:val="21"/>
                      <w:szCs w:val="21"/>
                    </w:rPr>
                    <w:t xml:space="preserve"> </w:t>
                  </w:r>
                  <w:r>
                    <w:rPr>
                      <w:color w:val="auto"/>
                      <w:spacing w:val="-5"/>
                      <w:sz w:val="21"/>
                      <w:szCs w:val="21"/>
                    </w:rPr>
                    <w:t>300</w:t>
                  </w:r>
                  <w:r>
                    <w:rPr>
                      <w:color w:val="auto"/>
                      <w:spacing w:val="19"/>
                      <w:sz w:val="21"/>
                      <w:szCs w:val="21"/>
                    </w:rPr>
                    <w:t xml:space="preserve"> </w:t>
                  </w:r>
                  <w:r>
                    <w:rPr>
                      <w:rFonts w:ascii="宋体" w:hAnsi="宋体" w:eastAsia="宋体" w:cs="宋体"/>
                      <w:color w:val="auto"/>
                      <w:spacing w:val="-5"/>
                      <w:sz w:val="21"/>
                      <w:szCs w:val="21"/>
                    </w:rPr>
                    <w:t>吨、注塑件</w:t>
                  </w:r>
                  <w:r>
                    <w:rPr>
                      <w:rFonts w:ascii="宋体" w:hAnsi="宋体" w:eastAsia="宋体" w:cs="宋体"/>
                      <w:color w:val="auto"/>
                      <w:spacing w:val="-44"/>
                      <w:sz w:val="21"/>
                      <w:szCs w:val="21"/>
                    </w:rPr>
                    <w:t xml:space="preserve"> </w:t>
                  </w:r>
                  <w:r>
                    <w:rPr>
                      <w:color w:val="auto"/>
                      <w:spacing w:val="-5"/>
                      <w:sz w:val="21"/>
                      <w:szCs w:val="21"/>
                    </w:rPr>
                    <w:t>300</w:t>
                  </w:r>
                  <w:r>
                    <w:rPr>
                      <w:color w:val="auto"/>
                      <w:spacing w:val="14"/>
                      <w:sz w:val="21"/>
                      <w:szCs w:val="21"/>
                    </w:rPr>
                    <w:t xml:space="preserve"> </w:t>
                  </w:r>
                  <w:r>
                    <w:rPr>
                      <w:rFonts w:ascii="宋体" w:hAnsi="宋体" w:eastAsia="宋体" w:cs="宋体"/>
                      <w:color w:val="auto"/>
                      <w:spacing w:val="-5"/>
                      <w:sz w:val="21"/>
                      <w:szCs w:val="21"/>
                    </w:rPr>
                    <w:t>万件、硅胶件（奶嘴）</w:t>
                  </w:r>
                  <w:r>
                    <w:rPr>
                      <w:color w:val="auto"/>
                      <w:spacing w:val="-5"/>
                      <w:sz w:val="21"/>
                      <w:szCs w:val="21"/>
                    </w:rPr>
                    <w:t>100</w:t>
                  </w:r>
                  <w:r>
                    <w:rPr>
                      <w:rFonts w:ascii="宋体" w:hAnsi="宋体" w:eastAsia="宋体" w:cs="宋体"/>
                      <w:color w:val="auto"/>
                      <w:spacing w:val="-2"/>
                      <w:sz w:val="21"/>
                      <w:szCs w:val="21"/>
                    </w:rPr>
                    <w:t>万个、玻璃奶瓶</w:t>
                  </w:r>
                  <w:r>
                    <w:rPr>
                      <w:rFonts w:ascii="宋体" w:hAnsi="宋体" w:eastAsia="宋体" w:cs="宋体"/>
                      <w:color w:val="auto"/>
                      <w:spacing w:val="-28"/>
                      <w:sz w:val="21"/>
                      <w:szCs w:val="21"/>
                    </w:rPr>
                    <w:t xml:space="preserve"> </w:t>
                  </w:r>
                  <w:r>
                    <w:rPr>
                      <w:color w:val="auto"/>
                      <w:spacing w:val="-2"/>
                      <w:sz w:val="21"/>
                      <w:szCs w:val="21"/>
                    </w:rPr>
                    <w:t xml:space="preserve">100 </w:t>
                  </w:r>
                  <w:r>
                    <w:rPr>
                      <w:rFonts w:ascii="宋体" w:hAnsi="宋体" w:eastAsia="宋体" w:cs="宋体"/>
                      <w:color w:val="auto"/>
                      <w:spacing w:val="-2"/>
                      <w:sz w:val="21"/>
                      <w:szCs w:val="21"/>
                    </w:rPr>
                    <w:t>万个、硅胶护层产品</w:t>
                  </w:r>
                  <w:r>
                    <w:rPr>
                      <w:rFonts w:ascii="宋体" w:hAnsi="宋体" w:eastAsia="宋体" w:cs="宋体"/>
                      <w:color w:val="auto"/>
                      <w:spacing w:val="-27"/>
                      <w:sz w:val="21"/>
                      <w:szCs w:val="21"/>
                    </w:rPr>
                    <w:t xml:space="preserve"> </w:t>
                  </w:r>
                  <w:r>
                    <w:rPr>
                      <w:color w:val="auto"/>
                      <w:spacing w:val="-2"/>
                      <w:sz w:val="21"/>
                      <w:szCs w:val="21"/>
                    </w:rPr>
                    <w:t xml:space="preserve">100 </w:t>
                  </w:r>
                  <w:r>
                    <w:rPr>
                      <w:rFonts w:ascii="宋体" w:hAnsi="宋体" w:eastAsia="宋体" w:cs="宋体"/>
                      <w:color w:val="auto"/>
                      <w:spacing w:val="-3"/>
                      <w:sz w:val="21"/>
                      <w:szCs w:val="21"/>
                    </w:rPr>
                    <w:t>万件</w:t>
                  </w:r>
                </w:p>
              </w:tc>
              <w:tc>
                <w:tcPr>
                  <w:tcW w:w="1878" w:type="dxa"/>
                  <w:vAlign w:val="center"/>
                </w:tcPr>
                <w:p w14:paraId="351121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03</w:t>
                  </w:r>
                  <w:r>
                    <w:rPr>
                      <w:color w:val="auto"/>
                      <w:spacing w:val="18"/>
                      <w:sz w:val="21"/>
                      <w:szCs w:val="21"/>
                    </w:rPr>
                    <w:t xml:space="preserve"> </w:t>
                  </w:r>
                  <w:r>
                    <w:rPr>
                      <w:rFonts w:ascii="宋体" w:hAnsi="宋体" w:eastAsia="宋体" w:cs="宋体"/>
                      <w:color w:val="auto"/>
                      <w:spacing w:val="-1"/>
                      <w:sz w:val="21"/>
                      <w:szCs w:val="21"/>
                    </w:rPr>
                    <w:t>号</w:t>
                  </w:r>
                </w:p>
              </w:tc>
            </w:tr>
            <w:tr w14:paraId="03A53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EB9A0F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68</w:t>
                  </w:r>
                </w:p>
              </w:tc>
              <w:tc>
                <w:tcPr>
                  <w:tcW w:w="961" w:type="dxa"/>
                  <w:vAlign w:val="center"/>
                </w:tcPr>
                <w:p w14:paraId="302206C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广东奕宸汽车科技有限公司</w:t>
                  </w:r>
                </w:p>
              </w:tc>
              <w:tc>
                <w:tcPr>
                  <w:tcW w:w="600" w:type="dxa"/>
                  <w:vAlign w:val="center"/>
                </w:tcPr>
                <w:p w14:paraId="4B2075A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A4CE3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汽车零部件及配件</w:t>
                  </w:r>
                  <w:r>
                    <w:rPr>
                      <w:rFonts w:ascii="宋体" w:hAnsi="宋体" w:eastAsia="宋体" w:cs="宋体"/>
                      <w:color w:val="auto"/>
                      <w:spacing w:val="-2"/>
                      <w:sz w:val="21"/>
                      <w:szCs w:val="21"/>
                    </w:rPr>
                    <w:t>制造</w:t>
                  </w:r>
                </w:p>
              </w:tc>
              <w:tc>
                <w:tcPr>
                  <w:tcW w:w="1140" w:type="dxa"/>
                  <w:vAlign w:val="center"/>
                </w:tcPr>
                <w:p w14:paraId="7F26E6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33915.52</w:t>
                  </w:r>
                </w:p>
              </w:tc>
              <w:tc>
                <w:tcPr>
                  <w:tcW w:w="2053" w:type="dxa"/>
                  <w:vAlign w:val="center"/>
                </w:tcPr>
                <w:p w14:paraId="31711D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年产汽车散热器</w:t>
                  </w:r>
                  <w:r>
                    <w:rPr>
                      <w:rFonts w:ascii="宋体" w:hAnsi="宋体" w:eastAsia="宋体" w:cs="宋体"/>
                      <w:color w:val="auto"/>
                      <w:spacing w:val="-42"/>
                      <w:sz w:val="21"/>
                      <w:szCs w:val="21"/>
                    </w:rPr>
                    <w:t xml:space="preserve"> </w:t>
                  </w:r>
                  <w:r>
                    <w:rPr>
                      <w:color w:val="auto"/>
                      <w:spacing w:val="-1"/>
                      <w:sz w:val="21"/>
                      <w:szCs w:val="21"/>
                    </w:rPr>
                    <w:t xml:space="preserve">50 </w:t>
                  </w:r>
                  <w:r>
                    <w:rPr>
                      <w:rFonts w:ascii="宋体" w:hAnsi="宋体" w:eastAsia="宋体" w:cs="宋体"/>
                      <w:color w:val="auto"/>
                      <w:spacing w:val="-1"/>
                      <w:sz w:val="21"/>
                      <w:szCs w:val="21"/>
                    </w:rPr>
                    <w:t>万件</w:t>
                  </w:r>
                </w:p>
              </w:tc>
              <w:tc>
                <w:tcPr>
                  <w:tcW w:w="1878" w:type="dxa"/>
                  <w:vAlign w:val="center"/>
                </w:tcPr>
                <w:p w14:paraId="072724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28</w:t>
                  </w:r>
                  <w:r>
                    <w:rPr>
                      <w:color w:val="auto"/>
                      <w:spacing w:val="18"/>
                      <w:sz w:val="21"/>
                      <w:szCs w:val="21"/>
                    </w:rPr>
                    <w:t xml:space="preserve"> </w:t>
                  </w:r>
                  <w:r>
                    <w:rPr>
                      <w:rFonts w:ascii="宋体" w:hAnsi="宋体" w:eastAsia="宋体" w:cs="宋体"/>
                      <w:color w:val="auto"/>
                      <w:spacing w:val="-1"/>
                      <w:sz w:val="21"/>
                      <w:szCs w:val="21"/>
                    </w:rPr>
                    <w:t>号</w:t>
                  </w:r>
                </w:p>
              </w:tc>
            </w:tr>
            <w:tr w14:paraId="07E49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011FAF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69</w:t>
                  </w:r>
                </w:p>
              </w:tc>
              <w:tc>
                <w:tcPr>
                  <w:tcW w:w="961" w:type="dxa"/>
                  <w:vAlign w:val="center"/>
                </w:tcPr>
                <w:p w14:paraId="1D91A0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广东熙诚环保科技有限公司</w:t>
                  </w:r>
                </w:p>
              </w:tc>
              <w:tc>
                <w:tcPr>
                  <w:tcW w:w="600" w:type="dxa"/>
                  <w:vAlign w:val="center"/>
                </w:tcPr>
                <w:p w14:paraId="37A587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1CB65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250A007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13335</w:t>
                  </w:r>
                </w:p>
              </w:tc>
              <w:tc>
                <w:tcPr>
                  <w:tcW w:w="2053" w:type="dxa"/>
                  <w:vAlign w:val="center"/>
                </w:tcPr>
                <w:p w14:paraId="383EE49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年产</w:t>
                  </w:r>
                  <w:r>
                    <w:rPr>
                      <w:rFonts w:ascii="宋体" w:hAnsi="宋体" w:eastAsia="宋体" w:cs="宋体"/>
                      <w:color w:val="auto"/>
                      <w:spacing w:val="-36"/>
                      <w:sz w:val="21"/>
                      <w:szCs w:val="21"/>
                    </w:rPr>
                    <w:t xml:space="preserve"> </w:t>
                  </w:r>
                  <w:r>
                    <w:rPr>
                      <w:color w:val="auto"/>
                      <w:spacing w:val="-4"/>
                      <w:sz w:val="21"/>
                      <w:szCs w:val="21"/>
                    </w:rPr>
                    <w:t>PP</w:t>
                  </w:r>
                  <w:r>
                    <w:rPr>
                      <w:color w:val="auto"/>
                      <w:spacing w:val="17"/>
                      <w:sz w:val="21"/>
                      <w:szCs w:val="21"/>
                    </w:rPr>
                    <w:t xml:space="preserve"> </w:t>
                  </w:r>
                  <w:r>
                    <w:rPr>
                      <w:rFonts w:ascii="宋体" w:hAnsi="宋体" w:eastAsia="宋体" w:cs="宋体"/>
                      <w:color w:val="auto"/>
                      <w:spacing w:val="-4"/>
                      <w:sz w:val="21"/>
                      <w:szCs w:val="21"/>
                    </w:rPr>
                    <w:t>喷淋塔</w:t>
                  </w:r>
                  <w:r>
                    <w:rPr>
                      <w:rFonts w:ascii="宋体" w:hAnsi="宋体" w:eastAsia="宋体" w:cs="宋体"/>
                      <w:color w:val="auto"/>
                      <w:spacing w:val="-42"/>
                      <w:sz w:val="21"/>
                      <w:szCs w:val="21"/>
                    </w:rPr>
                    <w:t xml:space="preserve"> </w:t>
                  </w:r>
                  <w:r>
                    <w:rPr>
                      <w:color w:val="auto"/>
                      <w:spacing w:val="-4"/>
                      <w:sz w:val="21"/>
                      <w:szCs w:val="21"/>
                    </w:rPr>
                    <w:t>500</w:t>
                  </w:r>
                  <w:r>
                    <w:rPr>
                      <w:color w:val="auto"/>
                      <w:spacing w:val="22"/>
                      <w:w w:val="101"/>
                      <w:sz w:val="21"/>
                      <w:szCs w:val="21"/>
                    </w:rPr>
                    <w:t xml:space="preserve"> </w:t>
                  </w:r>
                  <w:r>
                    <w:rPr>
                      <w:rFonts w:ascii="宋体" w:hAnsi="宋体" w:eastAsia="宋体" w:cs="宋体"/>
                      <w:color w:val="auto"/>
                      <w:spacing w:val="-4"/>
                      <w:sz w:val="21"/>
                      <w:szCs w:val="21"/>
                    </w:rPr>
                    <w:t>台、</w:t>
                  </w:r>
                  <w:r>
                    <w:rPr>
                      <w:color w:val="auto"/>
                      <w:spacing w:val="-4"/>
                      <w:sz w:val="21"/>
                      <w:szCs w:val="21"/>
                    </w:rPr>
                    <w:t>PP</w:t>
                  </w:r>
                  <w:r>
                    <w:rPr>
                      <w:color w:val="auto"/>
                      <w:spacing w:val="12"/>
                      <w:sz w:val="21"/>
                      <w:szCs w:val="21"/>
                    </w:rPr>
                    <w:t xml:space="preserve"> </w:t>
                  </w:r>
                  <w:r>
                    <w:rPr>
                      <w:rFonts w:ascii="宋体" w:hAnsi="宋体" w:eastAsia="宋体" w:cs="宋体"/>
                      <w:color w:val="auto"/>
                      <w:spacing w:val="-4"/>
                      <w:sz w:val="21"/>
                      <w:szCs w:val="21"/>
                    </w:rPr>
                    <w:t>活性炭吸附箱</w:t>
                  </w:r>
                  <w:r>
                    <w:rPr>
                      <w:rFonts w:ascii="宋体" w:hAnsi="宋体" w:eastAsia="宋体" w:cs="宋体"/>
                      <w:color w:val="auto"/>
                      <w:spacing w:val="-43"/>
                      <w:sz w:val="21"/>
                      <w:szCs w:val="21"/>
                    </w:rPr>
                    <w:t xml:space="preserve"> </w:t>
                  </w:r>
                  <w:r>
                    <w:rPr>
                      <w:color w:val="auto"/>
                      <w:spacing w:val="-4"/>
                      <w:sz w:val="21"/>
                      <w:szCs w:val="21"/>
                    </w:rPr>
                    <w:t>500</w:t>
                  </w:r>
                  <w:r>
                    <w:rPr>
                      <w:color w:val="auto"/>
                      <w:spacing w:val="23"/>
                      <w:w w:val="101"/>
                      <w:sz w:val="21"/>
                      <w:szCs w:val="21"/>
                    </w:rPr>
                    <w:t xml:space="preserve"> </w:t>
                  </w:r>
                  <w:r>
                    <w:rPr>
                      <w:rFonts w:ascii="宋体" w:hAnsi="宋体" w:eastAsia="宋体" w:cs="宋体"/>
                      <w:color w:val="auto"/>
                      <w:spacing w:val="-4"/>
                      <w:sz w:val="21"/>
                      <w:szCs w:val="21"/>
                    </w:rPr>
                    <w:t>台</w:t>
                  </w:r>
                </w:p>
              </w:tc>
              <w:tc>
                <w:tcPr>
                  <w:tcW w:w="1878" w:type="dxa"/>
                  <w:vAlign w:val="center"/>
                </w:tcPr>
                <w:p w14:paraId="4CD184C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09</w:t>
                  </w:r>
                  <w:r>
                    <w:rPr>
                      <w:color w:val="auto"/>
                      <w:spacing w:val="18"/>
                      <w:sz w:val="21"/>
                      <w:szCs w:val="21"/>
                    </w:rPr>
                    <w:t xml:space="preserve"> </w:t>
                  </w:r>
                  <w:r>
                    <w:rPr>
                      <w:rFonts w:ascii="宋体" w:hAnsi="宋体" w:eastAsia="宋体" w:cs="宋体"/>
                      <w:color w:val="auto"/>
                      <w:spacing w:val="-1"/>
                      <w:sz w:val="21"/>
                      <w:szCs w:val="21"/>
                    </w:rPr>
                    <w:t>号</w:t>
                  </w:r>
                </w:p>
              </w:tc>
            </w:tr>
            <w:tr w14:paraId="4E2231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16D175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70</w:t>
                  </w:r>
                </w:p>
              </w:tc>
              <w:tc>
                <w:tcPr>
                  <w:tcW w:w="961" w:type="dxa"/>
                  <w:vAlign w:val="center"/>
                </w:tcPr>
                <w:p w14:paraId="35DB84C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韶关市盛源优贝橡塑制品有</w:t>
                  </w:r>
                </w:p>
                <w:p w14:paraId="18E5A8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限公司</w:t>
                  </w:r>
                </w:p>
              </w:tc>
              <w:tc>
                <w:tcPr>
                  <w:tcW w:w="600" w:type="dxa"/>
                  <w:vAlign w:val="center"/>
                </w:tcPr>
                <w:p w14:paraId="35BEB6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210947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3616C2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6664</w:t>
                  </w:r>
                </w:p>
              </w:tc>
              <w:tc>
                <w:tcPr>
                  <w:tcW w:w="2053" w:type="dxa"/>
                  <w:vAlign w:val="center"/>
                </w:tcPr>
                <w:p w14:paraId="364948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年产硅胶件</w:t>
                  </w:r>
                  <w:r>
                    <w:rPr>
                      <w:rFonts w:ascii="宋体" w:hAnsi="宋体" w:eastAsia="宋体" w:cs="宋体"/>
                      <w:color w:val="auto"/>
                      <w:spacing w:val="-37"/>
                      <w:sz w:val="21"/>
                      <w:szCs w:val="21"/>
                    </w:rPr>
                    <w:t xml:space="preserve"> </w:t>
                  </w:r>
                  <w:r>
                    <w:rPr>
                      <w:color w:val="auto"/>
                      <w:spacing w:val="-2"/>
                      <w:sz w:val="21"/>
                      <w:szCs w:val="21"/>
                    </w:rPr>
                    <w:t xml:space="preserve">330 </w:t>
                  </w:r>
                  <w:r>
                    <w:rPr>
                      <w:rFonts w:ascii="宋体" w:hAnsi="宋体" w:eastAsia="宋体" w:cs="宋体"/>
                      <w:color w:val="auto"/>
                      <w:spacing w:val="-2"/>
                      <w:sz w:val="21"/>
                      <w:szCs w:val="21"/>
                    </w:rPr>
                    <w:t>万个、注塑件</w:t>
                  </w:r>
                  <w:r>
                    <w:rPr>
                      <w:rFonts w:ascii="宋体" w:hAnsi="宋体" w:eastAsia="宋体" w:cs="宋体"/>
                      <w:color w:val="auto"/>
                      <w:spacing w:val="-47"/>
                      <w:sz w:val="21"/>
                      <w:szCs w:val="21"/>
                    </w:rPr>
                    <w:t xml:space="preserve"> </w:t>
                  </w:r>
                  <w:r>
                    <w:rPr>
                      <w:color w:val="auto"/>
                      <w:spacing w:val="-2"/>
                      <w:sz w:val="21"/>
                      <w:szCs w:val="21"/>
                    </w:rPr>
                    <w:t>200</w:t>
                  </w:r>
                  <w:r>
                    <w:rPr>
                      <w:color w:val="auto"/>
                      <w:spacing w:val="13"/>
                      <w:w w:val="101"/>
                      <w:sz w:val="21"/>
                      <w:szCs w:val="21"/>
                    </w:rPr>
                    <w:t xml:space="preserve"> </w:t>
                  </w:r>
                  <w:r>
                    <w:rPr>
                      <w:rFonts w:ascii="宋体" w:hAnsi="宋体" w:eastAsia="宋体" w:cs="宋体"/>
                      <w:color w:val="auto"/>
                      <w:spacing w:val="-2"/>
                      <w:sz w:val="21"/>
                      <w:szCs w:val="21"/>
                    </w:rPr>
                    <w:t>万个、吹瓶件</w:t>
                  </w:r>
                  <w:r>
                    <w:rPr>
                      <w:rFonts w:ascii="宋体" w:hAnsi="宋体" w:eastAsia="宋体" w:cs="宋体"/>
                      <w:color w:val="auto"/>
                      <w:spacing w:val="-44"/>
                      <w:sz w:val="21"/>
                      <w:szCs w:val="21"/>
                    </w:rPr>
                    <w:t xml:space="preserve"> </w:t>
                  </w:r>
                  <w:r>
                    <w:rPr>
                      <w:color w:val="auto"/>
                      <w:spacing w:val="-2"/>
                      <w:sz w:val="21"/>
                      <w:szCs w:val="21"/>
                    </w:rPr>
                    <w:t>602</w:t>
                  </w:r>
                  <w:r>
                    <w:rPr>
                      <w:color w:val="auto"/>
                      <w:spacing w:val="14"/>
                      <w:sz w:val="21"/>
                      <w:szCs w:val="21"/>
                    </w:rPr>
                    <w:t xml:space="preserve"> </w:t>
                  </w:r>
                  <w:r>
                    <w:rPr>
                      <w:rFonts w:ascii="宋体" w:hAnsi="宋体" w:eastAsia="宋体" w:cs="宋体"/>
                      <w:color w:val="auto"/>
                      <w:spacing w:val="-2"/>
                      <w:sz w:val="21"/>
                      <w:szCs w:val="21"/>
                    </w:rPr>
                    <w:t>万个</w:t>
                  </w:r>
                </w:p>
              </w:tc>
              <w:tc>
                <w:tcPr>
                  <w:tcW w:w="1878" w:type="dxa"/>
                  <w:vAlign w:val="center"/>
                </w:tcPr>
                <w:p w14:paraId="0DF212E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33</w:t>
                  </w:r>
                  <w:r>
                    <w:rPr>
                      <w:color w:val="auto"/>
                      <w:spacing w:val="18"/>
                      <w:sz w:val="21"/>
                      <w:szCs w:val="21"/>
                    </w:rPr>
                    <w:t xml:space="preserve"> </w:t>
                  </w:r>
                  <w:r>
                    <w:rPr>
                      <w:rFonts w:ascii="宋体" w:hAnsi="宋体" w:eastAsia="宋体" w:cs="宋体"/>
                      <w:color w:val="auto"/>
                      <w:spacing w:val="-1"/>
                      <w:sz w:val="21"/>
                      <w:szCs w:val="21"/>
                    </w:rPr>
                    <w:t>号</w:t>
                  </w:r>
                </w:p>
              </w:tc>
            </w:tr>
            <w:tr w14:paraId="36F75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623BBC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71</w:t>
                  </w:r>
                </w:p>
              </w:tc>
              <w:tc>
                <w:tcPr>
                  <w:tcW w:w="961" w:type="dxa"/>
                  <w:vAlign w:val="center"/>
                </w:tcPr>
                <w:p w14:paraId="51F49A5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韶关市南源铜材有限公司</w:t>
                  </w:r>
                </w:p>
              </w:tc>
              <w:tc>
                <w:tcPr>
                  <w:tcW w:w="600" w:type="dxa"/>
                  <w:vAlign w:val="center"/>
                </w:tcPr>
                <w:p w14:paraId="7DC2849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7B5B29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816B8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44981.3</w:t>
                  </w:r>
                </w:p>
              </w:tc>
              <w:tc>
                <w:tcPr>
                  <w:tcW w:w="2053" w:type="dxa"/>
                  <w:vAlign w:val="center"/>
                </w:tcPr>
                <w:p w14:paraId="19D1736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年产含铅黄铜棒</w:t>
                  </w:r>
                  <w:r>
                    <w:rPr>
                      <w:rFonts w:ascii="宋体" w:hAnsi="宋体" w:eastAsia="宋体" w:cs="宋体"/>
                      <w:color w:val="auto"/>
                      <w:spacing w:val="-27"/>
                      <w:sz w:val="21"/>
                      <w:szCs w:val="21"/>
                    </w:rPr>
                    <w:t xml:space="preserve"> </w:t>
                  </w:r>
                  <w:r>
                    <w:rPr>
                      <w:color w:val="auto"/>
                      <w:spacing w:val="-3"/>
                      <w:sz w:val="21"/>
                      <w:szCs w:val="21"/>
                    </w:rPr>
                    <w:t>18000</w:t>
                  </w:r>
                  <w:r>
                    <w:rPr>
                      <w:color w:val="auto"/>
                      <w:spacing w:val="19"/>
                      <w:w w:val="101"/>
                      <w:sz w:val="21"/>
                      <w:szCs w:val="21"/>
                    </w:rPr>
                    <w:t xml:space="preserve"> </w:t>
                  </w:r>
                  <w:r>
                    <w:rPr>
                      <w:rFonts w:ascii="宋体" w:hAnsi="宋体" w:eastAsia="宋体" w:cs="宋体"/>
                      <w:color w:val="auto"/>
                      <w:spacing w:val="-3"/>
                      <w:sz w:val="21"/>
                      <w:szCs w:val="21"/>
                    </w:rPr>
                    <w:t>吨、无铅黄铜棒</w:t>
                  </w:r>
                  <w:r>
                    <w:rPr>
                      <w:rFonts w:ascii="宋体" w:hAnsi="宋体" w:eastAsia="宋体" w:cs="宋体"/>
                      <w:color w:val="auto"/>
                      <w:spacing w:val="-28"/>
                      <w:sz w:val="21"/>
                      <w:szCs w:val="21"/>
                    </w:rPr>
                    <w:t xml:space="preserve"> </w:t>
                  </w:r>
                  <w:r>
                    <w:rPr>
                      <w:color w:val="auto"/>
                      <w:spacing w:val="-3"/>
                      <w:sz w:val="21"/>
                      <w:szCs w:val="21"/>
                    </w:rPr>
                    <w:t>12000</w:t>
                  </w:r>
                  <w:r>
                    <w:rPr>
                      <w:color w:val="auto"/>
                      <w:spacing w:val="16"/>
                      <w:sz w:val="21"/>
                      <w:szCs w:val="21"/>
                    </w:rPr>
                    <w:t xml:space="preserve"> </w:t>
                  </w:r>
                  <w:r>
                    <w:rPr>
                      <w:rFonts w:ascii="宋体" w:hAnsi="宋体" w:eastAsia="宋体" w:cs="宋体"/>
                      <w:color w:val="auto"/>
                      <w:spacing w:val="-3"/>
                      <w:sz w:val="21"/>
                      <w:szCs w:val="21"/>
                    </w:rPr>
                    <w:t>吨</w:t>
                  </w:r>
                </w:p>
              </w:tc>
              <w:tc>
                <w:tcPr>
                  <w:tcW w:w="1878" w:type="dxa"/>
                  <w:vAlign w:val="center"/>
                </w:tcPr>
                <w:p w14:paraId="6FC8B3A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541BE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128487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72</w:t>
                  </w:r>
                </w:p>
              </w:tc>
              <w:tc>
                <w:tcPr>
                  <w:tcW w:w="961" w:type="dxa"/>
                  <w:vAlign w:val="center"/>
                </w:tcPr>
                <w:p w14:paraId="16C3F7C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碧宏自动化（广东）有限责任</w:t>
                  </w:r>
                </w:p>
                <w:p w14:paraId="5E91415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0E44B36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AB8B2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通用设备制造业、</w:t>
                  </w:r>
                  <w:r>
                    <w:rPr>
                      <w:rFonts w:ascii="宋体" w:hAnsi="宋体" w:eastAsia="宋体" w:cs="宋体"/>
                      <w:color w:val="auto"/>
                      <w:spacing w:val="-1"/>
                      <w:sz w:val="21"/>
                      <w:szCs w:val="21"/>
                    </w:rPr>
                    <w:t>专用设备制造业</w:t>
                  </w:r>
                </w:p>
              </w:tc>
              <w:tc>
                <w:tcPr>
                  <w:tcW w:w="1140" w:type="dxa"/>
                  <w:vAlign w:val="center"/>
                </w:tcPr>
                <w:p w14:paraId="311CC08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31172.2</w:t>
                  </w:r>
                </w:p>
              </w:tc>
              <w:tc>
                <w:tcPr>
                  <w:tcW w:w="2053" w:type="dxa"/>
                  <w:vAlign w:val="center"/>
                </w:tcPr>
                <w:p w14:paraId="052E9E2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2"/>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年产椭圆印花机</w:t>
                  </w:r>
                  <w:r>
                    <w:rPr>
                      <w:rFonts w:ascii="宋体" w:hAnsi="宋体" w:eastAsia="宋体" w:cs="宋体"/>
                      <w:color w:val="auto"/>
                      <w:spacing w:val="-30"/>
                      <w:sz w:val="21"/>
                      <w:szCs w:val="21"/>
                    </w:rPr>
                    <w:t xml:space="preserve"> </w:t>
                  </w:r>
                  <w:r>
                    <w:rPr>
                      <w:color w:val="auto"/>
                      <w:spacing w:val="-8"/>
                      <w:sz w:val="21"/>
                      <w:szCs w:val="21"/>
                    </w:rPr>
                    <w:t>500</w:t>
                  </w:r>
                  <w:r>
                    <w:rPr>
                      <w:color w:val="auto"/>
                      <w:spacing w:val="22"/>
                      <w:w w:val="101"/>
                      <w:sz w:val="21"/>
                      <w:szCs w:val="21"/>
                    </w:rPr>
                    <w:t xml:space="preserve"> </w:t>
                  </w:r>
                  <w:r>
                    <w:rPr>
                      <w:rFonts w:ascii="宋体" w:hAnsi="宋体" w:eastAsia="宋体" w:cs="宋体"/>
                      <w:color w:val="auto"/>
                      <w:spacing w:val="-8"/>
                      <w:sz w:val="21"/>
                      <w:szCs w:val="21"/>
                    </w:rPr>
                    <w:t>台、数码印花机</w:t>
                  </w:r>
                  <w:r>
                    <w:rPr>
                      <w:rFonts w:ascii="宋体" w:hAnsi="宋体" w:eastAsia="宋体" w:cs="宋体"/>
                      <w:color w:val="auto"/>
                      <w:spacing w:val="-27"/>
                      <w:sz w:val="21"/>
                      <w:szCs w:val="21"/>
                    </w:rPr>
                    <w:t xml:space="preserve"> </w:t>
                  </w:r>
                  <w:r>
                    <w:rPr>
                      <w:color w:val="auto"/>
                      <w:spacing w:val="-8"/>
                      <w:sz w:val="21"/>
                      <w:szCs w:val="21"/>
                    </w:rPr>
                    <w:t>100</w:t>
                  </w:r>
                  <w:r>
                    <w:rPr>
                      <w:color w:val="auto"/>
                      <w:spacing w:val="22"/>
                      <w:w w:val="101"/>
                      <w:sz w:val="21"/>
                      <w:szCs w:val="21"/>
                    </w:rPr>
                    <w:t xml:space="preserve"> </w:t>
                  </w:r>
                  <w:r>
                    <w:rPr>
                      <w:rFonts w:ascii="宋体" w:hAnsi="宋体" w:eastAsia="宋体" w:cs="宋体"/>
                      <w:color w:val="auto"/>
                      <w:spacing w:val="-8"/>
                      <w:sz w:val="21"/>
                      <w:szCs w:val="21"/>
                    </w:rPr>
                    <w:t>台、拉网机</w:t>
                  </w:r>
                  <w:r>
                    <w:rPr>
                      <w:rFonts w:ascii="宋体" w:hAnsi="宋体" w:eastAsia="宋体" w:cs="宋体"/>
                      <w:color w:val="auto"/>
                      <w:spacing w:val="-28"/>
                      <w:sz w:val="21"/>
                      <w:szCs w:val="21"/>
                    </w:rPr>
                    <w:t xml:space="preserve"> </w:t>
                  </w:r>
                  <w:r>
                    <w:rPr>
                      <w:color w:val="auto"/>
                      <w:spacing w:val="-8"/>
                      <w:sz w:val="21"/>
                      <w:szCs w:val="21"/>
                    </w:rPr>
                    <w:t>100</w:t>
                  </w:r>
                  <w:r>
                    <w:rPr>
                      <w:color w:val="auto"/>
                      <w:spacing w:val="23"/>
                      <w:sz w:val="21"/>
                      <w:szCs w:val="21"/>
                    </w:rPr>
                    <w:t xml:space="preserve"> </w:t>
                  </w:r>
                  <w:r>
                    <w:rPr>
                      <w:rFonts w:ascii="宋体" w:hAnsi="宋体" w:eastAsia="宋体" w:cs="宋体"/>
                      <w:color w:val="auto"/>
                      <w:spacing w:val="-8"/>
                      <w:sz w:val="21"/>
                      <w:szCs w:val="21"/>
                    </w:rPr>
                    <w:t>台、</w:t>
                  </w:r>
                </w:p>
                <w:p w14:paraId="1E5CAC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激光切割机</w:t>
                  </w:r>
                  <w:r>
                    <w:rPr>
                      <w:rFonts w:ascii="宋体" w:hAnsi="宋体" w:eastAsia="宋体" w:cs="宋体"/>
                      <w:color w:val="auto"/>
                      <w:spacing w:val="-40"/>
                      <w:sz w:val="21"/>
                      <w:szCs w:val="21"/>
                    </w:rPr>
                    <w:t xml:space="preserve"> </w:t>
                  </w:r>
                  <w:r>
                    <w:rPr>
                      <w:color w:val="auto"/>
                      <w:spacing w:val="-2"/>
                      <w:sz w:val="21"/>
                      <w:szCs w:val="21"/>
                    </w:rPr>
                    <w:t>300</w:t>
                  </w:r>
                  <w:r>
                    <w:rPr>
                      <w:color w:val="auto"/>
                      <w:spacing w:val="23"/>
                      <w:sz w:val="21"/>
                      <w:szCs w:val="21"/>
                    </w:rPr>
                    <w:t xml:space="preserve"> </w:t>
                  </w:r>
                  <w:r>
                    <w:rPr>
                      <w:rFonts w:ascii="宋体" w:hAnsi="宋体" w:eastAsia="宋体" w:cs="宋体"/>
                      <w:color w:val="auto"/>
                      <w:spacing w:val="-2"/>
                      <w:sz w:val="21"/>
                      <w:szCs w:val="21"/>
                    </w:rPr>
                    <w:t>台</w:t>
                  </w:r>
                </w:p>
              </w:tc>
              <w:tc>
                <w:tcPr>
                  <w:tcW w:w="1878" w:type="dxa"/>
                  <w:vAlign w:val="center"/>
                </w:tcPr>
                <w:p w14:paraId="283112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10</w:t>
                  </w:r>
                  <w:r>
                    <w:rPr>
                      <w:color w:val="auto"/>
                      <w:spacing w:val="18"/>
                      <w:sz w:val="21"/>
                      <w:szCs w:val="21"/>
                    </w:rPr>
                    <w:t xml:space="preserve"> </w:t>
                  </w:r>
                  <w:r>
                    <w:rPr>
                      <w:rFonts w:ascii="宋体" w:hAnsi="宋体" w:eastAsia="宋体" w:cs="宋体"/>
                      <w:color w:val="auto"/>
                      <w:spacing w:val="-1"/>
                      <w:sz w:val="21"/>
                      <w:szCs w:val="21"/>
                    </w:rPr>
                    <w:t>号</w:t>
                  </w:r>
                </w:p>
              </w:tc>
            </w:tr>
            <w:tr w14:paraId="15F96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6820BF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73</w:t>
                  </w:r>
                </w:p>
              </w:tc>
              <w:tc>
                <w:tcPr>
                  <w:tcW w:w="961" w:type="dxa"/>
                  <w:vAlign w:val="center"/>
                </w:tcPr>
                <w:p w14:paraId="5C7702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广东冠益灯饰有限公司</w:t>
                  </w:r>
                </w:p>
              </w:tc>
              <w:tc>
                <w:tcPr>
                  <w:tcW w:w="600" w:type="dxa"/>
                  <w:vAlign w:val="center"/>
                </w:tcPr>
                <w:p w14:paraId="02F859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396362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2A88DF0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13333.4</w:t>
                  </w:r>
                </w:p>
              </w:tc>
              <w:tc>
                <w:tcPr>
                  <w:tcW w:w="2053" w:type="dxa"/>
                  <w:vAlign w:val="center"/>
                </w:tcPr>
                <w:p w14:paraId="4BDD46E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年产灯串</w:t>
                  </w:r>
                  <w:r>
                    <w:rPr>
                      <w:rFonts w:ascii="宋体" w:hAnsi="宋体" w:eastAsia="宋体" w:cs="宋体"/>
                      <w:color w:val="auto"/>
                      <w:spacing w:val="-40"/>
                      <w:sz w:val="21"/>
                      <w:szCs w:val="21"/>
                    </w:rPr>
                    <w:t xml:space="preserve"> </w:t>
                  </w:r>
                  <w:r>
                    <w:rPr>
                      <w:color w:val="auto"/>
                      <w:spacing w:val="-3"/>
                      <w:sz w:val="21"/>
                      <w:szCs w:val="21"/>
                    </w:rPr>
                    <w:t>200</w:t>
                  </w:r>
                  <w:r>
                    <w:rPr>
                      <w:color w:val="auto"/>
                      <w:spacing w:val="13"/>
                      <w:w w:val="101"/>
                      <w:sz w:val="21"/>
                      <w:szCs w:val="21"/>
                    </w:rPr>
                    <w:t xml:space="preserve"> </w:t>
                  </w:r>
                  <w:r>
                    <w:rPr>
                      <w:rFonts w:ascii="宋体" w:hAnsi="宋体" w:eastAsia="宋体" w:cs="宋体"/>
                      <w:color w:val="auto"/>
                      <w:spacing w:val="-3"/>
                      <w:sz w:val="21"/>
                      <w:szCs w:val="21"/>
                    </w:rPr>
                    <w:t>万套</w:t>
                  </w:r>
                </w:p>
              </w:tc>
              <w:tc>
                <w:tcPr>
                  <w:tcW w:w="1878" w:type="dxa"/>
                  <w:vAlign w:val="center"/>
                </w:tcPr>
                <w:p w14:paraId="1C0FB4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40FECF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3B2A70A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74</w:t>
                  </w:r>
                </w:p>
              </w:tc>
              <w:tc>
                <w:tcPr>
                  <w:tcW w:w="961" w:type="dxa"/>
                  <w:vAlign w:val="center"/>
                </w:tcPr>
                <w:p w14:paraId="0FD7F18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韶关三和磁材电子有限公司</w:t>
                  </w:r>
                </w:p>
              </w:tc>
              <w:tc>
                <w:tcPr>
                  <w:tcW w:w="600" w:type="dxa"/>
                  <w:vAlign w:val="center"/>
                </w:tcPr>
                <w:p w14:paraId="7E4087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FE030D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9BEE6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27014.09</w:t>
                  </w:r>
                </w:p>
              </w:tc>
              <w:tc>
                <w:tcPr>
                  <w:tcW w:w="2053" w:type="dxa"/>
                  <w:vAlign w:val="center"/>
                </w:tcPr>
                <w:p w14:paraId="5AF6F8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年产干法铁氧体磁铁</w:t>
                  </w:r>
                  <w:r>
                    <w:rPr>
                      <w:rFonts w:ascii="宋体" w:hAnsi="宋体" w:eastAsia="宋体" w:cs="宋体"/>
                      <w:color w:val="auto"/>
                      <w:spacing w:val="-16"/>
                      <w:sz w:val="21"/>
                      <w:szCs w:val="21"/>
                    </w:rPr>
                    <w:t xml:space="preserve"> </w:t>
                  </w:r>
                  <w:r>
                    <w:rPr>
                      <w:color w:val="auto"/>
                      <w:spacing w:val="-3"/>
                      <w:sz w:val="21"/>
                      <w:szCs w:val="21"/>
                    </w:rPr>
                    <w:t xml:space="preserve">10 </w:t>
                  </w:r>
                  <w:r>
                    <w:rPr>
                      <w:rFonts w:ascii="宋体" w:hAnsi="宋体" w:eastAsia="宋体" w:cs="宋体"/>
                      <w:color w:val="auto"/>
                      <w:spacing w:val="-3"/>
                      <w:sz w:val="21"/>
                      <w:szCs w:val="21"/>
                    </w:rPr>
                    <w:t>亿个</w:t>
                  </w:r>
                </w:p>
              </w:tc>
              <w:tc>
                <w:tcPr>
                  <w:tcW w:w="1878" w:type="dxa"/>
                  <w:vAlign w:val="center"/>
                </w:tcPr>
                <w:p w14:paraId="7D5170F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06</w:t>
                  </w:r>
                  <w:r>
                    <w:rPr>
                      <w:color w:val="auto"/>
                      <w:spacing w:val="18"/>
                      <w:sz w:val="21"/>
                      <w:szCs w:val="21"/>
                    </w:rPr>
                    <w:t xml:space="preserve"> </w:t>
                  </w:r>
                  <w:r>
                    <w:rPr>
                      <w:rFonts w:ascii="宋体" w:hAnsi="宋体" w:eastAsia="宋体" w:cs="宋体"/>
                      <w:color w:val="auto"/>
                      <w:spacing w:val="-1"/>
                      <w:sz w:val="21"/>
                      <w:szCs w:val="21"/>
                    </w:rPr>
                    <w:t>号</w:t>
                  </w:r>
                </w:p>
              </w:tc>
            </w:tr>
            <w:tr w14:paraId="127F6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83BAF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75</w:t>
                  </w:r>
                </w:p>
              </w:tc>
              <w:tc>
                <w:tcPr>
                  <w:tcW w:w="961" w:type="dxa"/>
                  <w:vAlign w:val="center"/>
                </w:tcPr>
                <w:p w14:paraId="6342E3C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广东立恒新材料科技有限公</w:t>
                  </w:r>
                </w:p>
                <w:p w14:paraId="356C86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48906F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30D126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6B25D64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9333</w:t>
                  </w:r>
                </w:p>
              </w:tc>
              <w:tc>
                <w:tcPr>
                  <w:tcW w:w="2053" w:type="dxa"/>
                  <w:vAlign w:val="center"/>
                </w:tcPr>
                <w:p w14:paraId="5EC6B9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年产改性塑料</w:t>
                  </w:r>
                  <w:r>
                    <w:rPr>
                      <w:rFonts w:ascii="宋体" w:hAnsi="宋体" w:eastAsia="宋体" w:cs="宋体"/>
                      <w:color w:val="auto"/>
                      <w:spacing w:val="-38"/>
                      <w:sz w:val="21"/>
                      <w:szCs w:val="21"/>
                    </w:rPr>
                    <w:t xml:space="preserve"> </w:t>
                  </w:r>
                  <w:r>
                    <w:rPr>
                      <w:color w:val="auto"/>
                      <w:spacing w:val="-2"/>
                      <w:sz w:val="21"/>
                      <w:szCs w:val="21"/>
                    </w:rPr>
                    <w:t>8000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C7A9F9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"bookmark252"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]60</w:t>
                  </w:r>
                  <w:r>
                    <w:rPr>
                      <w:color w:val="auto"/>
                      <w:spacing w:val="24"/>
                      <w:sz w:val="21"/>
                      <w:szCs w:val="21"/>
                    </w:rPr>
                    <w:t xml:space="preserve"> </w:t>
                  </w:r>
                  <w:r>
                    <w:rPr>
                      <w:rFonts w:ascii="宋体" w:hAnsi="宋体" w:eastAsia="宋体" w:cs="宋体"/>
                      <w:color w:val="auto"/>
                      <w:spacing w:val="-2"/>
                      <w:sz w:val="21"/>
                      <w:szCs w:val="21"/>
                    </w:rPr>
                    <w:t>号</w:t>
                  </w:r>
                </w:p>
              </w:tc>
            </w:tr>
            <w:tr w14:paraId="7166F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9E133A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76</w:t>
                  </w:r>
                </w:p>
              </w:tc>
              <w:tc>
                <w:tcPr>
                  <w:tcW w:w="961" w:type="dxa"/>
                  <w:vAlign w:val="center"/>
                </w:tcPr>
                <w:p w14:paraId="4777207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乐昌市赫尔龙体育用品有限</w:t>
                  </w:r>
                </w:p>
                <w:p w14:paraId="108F897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772DDA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AAC157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5162349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14604.85</w:t>
                  </w:r>
                </w:p>
              </w:tc>
              <w:tc>
                <w:tcPr>
                  <w:tcW w:w="2053" w:type="dxa"/>
                  <w:vAlign w:val="center"/>
                </w:tcPr>
                <w:p w14:paraId="0AAE3F8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年产运动服等运动产品</w:t>
                  </w:r>
                  <w:r>
                    <w:rPr>
                      <w:rFonts w:ascii="宋体" w:hAnsi="宋体" w:eastAsia="宋体" w:cs="宋体"/>
                      <w:color w:val="auto"/>
                      <w:spacing w:val="-23"/>
                      <w:sz w:val="21"/>
                      <w:szCs w:val="21"/>
                    </w:rPr>
                    <w:t xml:space="preserve"> </w:t>
                  </w:r>
                  <w:r>
                    <w:rPr>
                      <w:color w:val="auto"/>
                      <w:spacing w:val="-3"/>
                      <w:sz w:val="21"/>
                      <w:szCs w:val="21"/>
                    </w:rPr>
                    <w:t>100</w:t>
                  </w:r>
                  <w:r>
                    <w:rPr>
                      <w:color w:val="auto"/>
                      <w:spacing w:val="13"/>
                      <w:w w:val="101"/>
                      <w:sz w:val="21"/>
                      <w:szCs w:val="21"/>
                    </w:rPr>
                    <w:t xml:space="preserve"> </w:t>
                  </w:r>
                  <w:r>
                    <w:rPr>
                      <w:rFonts w:ascii="宋体" w:hAnsi="宋体" w:eastAsia="宋体" w:cs="宋体"/>
                      <w:color w:val="auto"/>
                      <w:spacing w:val="-3"/>
                      <w:sz w:val="21"/>
                      <w:szCs w:val="21"/>
                    </w:rPr>
                    <w:t>万件</w:t>
                  </w:r>
                </w:p>
              </w:tc>
              <w:tc>
                <w:tcPr>
                  <w:tcW w:w="1878" w:type="dxa"/>
                  <w:vAlign w:val="center"/>
                </w:tcPr>
                <w:p w14:paraId="685DC7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21 </w:t>
                  </w:r>
                  <w:r>
                    <w:rPr>
                      <w:rFonts w:ascii="宋体" w:hAnsi="宋体" w:eastAsia="宋体" w:cs="宋体"/>
                      <w:color w:val="auto"/>
                      <w:spacing w:val="-1"/>
                      <w:sz w:val="21"/>
                      <w:szCs w:val="21"/>
                    </w:rPr>
                    <w:t>号</w:t>
                  </w:r>
                </w:p>
              </w:tc>
            </w:tr>
            <w:tr w14:paraId="1B3D5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11" w:type="dxa"/>
                  <w:vAlign w:val="center"/>
                </w:tcPr>
                <w:p w14:paraId="0CB084B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77</w:t>
                  </w:r>
                </w:p>
              </w:tc>
              <w:tc>
                <w:tcPr>
                  <w:tcW w:w="961" w:type="dxa"/>
                  <w:vAlign w:val="center"/>
                </w:tcPr>
                <w:p w14:paraId="671A48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广东省合高复合材料有限公</w:t>
                  </w:r>
                </w:p>
                <w:p w14:paraId="258632A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1D9B30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B12CD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0F96037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27017.8</w:t>
                  </w:r>
                </w:p>
              </w:tc>
              <w:tc>
                <w:tcPr>
                  <w:tcW w:w="2053" w:type="dxa"/>
                  <w:vAlign w:val="center"/>
                </w:tcPr>
                <w:p w14:paraId="145B853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年产玻璃纤维板材</w:t>
                  </w:r>
                  <w:r>
                    <w:rPr>
                      <w:rFonts w:ascii="宋体" w:hAnsi="宋体" w:eastAsia="宋体" w:cs="宋体"/>
                      <w:color w:val="auto"/>
                      <w:spacing w:val="-21"/>
                      <w:sz w:val="21"/>
                      <w:szCs w:val="21"/>
                    </w:rPr>
                    <w:t xml:space="preserve"> </w:t>
                  </w:r>
                  <w:r>
                    <w:rPr>
                      <w:color w:val="auto"/>
                      <w:spacing w:val="-5"/>
                      <w:sz w:val="21"/>
                      <w:szCs w:val="21"/>
                    </w:rPr>
                    <w:t xml:space="preserve">1 </w:t>
                  </w:r>
                  <w:r>
                    <w:rPr>
                      <w:rFonts w:ascii="宋体" w:hAnsi="宋体" w:eastAsia="宋体" w:cs="宋体"/>
                      <w:color w:val="auto"/>
                      <w:spacing w:val="-5"/>
                      <w:sz w:val="21"/>
                      <w:szCs w:val="21"/>
                    </w:rPr>
                    <w:t>万吨、玻璃钢拉挤制品</w:t>
                  </w:r>
                  <w:r>
                    <w:rPr>
                      <w:rFonts w:ascii="宋体" w:hAnsi="宋体" w:eastAsia="宋体" w:cs="宋体"/>
                      <w:color w:val="auto"/>
                      <w:spacing w:val="-51"/>
                      <w:sz w:val="21"/>
                      <w:szCs w:val="21"/>
                    </w:rPr>
                    <w:t xml:space="preserve"> </w:t>
                  </w:r>
                  <w:r>
                    <w:rPr>
                      <w:color w:val="auto"/>
                      <w:spacing w:val="-5"/>
                      <w:sz w:val="21"/>
                      <w:szCs w:val="21"/>
                    </w:rPr>
                    <w:t>4500</w:t>
                  </w:r>
                  <w:r>
                    <w:rPr>
                      <w:color w:val="auto"/>
                      <w:spacing w:val="18"/>
                      <w:w w:val="101"/>
                      <w:sz w:val="21"/>
                      <w:szCs w:val="21"/>
                    </w:rPr>
                    <w:t xml:space="preserve"> </w:t>
                  </w:r>
                  <w:r>
                    <w:rPr>
                      <w:rFonts w:ascii="宋体" w:hAnsi="宋体" w:eastAsia="宋体" w:cs="宋体"/>
                      <w:color w:val="auto"/>
                      <w:spacing w:val="-5"/>
                      <w:sz w:val="21"/>
                      <w:szCs w:val="21"/>
                    </w:rPr>
                    <w:t>吨、缠绕制</w:t>
                  </w:r>
                </w:p>
                <w:p w14:paraId="5EED6E8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品、</w:t>
                  </w:r>
                  <w:r>
                    <w:rPr>
                      <w:color w:val="auto"/>
                      <w:spacing w:val="-4"/>
                      <w:sz w:val="21"/>
                      <w:szCs w:val="21"/>
                    </w:rPr>
                    <w:t xml:space="preserve">SMC </w:t>
                  </w:r>
                  <w:r>
                    <w:rPr>
                      <w:rFonts w:ascii="宋体" w:hAnsi="宋体" w:eastAsia="宋体" w:cs="宋体"/>
                      <w:color w:val="auto"/>
                      <w:spacing w:val="-4"/>
                      <w:sz w:val="21"/>
                      <w:szCs w:val="21"/>
                    </w:rPr>
                    <w:t>模压及玻璃纤维热塑板以及制品各</w:t>
                  </w:r>
                  <w:r>
                    <w:rPr>
                      <w:rFonts w:ascii="宋体" w:hAnsi="宋体" w:eastAsia="宋体" w:cs="宋体"/>
                      <w:color w:val="auto"/>
                      <w:spacing w:val="-36"/>
                      <w:sz w:val="21"/>
                      <w:szCs w:val="21"/>
                    </w:rPr>
                    <w:t xml:space="preserve"> </w:t>
                  </w:r>
                  <w:r>
                    <w:rPr>
                      <w:color w:val="auto"/>
                      <w:spacing w:val="-4"/>
                      <w:sz w:val="21"/>
                      <w:szCs w:val="21"/>
                    </w:rPr>
                    <w:t>500</w:t>
                  </w:r>
                  <w:r>
                    <w:rPr>
                      <w:color w:val="auto"/>
                      <w:spacing w:val="19"/>
                      <w:sz w:val="21"/>
                      <w:szCs w:val="21"/>
                    </w:rPr>
                    <w:t xml:space="preserve"> </w:t>
                  </w:r>
                  <w:r>
                    <w:rPr>
                      <w:rFonts w:ascii="宋体" w:hAnsi="宋体" w:eastAsia="宋体" w:cs="宋体"/>
                      <w:color w:val="auto"/>
                      <w:spacing w:val="-4"/>
                      <w:sz w:val="21"/>
                      <w:szCs w:val="21"/>
                    </w:rPr>
                    <w:t>吨、玻璃钢</w:t>
                  </w:r>
                </w:p>
                <w:p w14:paraId="742DC3A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格栅</w:t>
                  </w:r>
                  <w:r>
                    <w:rPr>
                      <w:rFonts w:ascii="宋体" w:hAnsi="宋体" w:eastAsia="宋体" w:cs="宋体"/>
                      <w:color w:val="auto"/>
                      <w:spacing w:val="-41"/>
                      <w:sz w:val="21"/>
                      <w:szCs w:val="21"/>
                    </w:rPr>
                    <w:t xml:space="preserve"> </w:t>
                  </w:r>
                  <w:r>
                    <w:rPr>
                      <w:color w:val="auto"/>
                      <w:sz w:val="21"/>
                      <w:szCs w:val="21"/>
                    </w:rPr>
                    <w:t>5000</w:t>
                  </w:r>
                  <w:r>
                    <w:rPr>
                      <w:color w:val="auto"/>
                      <w:spacing w:val="16"/>
                      <w:sz w:val="21"/>
                      <w:szCs w:val="21"/>
                    </w:rPr>
                    <w:t xml:space="preserve"> </w:t>
                  </w:r>
                  <w:r>
                    <w:rPr>
                      <w:rFonts w:ascii="宋体" w:hAnsi="宋体" w:eastAsia="宋体" w:cs="宋体"/>
                      <w:color w:val="auto"/>
                      <w:sz w:val="21"/>
                      <w:szCs w:val="21"/>
                    </w:rPr>
                    <w:t>吨、碳纤维制品及彩色胶衣各</w:t>
                  </w:r>
                  <w:r>
                    <w:rPr>
                      <w:color w:val="auto"/>
                      <w:sz w:val="21"/>
                      <w:szCs w:val="21"/>
                    </w:rPr>
                    <w:t>200</w:t>
                  </w:r>
                  <w:r>
                    <w:rPr>
                      <w:color w:val="auto"/>
                      <w:spacing w:val="18"/>
                      <w:w w:val="101"/>
                      <w:sz w:val="21"/>
                      <w:szCs w:val="21"/>
                    </w:rPr>
                    <w:t xml:space="preserve"> </w:t>
                  </w:r>
                  <w:r>
                    <w:rPr>
                      <w:rFonts w:ascii="宋体" w:hAnsi="宋体" w:eastAsia="宋体" w:cs="宋体"/>
                      <w:color w:val="auto"/>
                      <w:sz w:val="21"/>
                      <w:szCs w:val="21"/>
                    </w:rPr>
                    <w:t>吨、 玻璃钢夹</w:t>
                  </w:r>
                </w:p>
                <w:p w14:paraId="1021F12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芯板</w:t>
                  </w:r>
                  <w:r>
                    <w:rPr>
                      <w:rFonts w:ascii="宋体" w:hAnsi="宋体" w:eastAsia="宋体" w:cs="宋体"/>
                      <w:color w:val="auto"/>
                      <w:spacing w:val="-39"/>
                      <w:sz w:val="21"/>
                      <w:szCs w:val="21"/>
                    </w:rPr>
                    <w:t xml:space="preserve"> </w:t>
                  </w:r>
                  <w:r>
                    <w:rPr>
                      <w:color w:val="auto"/>
                      <w:spacing w:val="-4"/>
                      <w:sz w:val="21"/>
                      <w:szCs w:val="21"/>
                    </w:rPr>
                    <w:t>2700</w:t>
                  </w:r>
                  <w:r>
                    <w:rPr>
                      <w:color w:val="auto"/>
                      <w:spacing w:val="16"/>
                      <w:w w:val="101"/>
                      <w:sz w:val="21"/>
                      <w:szCs w:val="21"/>
                    </w:rPr>
                    <w:t xml:space="preserve"> </w:t>
                  </w:r>
                  <w:r>
                    <w:rPr>
                      <w:rFonts w:ascii="宋体" w:hAnsi="宋体" w:eastAsia="宋体" w:cs="宋体"/>
                      <w:color w:val="auto"/>
                      <w:spacing w:val="-4"/>
                      <w:sz w:val="21"/>
                      <w:szCs w:val="21"/>
                    </w:rPr>
                    <w:t xml:space="preserve">吨、 </w:t>
                  </w:r>
                  <w:r>
                    <w:rPr>
                      <w:color w:val="auto"/>
                      <w:spacing w:val="-4"/>
                      <w:sz w:val="21"/>
                      <w:szCs w:val="21"/>
                    </w:rPr>
                    <w:t xml:space="preserve">RTM </w:t>
                  </w:r>
                  <w:r>
                    <w:rPr>
                      <w:rFonts w:ascii="宋体" w:hAnsi="宋体" w:eastAsia="宋体" w:cs="宋体"/>
                      <w:color w:val="auto"/>
                      <w:spacing w:val="-4"/>
                      <w:sz w:val="21"/>
                      <w:szCs w:val="21"/>
                    </w:rPr>
                    <w:t>制品</w:t>
                  </w:r>
                  <w:r>
                    <w:rPr>
                      <w:rFonts w:ascii="宋体" w:hAnsi="宋体" w:eastAsia="宋体" w:cs="宋体"/>
                      <w:color w:val="auto"/>
                      <w:spacing w:val="-30"/>
                      <w:sz w:val="21"/>
                      <w:szCs w:val="21"/>
                    </w:rPr>
                    <w:t xml:space="preserve"> </w:t>
                  </w:r>
                  <w:r>
                    <w:rPr>
                      <w:color w:val="auto"/>
                      <w:spacing w:val="-4"/>
                      <w:sz w:val="21"/>
                      <w:szCs w:val="21"/>
                    </w:rPr>
                    <w:t>100</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3AE8B64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20</w:t>
                  </w:r>
                  <w:r>
                    <w:rPr>
                      <w:color w:val="auto"/>
                      <w:spacing w:val="18"/>
                      <w:sz w:val="21"/>
                      <w:szCs w:val="21"/>
                    </w:rPr>
                    <w:t xml:space="preserve"> </w:t>
                  </w:r>
                  <w:r>
                    <w:rPr>
                      <w:rFonts w:ascii="宋体" w:hAnsi="宋体" w:eastAsia="宋体" w:cs="宋体"/>
                      <w:color w:val="auto"/>
                      <w:spacing w:val="-1"/>
                      <w:sz w:val="21"/>
                      <w:szCs w:val="21"/>
                    </w:rPr>
                    <w:t>号</w:t>
                  </w:r>
                </w:p>
              </w:tc>
            </w:tr>
            <w:tr w14:paraId="2B5E37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01D6D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78</w:t>
                  </w:r>
                </w:p>
              </w:tc>
              <w:tc>
                <w:tcPr>
                  <w:tcW w:w="961" w:type="dxa"/>
                  <w:vAlign w:val="center"/>
                </w:tcPr>
                <w:p w14:paraId="3DC920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同向（乐昌）精密机械有限公</w:t>
                  </w:r>
                </w:p>
                <w:p w14:paraId="3A41A2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FAB31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BEB170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12C6A03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52810.91</w:t>
                  </w:r>
                </w:p>
              </w:tc>
              <w:tc>
                <w:tcPr>
                  <w:tcW w:w="2053" w:type="dxa"/>
                  <w:vAlign w:val="center"/>
                </w:tcPr>
                <w:p w14:paraId="705C7E9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年产登机桥、环保水箱、压力机械、建筑自动化设</w:t>
                  </w:r>
                  <w:r>
                    <w:rPr>
                      <w:rFonts w:ascii="宋体" w:hAnsi="宋体" w:eastAsia="宋体" w:cs="宋体"/>
                      <w:color w:val="auto"/>
                      <w:spacing w:val="-1"/>
                      <w:sz w:val="21"/>
                      <w:szCs w:val="21"/>
                    </w:rPr>
                    <w:t>备、加工</w:t>
                  </w:r>
                </w:p>
                <w:p w14:paraId="137412D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中心设备。压铸机等合计</w:t>
                  </w:r>
                  <w:r>
                    <w:rPr>
                      <w:rFonts w:ascii="宋体" w:hAnsi="宋体" w:eastAsia="宋体" w:cs="宋体"/>
                      <w:color w:val="auto"/>
                      <w:spacing w:val="-34"/>
                      <w:sz w:val="21"/>
                      <w:szCs w:val="21"/>
                    </w:rPr>
                    <w:t xml:space="preserve"> </w:t>
                  </w:r>
                  <w:r>
                    <w:rPr>
                      <w:color w:val="auto"/>
                      <w:spacing w:val="-3"/>
                      <w:sz w:val="21"/>
                      <w:szCs w:val="21"/>
                    </w:rPr>
                    <w:t xml:space="preserve">3350 </w:t>
                  </w:r>
                  <w:r>
                    <w:rPr>
                      <w:rFonts w:ascii="宋体" w:hAnsi="宋体" w:eastAsia="宋体" w:cs="宋体"/>
                      <w:color w:val="auto"/>
                      <w:spacing w:val="-3"/>
                      <w:sz w:val="21"/>
                      <w:szCs w:val="21"/>
                    </w:rPr>
                    <w:t>套（台）</w:t>
                  </w:r>
                </w:p>
              </w:tc>
              <w:tc>
                <w:tcPr>
                  <w:tcW w:w="1878" w:type="dxa"/>
                  <w:vAlign w:val="center"/>
                </w:tcPr>
                <w:p w14:paraId="32B6AB0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16</w:t>
                  </w:r>
                  <w:r>
                    <w:rPr>
                      <w:color w:val="auto"/>
                      <w:spacing w:val="18"/>
                      <w:sz w:val="21"/>
                      <w:szCs w:val="21"/>
                    </w:rPr>
                    <w:t xml:space="preserve"> </w:t>
                  </w:r>
                  <w:r>
                    <w:rPr>
                      <w:rFonts w:ascii="宋体" w:hAnsi="宋体" w:eastAsia="宋体" w:cs="宋体"/>
                      <w:color w:val="auto"/>
                      <w:spacing w:val="-1"/>
                      <w:sz w:val="21"/>
                      <w:szCs w:val="21"/>
                    </w:rPr>
                    <w:t>号</w:t>
                  </w:r>
                </w:p>
              </w:tc>
            </w:tr>
            <w:tr w14:paraId="49D30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5DC1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79</w:t>
                  </w:r>
                </w:p>
              </w:tc>
              <w:tc>
                <w:tcPr>
                  <w:tcW w:w="961" w:type="dxa"/>
                  <w:vAlign w:val="center"/>
                </w:tcPr>
                <w:p w14:paraId="3E2EB41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乐昌市信达实业有限公司</w:t>
                  </w:r>
                </w:p>
              </w:tc>
              <w:tc>
                <w:tcPr>
                  <w:tcW w:w="600" w:type="dxa"/>
                  <w:vAlign w:val="center"/>
                </w:tcPr>
                <w:p w14:paraId="2A316B3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1B9062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文教、工美、体育和娱乐用品制造业</w:t>
                  </w:r>
                </w:p>
              </w:tc>
              <w:tc>
                <w:tcPr>
                  <w:tcW w:w="1140" w:type="dxa"/>
                  <w:vAlign w:val="center"/>
                </w:tcPr>
                <w:p w14:paraId="56E51E5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20000</w:t>
                  </w:r>
                </w:p>
              </w:tc>
              <w:tc>
                <w:tcPr>
                  <w:tcW w:w="2053" w:type="dxa"/>
                  <w:vAlign w:val="center"/>
                </w:tcPr>
                <w:p w14:paraId="1D01456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5"/>
                      <w:sz w:val="21"/>
                      <w:szCs w:val="21"/>
                    </w:rPr>
                    <w:t>年产滑板</w:t>
                  </w:r>
                  <w:r>
                    <w:rPr>
                      <w:rFonts w:ascii="宋体" w:hAnsi="宋体" w:eastAsia="宋体" w:cs="宋体"/>
                      <w:color w:val="auto"/>
                      <w:spacing w:val="-22"/>
                      <w:sz w:val="21"/>
                      <w:szCs w:val="21"/>
                    </w:rPr>
                    <w:t xml:space="preserve"> </w:t>
                  </w:r>
                  <w:r>
                    <w:rPr>
                      <w:color w:val="auto"/>
                      <w:spacing w:val="-5"/>
                      <w:sz w:val="21"/>
                      <w:szCs w:val="21"/>
                    </w:rPr>
                    <w:t>100</w:t>
                  </w:r>
                  <w:r>
                    <w:rPr>
                      <w:color w:val="auto"/>
                      <w:spacing w:val="13"/>
                      <w:w w:val="101"/>
                      <w:sz w:val="21"/>
                      <w:szCs w:val="21"/>
                    </w:rPr>
                    <w:t xml:space="preserve"> </w:t>
                  </w:r>
                  <w:r>
                    <w:rPr>
                      <w:rFonts w:ascii="宋体" w:hAnsi="宋体" w:eastAsia="宋体" w:cs="宋体"/>
                      <w:color w:val="auto"/>
                      <w:spacing w:val="-5"/>
                      <w:sz w:val="21"/>
                      <w:szCs w:val="21"/>
                    </w:rPr>
                    <w:t>万台</w:t>
                  </w:r>
                </w:p>
              </w:tc>
              <w:tc>
                <w:tcPr>
                  <w:tcW w:w="1878" w:type="dxa"/>
                  <w:vAlign w:val="center"/>
                </w:tcPr>
                <w:p w14:paraId="338A6C4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09 </w:t>
                  </w:r>
                  <w:r>
                    <w:rPr>
                      <w:rFonts w:ascii="宋体" w:hAnsi="宋体" w:eastAsia="宋体" w:cs="宋体"/>
                      <w:color w:val="auto"/>
                      <w:spacing w:val="-1"/>
                      <w:sz w:val="21"/>
                      <w:szCs w:val="21"/>
                    </w:rPr>
                    <w:t>号</w:t>
                  </w:r>
                </w:p>
              </w:tc>
            </w:tr>
            <w:tr w14:paraId="24349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51963C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80</w:t>
                  </w:r>
                </w:p>
              </w:tc>
              <w:tc>
                <w:tcPr>
                  <w:tcW w:w="961" w:type="dxa"/>
                  <w:vAlign w:val="center"/>
                </w:tcPr>
                <w:p w14:paraId="35C58AC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广东威柏乐器制造有限公司</w:t>
                  </w:r>
                </w:p>
              </w:tc>
              <w:tc>
                <w:tcPr>
                  <w:tcW w:w="600" w:type="dxa"/>
                  <w:vAlign w:val="center"/>
                </w:tcPr>
                <w:p w14:paraId="64B72D5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808A4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文教、工美、体育和娱乐用品制造业</w:t>
                  </w:r>
                </w:p>
              </w:tc>
              <w:tc>
                <w:tcPr>
                  <w:tcW w:w="1140" w:type="dxa"/>
                  <w:vAlign w:val="center"/>
                </w:tcPr>
                <w:p w14:paraId="7805EC2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43586.57</w:t>
                  </w:r>
                </w:p>
              </w:tc>
              <w:tc>
                <w:tcPr>
                  <w:tcW w:w="2053" w:type="dxa"/>
                  <w:vAlign w:val="center"/>
                </w:tcPr>
                <w:p w14:paraId="73B0B4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年产电吉他</w:t>
                  </w:r>
                  <w:r>
                    <w:rPr>
                      <w:rFonts w:ascii="宋体" w:hAnsi="宋体" w:eastAsia="宋体" w:cs="宋体"/>
                      <w:color w:val="auto"/>
                      <w:spacing w:val="-42"/>
                      <w:sz w:val="21"/>
                      <w:szCs w:val="21"/>
                    </w:rPr>
                    <w:t xml:space="preserve"> </w:t>
                  </w:r>
                  <w:r>
                    <w:rPr>
                      <w:color w:val="auto"/>
                      <w:spacing w:val="-2"/>
                      <w:sz w:val="21"/>
                      <w:szCs w:val="21"/>
                    </w:rPr>
                    <w:t xml:space="preserve">35 </w:t>
                  </w:r>
                  <w:r>
                    <w:rPr>
                      <w:rFonts w:ascii="宋体" w:hAnsi="宋体" w:eastAsia="宋体" w:cs="宋体"/>
                      <w:color w:val="auto"/>
                      <w:spacing w:val="-2"/>
                      <w:sz w:val="21"/>
                      <w:szCs w:val="21"/>
                    </w:rPr>
                    <w:t>万把、木吉他</w:t>
                  </w:r>
                  <w:r>
                    <w:rPr>
                      <w:rFonts w:ascii="宋体" w:hAnsi="宋体" w:eastAsia="宋体" w:cs="宋体"/>
                      <w:color w:val="auto"/>
                      <w:spacing w:val="-27"/>
                      <w:sz w:val="21"/>
                      <w:szCs w:val="21"/>
                    </w:rPr>
                    <w:t xml:space="preserve"> </w:t>
                  </w:r>
                  <w:r>
                    <w:rPr>
                      <w:color w:val="auto"/>
                      <w:spacing w:val="-2"/>
                      <w:sz w:val="21"/>
                      <w:szCs w:val="21"/>
                    </w:rPr>
                    <w:t xml:space="preserve">15 </w:t>
                  </w:r>
                  <w:r>
                    <w:rPr>
                      <w:rFonts w:ascii="宋体" w:hAnsi="宋体" w:eastAsia="宋体" w:cs="宋体"/>
                      <w:color w:val="auto"/>
                      <w:spacing w:val="-2"/>
                      <w:sz w:val="21"/>
                      <w:szCs w:val="21"/>
                    </w:rPr>
                    <w:t>万把</w:t>
                  </w:r>
                </w:p>
              </w:tc>
              <w:tc>
                <w:tcPr>
                  <w:tcW w:w="1878" w:type="dxa"/>
                  <w:vAlign w:val="center"/>
                </w:tcPr>
                <w:p w14:paraId="53C1E8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2025</w:t>
                  </w:r>
                  <w:r>
                    <w:rPr>
                      <w:rFonts w:ascii="宋体" w:hAnsi="宋体" w:eastAsia="宋体" w:cs="宋体"/>
                      <w:color w:val="auto"/>
                      <w:spacing w:val="-2"/>
                      <w:sz w:val="21"/>
                      <w:szCs w:val="21"/>
                    </w:rPr>
                    <w:t>〕</w:t>
                  </w:r>
                  <w:r>
                    <w:rPr>
                      <w:color w:val="auto"/>
                      <w:spacing w:val="-2"/>
                      <w:sz w:val="21"/>
                      <w:szCs w:val="21"/>
                    </w:rPr>
                    <w:t>02</w:t>
                  </w:r>
                  <w:r>
                    <w:rPr>
                      <w:color w:val="auto"/>
                      <w:spacing w:val="26"/>
                      <w:w w:val="101"/>
                      <w:sz w:val="21"/>
                      <w:szCs w:val="21"/>
                    </w:rPr>
                    <w:t xml:space="preserve"> </w:t>
                  </w:r>
                  <w:r>
                    <w:rPr>
                      <w:rFonts w:ascii="宋体" w:hAnsi="宋体" w:eastAsia="宋体" w:cs="宋体"/>
                      <w:color w:val="auto"/>
                      <w:spacing w:val="-2"/>
                      <w:sz w:val="21"/>
                      <w:szCs w:val="21"/>
                    </w:rPr>
                    <w:t>号、韶环乐</w:t>
                  </w:r>
                  <w:r>
                    <w:rPr>
                      <w:rFonts w:ascii="宋体" w:hAnsi="宋体" w:eastAsia="宋体" w:cs="宋体"/>
                      <w:color w:val="auto"/>
                      <w:spacing w:val="-1"/>
                      <w:sz w:val="21"/>
                      <w:szCs w:val="21"/>
                    </w:rPr>
                    <w:t>审〔</w:t>
                  </w:r>
                  <w:r>
                    <w:rPr>
                      <w:color w:val="auto"/>
                      <w:spacing w:val="-1"/>
                      <w:sz w:val="21"/>
                      <w:szCs w:val="21"/>
                    </w:rPr>
                    <w:t>2026</w:t>
                  </w:r>
                  <w:r>
                    <w:rPr>
                      <w:rFonts w:ascii="宋体" w:hAnsi="宋体" w:eastAsia="宋体" w:cs="宋体"/>
                      <w:color w:val="auto"/>
                      <w:spacing w:val="-1"/>
                      <w:sz w:val="21"/>
                      <w:szCs w:val="21"/>
                    </w:rPr>
                    <w:t>〕</w:t>
                  </w:r>
                  <w:r>
                    <w:rPr>
                      <w:color w:val="auto"/>
                      <w:spacing w:val="-1"/>
                      <w:sz w:val="21"/>
                      <w:szCs w:val="21"/>
                    </w:rPr>
                    <w:t xml:space="preserve">03 </w:t>
                  </w:r>
                  <w:r>
                    <w:rPr>
                      <w:rFonts w:ascii="宋体" w:hAnsi="宋体" w:eastAsia="宋体" w:cs="宋体"/>
                      <w:color w:val="auto"/>
                      <w:spacing w:val="-1"/>
                      <w:sz w:val="21"/>
                      <w:szCs w:val="21"/>
                    </w:rPr>
                    <w:t>号</w:t>
                  </w:r>
                </w:p>
              </w:tc>
            </w:tr>
            <w:tr w14:paraId="75C77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2F2D64C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81</w:t>
                  </w:r>
                </w:p>
              </w:tc>
              <w:tc>
                <w:tcPr>
                  <w:tcW w:w="961" w:type="dxa"/>
                  <w:vAlign w:val="center"/>
                </w:tcPr>
                <w:p w14:paraId="40E245B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广东维创兴电子科技有限公</w:t>
                  </w:r>
                </w:p>
                <w:p w14:paraId="2C64A3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6EF1F3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030C40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3C6EC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3925.74</w:t>
                  </w:r>
                </w:p>
              </w:tc>
              <w:tc>
                <w:tcPr>
                  <w:tcW w:w="2053" w:type="dxa"/>
                  <w:vAlign w:val="center"/>
                </w:tcPr>
                <w:p w14:paraId="7E2903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年产触摸屏</w:t>
                  </w:r>
                  <w:r>
                    <w:rPr>
                      <w:rFonts w:ascii="宋体" w:hAnsi="宋体" w:eastAsia="宋体" w:cs="宋体"/>
                      <w:color w:val="auto"/>
                      <w:spacing w:val="-21"/>
                      <w:sz w:val="21"/>
                      <w:szCs w:val="21"/>
                    </w:rPr>
                    <w:t xml:space="preserve"> </w:t>
                  </w:r>
                  <w:r>
                    <w:rPr>
                      <w:color w:val="auto"/>
                      <w:spacing w:val="-3"/>
                      <w:sz w:val="21"/>
                      <w:szCs w:val="21"/>
                    </w:rPr>
                    <w:t xml:space="preserve">100 </w:t>
                  </w:r>
                  <w:r>
                    <w:rPr>
                      <w:rFonts w:ascii="宋体" w:hAnsi="宋体" w:eastAsia="宋体" w:cs="宋体"/>
                      <w:color w:val="auto"/>
                      <w:spacing w:val="-3"/>
                      <w:sz w:val="21"/>
                      <w:szCs w:val="21"/>
                    </w:rPr>
                    <w:t>万片</w:t>
                  </w:r>
                </w:p>
              </w:tc>
              <w:tc>
                <w:tcPr>
                  <w:tcW w:w="1878" w:type="dxa"/>
                  <w:vAlign w:val="center"/>
                </w:tcPr>
                <w:p w14:paraId="01CFB1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20</w:t>
                  </w:r>
                  <w:r>
                    <w:rPr>
                      <w:color w:val="auto"/>
                      <w:spacing w:val="18"/>
                      <w:sz w:val="21"/>
                      <w:szCs w:val="21"/>
                    </w:rPr>
                    <w:t xml:space="preserve"> </w:t>
                  </w:r>
                  <w:r>
                    <w:rPr>
                      <w:rFonts w:ascii="宋体" w:hAnsi="宋体" w:eastAsia="宋体" w:cs="宋体"/>
                      <w:color w:val="auto"/>
                      <w:spacing w:val="-1"/>
                      <w:sz w:val="21"/>
                      <w:szCs w:val="21"/>
                    </w:rPr>
                    <w:t>号</w:t>
                  </w:r>
                </w:p>
              </w:tc>
            </w:tr>
            <w:tr w14:paraId="2BDAE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209DD67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02EA305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82</w:t>
                  </w:r>
                </w:p>
              </w:tc>
              <w:tc>
                <w:tcPr>
                  <w:tcW w:w="961" w:type="dxa"/>
                  <w:vAlign w:val="center"/>
                </w:tcPr>
                <w:p w14:paraId="1A88F4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韶关金利达塑料制品有限公</w:t>
                  </w:r>
                </w:p>
                <w:p w14:paraId="4AF7EF0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6294F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71B2A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2495CCB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6E59D0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业、废弃资源综合</w:t>
                  </w:r>
                </w:p>
                <w:p w14:paraId="4BD65F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利用业</w:t>
                  </w:r>
                </w:p>
              </w:tc>
              <w:tc>
                <w:tcPr>
                  <w:tcW w:w="1140" w:type="dxa"/>
                  <w:vAlign w:val="center"/>
                </w:tcPr>
                <w:p w14:paraId="7262735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282DC8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4"/>
                      <w:sz w:val="21"/>
                      <w:szCs w:val="21"/>
                    </w:rPr>
                    <w:t>18748.8</w:t>
                  </w:r>
                </w:p>
              </w:tc>
              <w:tc>
                <w:tcPr>
                  <w:tcW w:w="2053" w:type="dxa"/>
                  <w:vAlign w:val="center"/>
                </w:tcPr>
                <w:p w14:paraId="538A757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568DE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年产再生塑胶颗粒</w:t>
                  </w:r>
                  <w:r>
                    <w:rPr>
                      <w:rFonts w:ascii="宋体" w:hAnsi="宋体" w:eastAsia="宋体" w:cs="宋体"/>
                      <w:color w:val="auto"/>
                      <w:spacing w:val="-34"/>
                      <w:sz w:val="21"/>
                      <w:szCs w:val="21"/>
                    </w:rPr>
                    <w:t xml:space="preserve"> </w:t>
                  </w:r>
                  <w:r>
                    <w:rPr>
                      <w:color w:val="auto"/>
                      <w:spacing w:val="-2"/>
                      <w:sz w:val="21"/>
                      <w:szCs w:val="21"/>
                    </w:rPr>
                    <w:t>3000</w:t>
                  </w:r>
                  <w:r>
                    <w:rPr>
                      <w:color w:val="auto"/>
                      <w:spacing w:val="16"/>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1D4F7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16EB59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13</w:t>
                  </w:r>
                  <w:r>
                    <w:rPr>
                      <w:color w:val="auto"/>
                      <w:spacing w:val="18"/>
                      <w:sz w:val="21"/>
                      <w:szCs w:val="21"/>
                    </w:rPr>
                    <w:t xml:space="preserve"> </w:t>
                  </w:r>
                  <w:r>
                    <w:rPr>
                      <w:rFonts w:ascii="宋体" w:hAnsi="宋体" w:eastAsia="宋体" w:cs="宋体"/>
                      <w:color w:val="auto"/>
                      <w:spacing w:val="-1"/>
                      <w:sz w:val="21"/>
                      <w:szCs w:val="21"/>
                    </w:rPr>
                    <w:t>号</w:t>
                  </w:r>
                </w:p>
              </w:tc>
            </w:tr>
            <w:tr w14:paraId="033F2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34F72AC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83</w:t>
                  </w:r>
                </w:p>
              </w:tc>
              <w:tc>
                <w:tcPr>
                  <w:tcW w:w="961" w:type="dxa"/>
                  <w:vAlign w:val="center"/>
                </w:tcPr>
                <w:p w14:paraId="4BCADA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广东铭洋应急消防器材有限</w:t>
                  </w:r>
                </w:p>
                <w:p w14:paraId="467BA1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686457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CC4C79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专用设备制造业</w:t>
                  </w:r>
                </w:p>
              </w:tc>
              <w:tc>
                <w:tcPr>
                  <w:tcW w:w="1140" w:type="dxa"/>
                  <w:vAlign w:val="center"/>
                </w:tcPr>
                <w:p w14:paraId="38758F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9850</w:t>
                  </w:r>
                </w:p>
              </w:tc>
              <w:tc>
                <w:tcPr>
                  <w:tcW w:w="2053" w:type="dxa"/>
                  <w:vAlign w:val="center"/>
                </w:tcPr>
                <w:p w14:paraId="05FD89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年产过滤式消防自救呼吸器</w:t>
                  </w:r>
                  <w:r>
                    <w:rPr>
                      <w:rFonts w:ascii="宋体" w:hAnsi="宋体" w:eastAsia="宋体" w:cs="宋体"/>
                      <w:color w:val="auto"/>
                      <w:spacing w:val="-41"/>
                      <w:sz w:val="21"/>
                      <w:szCs w:val="21"/>
                    </w:rPr>
                    <w:t xml:space="preserve"> </w:t>
                  </w:r>
                  <w:r>
                    <w:rPr>
                      <w:color w:val="auto"/>
                      <w:spacing w:val="-2"/>
                      <w:sz w:val="21"/>
                      <w:szCs w:val="21"/>
                    </w:rPr>
                    <w:t xml:space="preserve">750 </w:t>
                  </w:r>
                  <w:r>
                    <w:rPr>
                      <w:rFonts w:ascii="宋体" w:hAnsi="宋体" w:eastAsia="宋体" w:cs="宋体"/>
                      <w:color w:val="auto"/>
                      <w:spacing w:val="-2"/>
                      <w:sz w:val="21"/>
                      <w:szCs w:val="21"/>
                    </w:rPr>
                    <w:t>万具，配套催化剂</w:t>
                  </w:r>
                  <w:r>
                    <w:rPr>
                      <w:rFonts w:ascii="宋体" w:hAnsi="宋体" w:eastAsia="宋体" w:cs="宋体"/>
                      <w:color w:val="auto"/>
                      <w:spacing w:val="-47"/>
                      <w:sz w:val="21"/>
                      <w:szCs w:val="21"/>
                    </w:rPr>
                    <w:t xml:space="preserve"> </w:t>
                  </w:r>
                  <w:r>
                    <w:rPr>
                      <w:color w:val="auto"/>
                      <w:spacing w:val="-2"/>
                      <w:sz w:val="21"/>
                      <w:szCs w:val="21"/>
                    </w:rPr>
                    <w:t>720</w:t>
                  </w:r>
                  <w:r>
                    <w:rPr>
                      <w:color w:val="auto"/>
                      <w:spacing w:val="18"/>
                      <w:w w:val="101"/>
                      <w:sz w:val="21"/>
                      <w:szCs w:val="21"/>
                    </w:rPr>
                    <w:t xml:space="preserve"> </w:t>
                  </w:r>
                  <w:r>
                    <w:rPr>
                      <w:rFonts w:ascii="宋体" w:hAnsi="宋体" w:eastAsia="宋体" w:cs="宋体"/>
                      <w:color w:val="auto"/>
                      <w:spacing w:val="-2"/>
                      <w:sz w:val="21"/>
                      <w:szCs w:val="21"/>
                    </w:rPr>
                    <w:t>吨，</w:t>
                  </w:r>
                </w:p>
                <w:p w14:paraId="6EBAF91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卡加拉特剂</w:t>
                  </w:r>
                  <w:r>
                    <w:rPr>
                      <w:rFonts w:ascii="宋体" w:hAnsi="宋体" w:eastAsia="宋体" w:cs="宋体"/>
                      <w:color w:val="auto"/>
                      <w:spacing w:val="-23"/>
                      <w:sz w:val="21"/>
                      <w:szCs w:val="21"/>
                    </w:rPr>
                    <w:t xml:space="preserve"> </w:t>
                  </w:r>
                  <w:r>
                    <w:rPr>
                      <w:color w:val="auto"/>
                      <w:spacing w:val="-4"/>
                      <w:sz w:val="21"/>
                      <w:szCs w:val="21"/>
                    </w:rPr>
                    <w:t>1080</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05FA598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韶环审〔</w:t>
                  </w:r>
                  <w:r>
                    <w:rPr>
                      <w:color w:val="auto"/>
                      <w:sz w:val="21"/>
                      <w:szCs w:val="21"/>
                    </w:rPr>
                    <w:t>2025</w:t>
                  </w:r>
                  <w:r>
                    <w:rPr>
                      <w:rFonts w:ascii="宋体" w:hAnsi="宋体" w:eastAsia="宋体" w:cs="宋体"/>
                      <w:color w:val="auto"/>
                      <w:sz w:val="21"/>
                      <w:szCs w:val="21"/>
                    </w:rPr>
                    <w:t>〕</w:t>
                  </w:r>
                  <w:r>
                    <w:rPr>
                      <w:color w:val="auto"/>
                      <w:sz w:val="21"/>
                      <w:szCs w:val="21"/>
                    </w:rPr>
                    <w:t xml:space="preserve">24  </w:t>
                  </w:r>
                  <w:r>
                    <w:rPr>
                      <w:rFonts w:ascii="宋体" w:hAnsi="宋体" w:eastAsia="宋体" w:cs="宋体"/>
                      <w:color w:val="auto"/>
                      <w:sz w:val="21"/>
                      <w:szCs w:val="21"/>
                    </w:rPr>
                    <w:t>号</w:t>
                  </w:r>
                </w:p>
              </w:tc>
            </w:tr>
            <w:tr w14:paraId="39AE5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11" w:type="dxa"/>
                  <w:vAlign w:val="center"/>
                </w:tcPr>
                <w:p w14:paraId="53BB93A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84</w:t>
                  </w:r>
                </w:p>
              </w:tc>
              <w:tc>
                <w:tcPr>
                  <w:tcW w:w="961" w:type="dxa"/>
                  <w:vAlign w:val="center"/>
                </w:tcPr>
                <w:p w14:paraId="790622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韶关市建兴新材料科技有限</w:t>
                  </w:r>
                </w:p>
                <w:p w14:paraId="47A6D17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公司</w:t>
                  </w:r>
                </w:p>
              </w:tc>
              <w:tc>
                <w:tcPr>
                  <w:tcW w:w="600" w:type="dxa"/>
                  <w:vAlign w:val="center"/>
                </w:tcPr>
                <w:p w14:paraId="6975ACC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04002EC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非金属矿采选业</w:t>
                  </w:r>
                </w:p>
              </w:tc>
              <w:tc>
                <w:tcPr>
                  <w:tcW w:w="1140" w:type="dxa"/>
                  <w:vAlign w:val="center"/>
                </w:tcPr>
                <w:p w14:paraId="6667F70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33562.6</w:t>
                  </w:r>
                </w:p>
              </w:tc>
              <w:tc>
                <w:tcPr>
                  <w:tcW w:w="2053" w:type="dxa"/>
                  <w:vAlign w:val="center"/>
                </w:tcPr>
                <w:p w14:paraId="7C3064F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年产堂石精矿</w:t>
                  </w:r>
                  <w:r>
                    <w:rPr>
                      <w:rFonts w:ascii="宋体" w:hAnsi="宋体" w:eastAsia="宋体" w:cs="宋体"/>
                      <w:color w:val="auto"/>
                      <w:spacing w:val="-34"/>
                      <w:sz w:val="21"/>
                      <w:szCs w:val="21"/>
                    </w:rPr>
                    <w:t xml:space="preserve"> </w:t>
                  </w:r>
                  <w:r>
                    <w:rPr>
                      <w:color w:val="auto"/>
                      <w:spacing w:val="-2"/>
                      <w:sz w:val="21"/>
                      <w:szCs w:val="21"/>
                    </w:rPr>
                    <w:t xml:space="preserve">5 </w:t>
                  </w:r>
                  <w:r>
                    <w:rPr>
                      <w:rFonts w:ascii="宋体" w:hAnsi="宋体" w:eastAsia="宋体" w:cs="宋体"/>
                      <w:color w:val="auto"/>
                      <w:spacing w:val="-2"/>
                      <w:sz w:val="21"/>
                      <w:szCs w:val="21"/>
                    </w:rPr>
                    <w:t>万吨</w:t>
                  </w:r>
                </w:p>
              </w:tc>
              <w:tc>
                <w:tcPr>
                  <w:tcW w:w="1878" w:type="dxa"/>
                  <w:vAlign w:val="center"/>
                </w:tcPr>
                <w:p w14:paraId="5B3757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韶环乐审〔</w:t>
                  </w:r>
                  <w:r>
                    <w:rPr>
                      <w:color w:val="auto"/>
                      <w:sz w:val="21"/>
                      <w:szCs w:val="21"/>
                    </w:rPr>
                    <w:t>2025</w:t>
                  </w:r>
                  <w:r>
                    <w:rPr>
                      <w:rFonts w:ascii="宋体" w:hAnsi="宋体" w:eastAsia="宋体" w:cs="宋体"/>
                      <w:color w:val="auto"/>
                      <w:sz w:val="21"/>
                      <w:szCs w:val="21"/>
                    </w:rPr>
                    <w:t>〕</w:t>
                  </w:r>
                  <w:r>
                    <w:rPr>
                      <w:color w:val="auto"/>
                      <w:sz w:val="21"/>
                      <w:szCs w:val="21"/>
                    </w:rPr>
                    <w:t xml:space="preserve">14  </w:t>
                  </w:r>
                  <w:r>
                    <w:rPr>
                      <w:rFonts w:ascii="宋体" w:hAnsi="宋体" w:eastAsia="宋体" w:cs="宋体"/>
                      <w:color w:val="auto"/>
                      <w:sz w:val="21"/>
                      <w:szCs w:val="21"/>
                    </w:rPr>
                    <w:t>号</w:t>
                  </w:r>
                </w:p>
              </w:tc>
            </w:tr>
            <w:tr w14:paraId="5AF2B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F4C34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85</w:t>
                  </w:r>
                </w:p>
              </w:tc>
              <w:tc>
                <w:tcPr>
                  <w:tcW w:w="961" w:type="dxa"/>
                  <w:vAlign w:val="center"/>
                </w:tcPr>
                <w:p w14:paraId="49C7677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韶关市泳金构造机械有限公</w:t>
                  </w:r>
                </w:p>
                <w:p w14:paraId="0DB8F55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04E636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3E204F2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726A6C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20477.32</w:t>
                  </w:r>
                </w:p>
              </w:tc>
              <w:tc>
                <w:tcPr>
                  <w:tcW w:w="2053" w:type="dxa"/>
                  <w:vAlign w:val="center"/>
                </w:tcPr>
                <w:p w14:paraId="30A26A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年产钢结构成品</w:t>
                  </w:r>
                  <w:r>
                    <w:rPr>
                      <w:rFonts w:ascii="宋体" w:hAnsi="宋体" w:eastAsia="宋体" w:cs="宋体"/>
                      <w:color w:val="auto"/>
                      <w:spacing w:val="-28"/>
                      <w:sz w:val="21"/>
                      <w:szCs w:val="21"/>
                    </w:rPr>
                    <w:t xml:space="preserve"> </w:t>
                  </w:r>
                  <w:r>
                    <w:rPr>
                      <w:color w:val="auto"/>
                      <w:spacing w:val="-2"/>
                      <w:sz w:val="21"/>
                      <w:szCs w:val="21"/>
                    </w:rPr>
                    <w:t xml:space="preserve">1.3 </w:t>
                  </w:r>
                  <w:r>
                    <w:rPr>
                      <w:rFonts w:ascii="宋体" w:hAnsi="宋体" w:eastAsia="宋体" w:cs="宋体"/>
                      <w:color w:val="auto"/>
                      <w:spacing w:val="-2"/>
                      <w:sz w:val="21"/>
                      <w:szCs w:val="21"/>
                    </w:rPr>
                    <w:t>万吨</w:t>
                  </w:r>
                </w:p>
              </w:tc>
              <w:tc>
                <w:tcPr>
                  <w:tcW w:w="1878" w:type="dxa"/>
                  <w:vAlign w:val="center"/>
                </w:tcPr>
                <w:p w14:paraId="081B0CF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061D9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6F33BB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86</w:t>
                  </w:r>
                </w:p>
              </w:tc>
              <w:tc>
                <w:tcPr>
                  <w:tcW w:w="961" w:type="dxa"/>
                  <w:vAlign w:val="center"/>
                </w:tcPr>
                <w:p w14:paraId="70C28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广东欣汇复合材料有限公司</w:t>
                  </w:r>
                </w:p>
              </w:tc>
              <w:tc>
                <w:tcPr>
                  <w:tcW w:w="600" w:type="dxa"/>
                  <w:vAlign w:val="center"/>
                </w:tcPr>
                <w:p w14:paraId="4B95D9D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707526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非金属矿物制品业</w:t>
                  </w:r>
                </w:p>
              </w:tc>
              <w:tc>
                <w:tcPr>
                  <w:tcW w:w="1140" w:type="dxa"/>
                  <w:vAlign w:val="center"/>
                </w:tcPr>
                <w:p w14:paraId="7454B5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29024.94</w:t>
                  </w:r>
                </w:p>
              </w:tc>
              <w:tc>
                <w:tcPr>
                  <w:tcW w:w="2053" w:type="dxa"/>
                  <w:vAlign w:val="center"/>
                </w:tcPr>
                <w:p w14:paraId="5CBF884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年产玻璃纤维增强塑料制品</w:t>
                  </w:r>
                  <w:r>
                    <w:rPr>
                      <w:rFonts w:ascii="宋体" w:hAnsi="宋体" w:eastAsia="宋体" w:cs="宋体"/>
                      <w:color w:val="auto"/>
                      <w:spacing w:val="-27"/>
                      <w:sz w:val="21"/>
                      <w:szCs w:val="21"/>
                    </w:rPr>
                    <w:t xml:space="preserve"> </w:t>
                  </w:r>
                  <w:r>
                    <w:rPr>
                      <w:color w:val="auto"/>
                      <w:spacing w:val="-3"/>
                      <w:sz w:val="21"/>
                      <w:szCs w:val="21"/>
                    </w:rPr>
                    <w:t>7200</w:t>
                  </w:r>
                  <w:r>
                    <w:rPr>
                      <w:color w:val="auto"/>
                      <w:spacing w:val="19"/>
                      <w:sz w:val="21"/>
                      <w:szCs w:val="21"/>
                    </w:rPr>
                    <w:t xml:space="preserve"> </w:t>
                  </w:r>
                  <w:r>
                    <w:rPr>
                      <w:rFonts w:ascii="宋体" w:hAnsi="宋体" w:eastAsia="宋体" w:cs="宋体"/>
                      <w:color w:val="auto"/>
                      <w:spacing w:val="-3"/>
                      <w:sz w:val="21"/>
                      <w:szCs w:val="21"/>
                    </w:rPr>
                    <w:t>吨、玻纤布</w:t>
                  </w:r>
                  <w:r>
                    <w:rPr>
                      <w:rFonts w:ascii="宋体" w:hAnsi="宋体" w:eastAsia="宋体" w:cs="宋体"/>
                      <w:color w:val="auto"/>
                      <w:spacing w:val="-30"/>
                      <w:sz w:val="21"/>
                      <w:szCs w:val="21"/>
                    </w:rPr>
                    <w:t xml:space="preserve"> </w:t>
                  </w:r>
                  <w:r>
                    <w:rPr>
                      <w:color w:val="auto"/>
                      <w:spacing w:val="-3"/>
                      <w:sz w:val="21"/>
                      <w:szCs w:val="21"/>
                    </w:rPr>
                    <w:t>1200</w:t>
                  </w:r>
                  <w:r>
                    <w:rPr>
                      <w:color w:val="auto"/>
                      <w:spacing w:val="16"/>
                      <w:sz w:val="21"/>
                      <w:szCs w:val="21"/>
                    </w:rPr>
                    <w:t xml:space="preserve"> </w:t>
                  </w:r>
                  <w:r>
                    <w:rPr>
                      <w:rFonts w:ascii="宋体" w:hAnsi="宋体" w:eastAsia="宋体" w:cs="宋体"/>
                      <w:color w:val="auto"/>
                      <w:spacing w:val="-3"/>
                      <w:sz w:val="21"/>
                      <w:szCs w:val="21"/>
                    </w:rPr>
                    <w:t>吨、生活</w:t>
                  </w:r>
                </w:p>
                <w:p w14:paraId="7CA0CFC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用品</w:t>
                  </w:r>
                  <w:r>
                    <w:rPr>
                      <w:rFonts w:ascii="宋体" w:hAnsi="宋体" w:eastAsia="宋体" w:cs="宋体"/>
                      <w:color w:val="auto"/>
                      <w:spacing w:val="-43"/>
                      <w:sz w:val="21"/>
                      <w:szCs w:val="21"/>
                    </w:rPr>
                    <w:t xml:space="preserve"> </w:t>
                  </w:r>
                  <w:r>
                    <w:rPr>
                      <w:color w:val="auto"/>
                      <w:spacing w:val="-4"/>
                      <w:sz w:val="21"/>
                      <w:szCs w:val="21"/>
                    </w:rPr>
                    <w:t>3500</w:t>
                  </w:r>
                  <w:r>
                    <w:rPr>
                      <w:color w:val="auto"/>
                      <w:spacing w:val="16"/>
                      <w:w w:val="101"/>
                      <w:sz w:val="21"/>
                      <w:szCs w:val="21"/>
                    </w:rPr>
                    <w:t xml:space="preserve"> </w:t>
                  </w:r>
                  <w:r>
                    <w:rPr>
                      <w:rFonts w:ascii="宋体" w:hAnsi="宋体" w:eastAsia="宋体" w:cs="宋体"/>
                      <w:color w:val="auto"/>
                      <w:spacing w:val="-4"/>
                      <w:sz w:val="21"/>
                      <w:szCs w:val="21"/>
                    </w:rPr>
                    <w:t>吨、塑料配件</w:t>
                  </w:r>
                  <w:r>
                    <w:rPr>
                      <w:rFonts w:ascii="宋体" w:hAnsi="宋体" w:eastAsia="宋体" w:cs="宋体"/>
                      <w:color w:val="auto"/>
                      <w:spacing w:val="-30"/>
                      <w:sz w:val="21"/>
                      <w:szCs w:val="21"/>
                    </w:rPr>
                    <w:t xml:space="preserve"> </w:t>
                  </w:r>
                  <w:r>
                    <w:rPr>
                      <w:color w:val="auto"/>
                      <w:spacing w:val="-4"/>
                      <w:sz w:val="21"/>
                      <w:szCs w:val="21"/>
                    </w:rPr>
                    <w:t>15</w:t>
                  </w:r>
                  <w:r>
                    <w:rPr>
                      <w:color w:val="auto"/>
                      <w:spacing w:val="19"/>
                      <w:sz w:val="21"/>
                      <w:szCs w:val="21"/>
                    </w:rPr>
                    <w:t xml:space="preserve"> </w:t>
                  </w:r>
                  <w:r>
                    <w:rPr>
                      <w:rFonts w:ascii="宋体" w:hAnsi="宋体" w:eastAsia="宋体" w:cs="宋体"/>
                      <w:color w:val="auto"/>
                      <w:spacing w:val="-4"/>
                      <w:sz w:val="21"/>
                      <w:szCs w:val="21"/>
                    </w:rPr>
                    <w:t>吨</w:t>
                  </w:r>
                </w:p>
              </w:tc>
              <w:tc>
                <w:tcPr>
                  <w:tcW w:w="1878" w:type="dxa"/>
                  <w:vAlign w:val="center"/>
                </w:tcPr>
                <w:p w14:paraId="61C6F3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r w14:paraId="69A6F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5B7E632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87</w:t>
                  </w:r>
                </w:p>
              </w:tc>
              <w:tc>
                <w:tcPr>
                  <w:tcW w:w="961" w:type="dxa"/>
                  <w:vAlign w:val="center"/>
                </w:tcPr>
                <w:p w14:paraId="1A00DA2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乐昌市鑫盛塑业有限公司</w:t>
                  </w:r>
                </w:p>
              </w:tc>
              <w:tc>
                <w:tcPr>
                  <w:tcW w:w="600" w:type="dxa"/>
                  <w:vAlign w:val="center"/>
                </w:tcPr>
                <w:p w14:paraId="365EAEF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58C00FF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2220DB1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1182.71</w:t>
                  </w:r>
                </w:p>
              </w:tc>
              <w:tc>
                <w:tcPr>
                  <w:tcW w:w="2053" w:type="dxa"/>
                  <w:vAlign w:val="center"/>
                </w:tcPr>
                <w:p w14:paraId="28B9B49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年产编织袋</w:t>
                  </w:r>
                  <w:r>
                    <w:rPr>
                      <w:rFonts w:ascii="宋体" w:hAnsi="宋体" w:eastAsia="宋体" w:cs="宋体"/>
                      <w:color w:val="auto"/>
                      <w:spacing w:val="-41"/>
                      <w:sz w:val="21"/>
                      <w:szCs w:val="21"/>
                    </w:rPr>
                    <w:t xml:space="preserve"> </w:t>
                  </w:r>
                  <w:r>
                    <w:rPr>
                      <w:color w:val="auto"/>
                      <w:spacing w:val="-2"/>
                      <w:sz w:val="21"/>
                      <w:szCs w:val="21"/>
                    </w:rPr>
                    <w:t>5000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021A75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"bookmark253"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]21</w:t>
                  </w:r>
                  <w:r>
                    <w:rPr>
                      <w:color w:val="auto"/>
                      <w:spacing w:val="24"/>
                      <w:sz w:val="21"/>
                      <w:szCs w:val="21"/>
                    </w:rPr>
                    <w:t xml:space="preserve"> </w:t>
                  </w:r>
                  <w:r>
                    <w:rPr>
                      <w:rFonts w:ascii="宋体" w:hAnsi="宋体" w:eastAsia="宋体" w:cs="宋体"/>
                      <w:color w:val="auto"/>
                      <w:spacing w:val="-2"/>
                      <w:sz w:val="21"/>
                      <w:szCs w:val="21"/>
                    </w:rPr>
                    <w:t>号</w:t>
                  </w:r>
                </w:p>
              </w:tc>
            </w:tr>
            <w:tr w14:paraId="7BDFA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6F3651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88</w:t>
                  </w:r>
                </w:p>
              </w:tc>
              <w:tc>
                <w:tcPr>
                  <w:tcW w:w="961" w:type="dxa"/>
                  <w:vAlign w:val="center"/>
                </w:tcPr>
                <w:p w14:paraId="1259E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广东金康新材料有限公司</w:t>
                  </w:r>
                </w:p>
              </w:tc>
              <w:tc>
                <w:tcPr>
                  <w:tcW w:w="600" w:type="dxa"/>
                  <w:vAlign w:val="center"/>
                </w:tcPr>
                <w:p w14:paraId="7E81648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F75593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化学原料和化学制</w:t>
                  </w:r>
                  <w:r>
                    <w:rPr>
                      <w:rFonts w:ascii="宋体" w:hAnsi="宋体" w:eastAsia="宋体" w:cs="宋体"/>
                      <w:color w:val="auto"/>
                      <w:spacing w:val="-6"/>
                      <w:sz w:val="21"/>
                      <w:szCs w:val="21"/>
                    </w:rPr>
                    <w:t>品制造业</w:t>
                  </w:r>
                </w:p>
              </w:tc>
              <w:tc>
                <w:tcPr>
                  <w:tcW w:w="1140" w:type="dxa"/>
                  <w:vAlign w:val="center"/>
                </w:tcPr>
                <w:p w14:paraId="6693A6B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11260.7</w:t>
                  </w:r>
                </w:p>
              </w:tc>
              <w:tc>
                <w:tcPr>
                  <w:tcW w:w="2053" w:type="dxa"/>
                  <w:vAlign w:val="center"/>
                </w:tcPr>
                <w:p w14:paraId="6BE728F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49"/>
                      <w:sz w:val="21"/>
                      <w:szCs w:val="21"/>
                    </w:rPr>
                    <w:t xml:space="preserve"> </w:t>
                  </w:r>
                  <w:r>
                    <w:rPr>
                      <w:color w:val="auto"/>
                      <w:spacing w:val="-2"/>
                      <w:sz w:val="21"/>
                      <w:szCs w:val="21"/>
                    </w:rPr>
                    <w:t xml:space="preserve">PVC </w:t>
                  </w:r>
                  <w:r>
                    <w:rPr>
                      <w:rFonts w:ascii="宋体" w:hAnsi="宋体" w:eastAsia="宋体" w:cs="宋体"/>
                      <w:color w:val="auto"/>
                      <w:spacing w:val="-2"/>
                      <w:sz w:val="21"/>
                      <w:szCs w:val="21"/>
                    </w:rPr>
                    <w:t>稳定剂</w:t>
                  </w:r>
                  <w:r>
                    <w:rPr>
                      <w:rFonts w:ascii="宋体" w:hAnsi="宋体" w:eastAsia="宋体" w:cs="宋体"/>
                      <w:color w:val="auto"/>
                      <w:spacing w:val="-43"/>
                      <w:sz w:val="21"/>
                      <w:szCs w:val="21"/>
                    </w:rPr>
                    <w:t xml:space="preserve"> </w:t>
                  </w:r>
                  <w:r>
                    <w:rPr>
                      <w:color w:val="auto"/>
                      <w:spacing w:val="-2"/>
                      <w:sz w:val="21"/>
                      <w:szCs w:val="21"/>
                    </w:rPr>
                    <w:t>3600</w:t>
                  </w:r>
                  <w:r>
                    <w:rPr>
                      <w:color w:val="auto"/>
                      <w:spacing w:val="18"/>
                      <w:w w:val="101"/>
                      <w:sz w:val="21"/>
                      <w:szCs w:val="21"/>
                    </w:rPr>
                    <w:t xml:space="preserve"> </w:t>
                  </w:r>
                  <w:r>
                    <w:rPr>
                      <w:rFonts w:ascii="宋体" w:hAnsi="宋体" w:eastAsia="宋体" w:cs="宋体"/>
                      <w:color w:val="auto"/>
                      <w:spacing w:val="-2"/>
                      <w:sz w:val="21"/>
                      <w:szCs w:val="21"/>
                    </w:rPr>
                    <w:t>吨、助剂</w:t>
                  </w:r>
                  <w:r>
                    <w:rPr>
                      <w:rFonts w:ascii="宋体" w:hAnsi="宋体" w:eastAsia="宋体" w:cs="宋体"/>
                      <w:color w:val="auto"/>
                      <w:spacing w:val="-48"/>
                      <w:sz w:val="21"/>
                      <w:szCs w:val="21"/>
                    </w:rPr>
                    <w:t xml:space="preserve"> </w:t>
                  </w:r>
                  <w:r>
                    <w:rPr>
                      <w:color w:val="auto"/>
                      <w:spacing w:val="-2"/>
                      <w:sz w:val="21"/>
                      <w:szCs w:val="21"/>
                    </w:rPr>
                    <w:t>2400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5373DCD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10 </w:t>
                  </w:r>
                  <w:r>
                    <w:rPr>
                      <w:rFonts w:ascii="宋体" w:hAnsi="宋体" w:eastAsia="宋体" w:cs="宋体"/>
                      <w:color w:val="auto"/>
                      <w:spacing w:val="-1"/>
                      <w:sz w:val="21"/>
                      <w:szCs w:val="21"/>
                    </w:rPr>
                    <w:t>号</w:t>
                  </w:r>
                </w:p>
              </w:tc>
            </w:tr>
            <w:tr w14:paraId="10678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045D97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89</w:t>
                  </w:r>
                </w:p>
              </w:tc>
              <w:tc>
                <w:tcPr>
                  <w:tcW w:w="961" w:type="dxa"/>
                  <w:vAlign w:val="center"/>
                </w:tcPr>
                <w:p w14:paraId="2D4266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韶关市恒琦耐磨材料有限公</w:t>
                  </w:r>
                </w:p>
                <w:p w14:paraId="29074DD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38897A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5D93D1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562DBA0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2200</w:t>
                  </w:r>
                </w:p>
              </w:tc>
              <w:tc>
                <w:tcPr>
                  <w:tcW w:w="2053" w:type="dxa"/>
                  <w:vAlign w:val="center"/>
                </w:tcPr>
                <w:p w14:paraId="419AE58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年产耐磨钢球</w:t>
                  </w:r>
                  <w:r>
                    <w:rPr>
                      <w:rFonts w:ascii="宋体" w:hAnsi="宋体" w:eastAsia="宋体" w:cs="宋体"/>
                      <w:color w:val="auto"/>
                      <w:spacing w:val="-24"/>
                      <w:sz w:val="21"/>
                      <w:szCs w:val="21"/>
                    </w:rPr>
                    <w:t xml:space="preserve"> </w:t>
                  </w:r>
                  <w:r>
                    <w:rPr>
                      <w:color w:val="auto"/>
                      <w:spacing w:val="-3"/>
                      <w:sz w:val="21"/>
                      <w:szCs w:val="21"/>
                    </w:rPr>
                    <w:t xml:space="preserve">1 </w:t>
                  </w:r>
                  <w:r>
                    <w:rPr>
                      <w:rFonts w:ascii="宋体" w:hAnsi="宋体" w:eastAsia="宋体" w:cs="宋体"/>
                      <w:color w:val="auto"/>
                      <w:spacing w:val="-3"/>
                      <w:sz w:val="21"/>
                      <w:szCs w:val="21"/>
                    </w:rPr>
                    <w:t>万吨</w:t>
                  </w:r>
                </w:p>
              </w:tc>
              <w:tc>
                <w:tcPr>
                  <w:tcW w:w="1878" w:type="dxa"/>
                  <w:vAlign w:val="center"/>
                </w:tcPr>
                <w:p w14:paraId="58CE5D3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r w14:paraId="1DF5F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11EC017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2B1AD6E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90</w:t>
                  </w:r>
                </w:p>
              </w:tc>
              <w:tc>
                <w:tcPr>
                  <w:tcW w:w="961" w:type="dxa"/>
                  <w:vAlign w:val="center"/>
                </w:tcPr>
                <w:p w14:paraId="5B521AA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乐昌市永成智能厨房设备制造有限公司</w:t>
                  </w:r>
                </w:p>
              </w:tc>
              <w:tc>
                <w:tcPr>
                  <w:tcW w:w="600" w:type="dxa"/>
                  <w:vAlign w:val="center"/>
                </w:tcPr>
                <w:p w14:paraId="0BBF544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0F32A2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79AA31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5776BCF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通用设备制造业</w:t>
                  </w:r>
                </w:p>
              </w:tc>
              <w:tc>
                <w:tcPr>
                  <w:tcW w:w="1140" w:type="dxa"/>
                  <w:vAlign w:val="center"/>
                </w:tcPr>
                <w:p w14:paraId="4065A2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71C8B6B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33333.33</w:t>
                  </w:r>
                </w:p>
              </w:tc>
              <w:tc>
                <w:tcPr>
                  <w:tcW w:w="2053" w:type="dxa"/>
                  <w:vAlign w:val="center"/>
                </w:tcPr>
                <w:p w14:paraId="5C7EF4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年产锅炉具类、蒸炉具类、工作台类、层架类、</w:t>
                  </w:r>
                  <w:r>
                    <w:rPr>
                      <w:rFonts w:ascii="宋体" w:hAnsi="宋体" w:eastAsia="宋体" w:cs="宋体"/>
                      <w:color w:val="auto"/>
                      <w:spacing w:val="-1"/>
                      <w:sz w:val="21"/>
                      <w:szCs w:val="21"/>
                    </w:rPr>
                    <w:t>星盆类、柜</w:t>
                  </w:r>
                </w:p>
                <w:p w14:paraId="040CE20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式类、消毒柜类、备餐类、餐车类、餐台类</w:t>
                  </w:r>
                  <w:r>
                    <w:rPr>
                      <w:rFonts w:ascii="宋体" w:hAnsi="宋体" w:eastAsia="宋体" w:cs="宋体"/>
                      <w:color w:val="auto"/>
                      <w:spacing w:val="-1"/>
                      <w:sz w:val="21"/>
                      <w:szCs w:val="21"/>
                    </w:rPr>
                    <w:t>、西餐类、环保</w:t>
                  </w:r>
                </w:p>
                <w:p w14:paraId="19EA1F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设备类</w:t>
                  </w:r>
                  <w:r>
                    <w:rPr>
                      <w:rFonts w:ascii="宋体" w:hAnsi="宋体" w:eastAsia="宋体" w:cs="宋体"/>
                      <w:color w:val="auto"/>
                      <w:spacing w:val="-27"/>
                      <w:sz w:val="21"/>
                      <w:szCs w:val="21"/>
                    </w:rPr>
                    <w:t xml:space="preserve"> </w:t>
                  </w:r>
                  <w:r>
                    <w:rPr>
                      <w:color w:val="auto"/>
                      <w:spacing w:val="-4"/>
                      <w:sz w:val="21"/>
                      <w:szCs w:val="21"/>
                    </w:rPr>
                    <w:t>12570</w:t>
                  </w:r>
                  <w:r>
                    <w:rPr>
                      <w:color w:val="auto"/>
                      <w:spacing w:val="25"/>
                      <w:sz w:val="21"/>
                      <w:szCs w:val="21"/>
                    </w:rPr>
                    <w:t xml:space="preserve"> </w:t>
                  </w:r>
                  <w:r>
                    <w:rPr>
                      <w:rFonts w:ascii="宋体" w:hAnsi="宋体" w:eastAsia="宋体" w:cs="宋体"/>
                      <w:color w:val="auto"/>
                      <w:spacing w:val="-4"/>
                      <w:sz w:val="21"/>
                      <w:szCs w:val="21"/>
                    </w:rPr>
                    <w:t>台</w:t>
                  </w:r>
                </w:p>
              </w:tc>
              <w:tc>
                <w:tcPr>
                  <w:tcW w:w="1878" w:type="dxa"/>
                  <w:vAlign w:val="center"/>
                </w:tcPr>
                <w:p w14:paraId="0A48EC3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Arial"/>
                      <w:color w:val="auto"/>
                      <w:sz w:val="21"/>
                      <w:szCs w:val="21"/>
                    </w:rPr>
                  </w:pPr>
                </w:p>
                <w:p w14:paraId="6CC8BB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"bookmark254"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]41</w:t>
                  </w:r>
                  <w:r>
                    <w:rPr>
                      <w:color w:val="auto"/>
                      <w:spacing w:val="24"/>
                      <w:sz w:val="21"/>
                      <w:szCs w:val="21"/>
                    </w:rPr>
                    <w:t xml:space="preserve"> </w:t>
                  </w:r>
                  <w:r>
                    <w:rPr>
                      <w:rFonts w:ascii="宋体" w:hAnsi="宋体" w:eastAsia="宋体" w:cs="宋体"/>
                      <w:color w:val="auto"/>
                      <w:spacing w:val="-2"/>
                      <w:sz w:val="21"/>
                      <w:szCs w:val="21"/>
                    </w:rPr>
                    <w:t>号</w:t>
                  </w:r>
                </w:p>
              </w:tc>
            </w:tr>
            <w:tr w14:paraId="6C491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469FC04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91</w:t>
                  </w:r>
                </w:p>
              </w:tc>
              <w:tc>
                <w:tcPr>
                  <w:tcW w:w="961" w:type="dxa"/>
                  <w:vAlign w:val="center"/>
                </w:tcPr>
                <w:p w14:paraId="2AC9336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广东润昕新材料有限公司</w:t>
                  </w:r>
                </w:p>
              </w:tc>
              <w:tc>
                <w:tcPr>
                  <w:tcW w:w="600" w:type="dxa"/>
                  <w:vAlign w:val="center"/>
                </w:tcPr>
                <w:p w14:paraId="1321E60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E0676E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C7B288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34905.44</w:t>
                  </w:r>
                </w:p>
              </w:tc>
              <w:tc>
                <w:tcPr>
                  <w:tcW w:w="2053" w:type="dxa"/>
                  <w:vAlign w:val="center"/>
                </w:tcPr>
                <w:p w14:paraId="77E7841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年加工铝卷原料</w:t>
                  </w:r>
                  <w:r>
                    <w:rPr>
                      <w:rFonts w:ascii="宋体" w:hAnsi="宋体" w:eastAsia="宋体" w:cs="宋体"/>
                      <w:color w:val="auto"/>
                      <w:spacing w:val="-14"/>
                      <w:sz w:val="21"/>
                      <w:szCs w:val="21"/>
                    </w:rPr>
                    <w:t xml:space="preserve"> </w:t>
                  </w:r>
                  <w:r>
                    <w:rPr>
                      <w:color w:val="auto"/>
                      <w:spacing w:val="-3"/>
                      <w:sz w:val="21"/>
                      <w:szCs w:val="21"/>
                    </w:rPr>
                    <w:t xml:space="preserve">100 </w:t>
                  </w:r>
                  <w:r>
                    <w:rPr>
                      <w:rFonts w:ascii="宋体" w:hAnsi="宋体" w:eastAsia="宋体" w:cs="宋体"/>
                      <w:color w:val="auto"/>
                      <w:spacing w:val="-3"/>
                      <w:sz w:val="21"/>
                      <w:szCs w:val="21"/>
                    </w:rPr>
                    <w:t>万平方米</w:t>
                  </w:r>
                </w:p>
              </w:tc>
              <w:tc>
                <w:tcPr>
                  <w:tcW w:w="1878" w:type="dxa"/>
                  <w:vAlign w:val="center"/>
                </w:tcPr>
                <w:p w14:paraId="661AAE2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21</w:t>
                  </w:r>
                  <w:r>
                    <w:rPr>
                      <w:color w:val="auto"/>
                      <w:spacing w:val="18"/>
                      <w:sz w:val="21"/>
                      <w:szCs w:val="21"/>
                    </w:rPr>
                    <w:t xml:space="preserve"> </w:t>
                  </w:r>
                  <w:r>
                    <w:rPr>
                      <w:rFonts w:ascii="宋体" w:hAnsi="宋体" w:eastAsia="宋体" w:cs="宋体"/>
                      <w:color w:val="auto"/>
                      <w:spacing w:val="-1"/>
                      <w:sz w:val="21"/>
                      <w:szCs w:val="21"/>
                    </w:rPr>
                    <w:t>号</w:t>
                  </w:r>
                </w:p>
              </w:tc>
            </w:tr>
            <w:tr w14:paraId="228A7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FDB268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92</w:t>
                  </w:r>
                </w:p>
              </w:tc>
              <w:tc>
                <w:tcPr>
                  <w:tcW w:w="961" w:type="dxa"/>
                  <w:vAlign w:val="center"/>
                </w:tcPr>
                <w:p w14:paraId="456824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筑能（韶关）精工制造有限公</w:t>
                  </w:r>
                </w:p>
                <w:p w14:paraId="29FE98F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281BD95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51429D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4A17FF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36212.64</w:t>
                  </w:r>
                </w:p>
              </w:tc>
              <w:tc>
                <w:tcPr>
                  <w:tcW w:w="2053" w:type="dxa"/>
                  <w:vAlign w:val="center"/>
                </w:tcPr>
                <w:p w14:paraId="4743A507">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年加工铝卷原料</w:t>
                  </w:r>
                  <w:r>
                    <w:rPr>
                      <w:rFonts w:ascii="宋体" w:hAnsi="宋体" w:eastAsia="宋体" w:cs="宋体"/>
                      <w:color w:val="auto"/>
                      <w:spacing w:val="-14"/>
                      <w:sz w:val="21"/>
                      <w:szCs w:val="21"/>
                    </w:rPr>
                    <w:t xml:space="preserve"> </w:t>
                  </w:r>
                  <w:r>
                    <w:rPr>
                      <w:color w:val="auto"/>
                      <w:spacing w:val="-3"/>
                      <w:sz w:val="21"/>
                      <w:szCs w:val="21"/>
                    </w:rPr>
                    <w:t xml:space="preserve">150 </w:t>
                  </w:r>
                  <w:r>
                    <w:rPr>
                      <w:rFonts w:ascii="宋体" w:hAnsi="宋体" w:eastAsia="宋体" w:cs="宋体"/>
                      <w:color w:val="auto"/>
                      <w:spacing w:val="-3"/>
                      <w:sz w:val="21"/>
                      <w:szCs w:val="21"/>
                    </w:rPr>
                    <w:t>万平方米</w:t>
                  </w:r>
                </w:p>
              </w:tc>
              <w:tc>
                <w:tcPr>
                  <w:tcW w:w="1878" w:type="dxa"/>
                  <w:vAlign w:val="center"/>
                </w:tcPr>
                <w:p w14:paraId="2A4CE4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19</w:t>
                  </w:r>
                  <w:r>
                    <w:rPr>
                      <w:color w:val="auto"/>
                      <w:spacing w:val="18"/>
                      <w:sz w:val="21"/>
                      <w:szCs w:val="21"/>
                    </w:rPr>
                    <w:t xml:space="preserve"> </w:t>
                  </w:r>
                  <w:r>
                    <w:rPr>
                      <w:rFonts w:ascii="宋体" w:hAnsi="宋体" w:eastAsia="宋体" w:cs="宋体"/>
                      <w:color w:val="auto"/>
                      <w:spacing w:val="-1"/>
                      <w:sz w:val="21"/>
                      <w:szCs w:val="21"/>
                    </w:rPr>
                    <w:t>号</w:t>
                  </w:r>
                </w:p>
              </w:tc>
            </w:tr>
            <w:tr w14:paraId="747A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6A2A0D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93</w:t>
                  </w:r>
                </w:p>
              </w:tc>
              <w:tc>
                <w:tcPr>
                  <w:tcW w:w="961" w:type="dxa"/>
                  <w:vAlign w:val="center"/>
                </w:tcPr>
                <w:p w14:paraId="0071471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美伦建材（韶关）有限公司</w:t>
                  </w:r>
                </w:p>
              </w:tc>
              <w:tc>
                <w:tcPr>
                  <w:tcW w:w="600" w:type="dxa"/>
                  <w:vAlign w:val="center"/>
                </w:tcPr>
                <w:p w14:paraId="5D2559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9C6ED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9301F7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54969.22</w:t>
                  </w:r>
                </w:p>
              </w:tc>
              <w:tc>
                <w:tcPr>
                  <w:tcW w:w="2053" w:type="dxa"/>
                  <w:vAlign w:val="center"/>
                </w:tcPr>
                <w:p w14:paraId="64B006B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年加工铝卷原料</w:t>
                  </w:r>
                  <w:r>
                    <w:rPr>
                      <w:rFonts w:ascii="宋体" w:hAnsi="宋体" w:eastAsia="宋体" w:cs="宋体"/>
                      <w:color w:val="auto"/>
                      <w:spacing w:val="-44"/>
                      <w:sz w:val="21"/>
                      <w:szCs w:val="21"/>
                    </w:rPr>
                    <w:t xml:space="preserve"> </w:t>
                  </w:r>
                  <w:r>
                    <w:rPr>
                      <w:color w:val="auto"/>
                      <w:spacing w:val="-1"/>
                      <w:sz w:val="21"/>
                      <w:szCs w:val="21"/>
                    </w:rPr>
                    <w:t xml:space="preserve">200 </w:t>
                  </w:r>
                  <w:r>
                    <w:rPr>
                      <w:rFonts w:ascii="宋体" w:hAnsi="宋体" w:eastAsia="宋体" w:cs="宋体"/>
                      <w:color w:val="auto"/>
                      <w:spacing w:val="-1"/>
                      <w:sz w:val="21"/>
                      <w:szCs w:val="21"/>
                    </w:rPr>
                    <w:t>万平方米</w:t>
                  </w:r>
                </w:p>
              </w:tc>
              <w:tc>
                <w:tcPr>
                  <w:tcW w:w="1878" w:type="dxa"/>
                  <w:vAlign w:val="center"/>
                </w:tcPr>
                <w:p w14:paraId="419D729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08</w:t>
                  </w:r>
                  <w:r>
                    <w:rPr>
                      <w:color w:val="auto"/>
                      <w:spacing w:val="18"/>
                      <w:sz w:val="21"/>
                      <w:szCs w:val="21"/>
                    </w:rPr>
                    <w:t xml:space="preserve"> </w:t>
                  </w:r>
                  <w:r>
                    <w:rPr>
                      <w:rFonts w:ascii="宋体" w:hAnsi="宋体" w:eastAsia="宋体" w:cs="宋体"/>
                      <w:color w:val="auto"/>
                      <w:spacing w:val="-1"/>
                      <w:sz w:val="21"/>
                      <w:szCs w:val="21"/>
                    </w:rPr>
                    <w:t>号</w:t>
                  </w:r>
                </w:p>
              </w:tc>
            </w:tr>
            <w:tr w14:paraId="65128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90439E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94</w:t>
                  </w:r>
                </w:p>
              </w:tc>
              <w:tc>
                <w:tcPr>
                  <w:tcW w:w="961" w:type="dxa"/>
                  <w:vAlign w:val="center"/>
                </w:tcPr>
                <w:p w14:paraId="75B071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中荣印刷（韶关）有限公司</w:t>
                  </w:r>
                </w:p>
              </w:tc>
              <w:tc>
                <w:tcPr>
                  <w:tcW w:w="600" w:type="dxa"/>
                  <w:vAlign w:val="center"/>
                </w:tcPr>
                <w:p w14:paraId="12FD0B3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4FFC618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造纸和纸制品业</w:t>
                  </w:r>
                </w:p>
              </w:tc>
              <w:tc>
                <w:tcPr>
                  <w:tcW w:w="1140" w:type="dxa"/>
                  <w:vAlign w:val="center"/>
                </w:tcPr>
                <w:p w14:paraId="6A6806A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3227.65</w:t>
                  </w:r>
                </w:p>
              </w:tc>
              <w:tc>
                <w:tcPr>
                  <w:tcW w:w="2053" w:type="dxa"/>
                  <w:vAlign w:val="center"/>
                </w:tcPr>
                <w:p w14:paraId="2FEA8FF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年产彩盒</w:t>
                  </w:r>
                  <w:r>
                    <w:rPr>
                      <w:rFonts w:ascii="宋体" w:hAnsi="宋体" w:eastAsia="宋体" w:cs="宋体"/>
                      <w:color w:val="auto"/>
                      <w:spacing w:val="-26"/>
                      <w:sz w:val="21"/>
                      <w:szCs w:val="21"/>
                    </w:rPr>
                    <w:t xml:space="preserve"> </w:t>
                  </w:r>
                  <w:r>
                    <w:rPr>
                      <w:color w:val="auto"/>
                      <w:spacing w:val="-3"/>
                      <w:sz w:val="21"/>
                      <w:szCs w:val="21"/>
                    </w:rPr>
                    <w:t>500</w:t>
                  </w:r>
                  <w:r>
                    <w:rPr>
                      <w:color w:val="auto"/>
                      <w:spacing w:val="13"/>
                      <w:w w:val="101"/>
                      <w:sz w:val="21"/>
                      <w:szCs w:val="21"/>
                    </w:rPr>
                    <w:t xml:space="preserve"> </w:t>
                  </w:r>
                  <w:r>
                    <w:rPr>
                      <w:rFonts w:ascii="宋体" w:hAnsi="宋体" w:eastAsia="宋体" w:cs="宋体"/>
                      <w:color w:val="auto"/>
                      <w:spacing w:val="-3"/>
                      <w:sz w:val="21"/>
                      <w:szCs w:val="21"/>
                    </w:rPr>
                    <w:t>万个、礼盒</w:t>
                  </w:r>
                  <w:r>
                    <w:rPr>
                      <w:rFonts w:ascii="宋体" w:hAnsi="宋体" w:eastAsia="宋体" w:cs="宋体"/>
                      <w:color w:val="auto"/>
                      <w:spacing w:val="-44"/>
                      <w:sz w:val="21"/>
                      <w:szCs w:val="21"/>
                    </w:rPr>
                    <w:t xml:space="preserve"> </w:t>
                  </w:r>
                  <w:r>
                    <w:rPr>
                      <w:color w:val="auto"/>
                      <w:spacing w:val="-3"/>
                      <w:sz w:val="21"/>
                      <w:szCs w:val="21"/>
                    </w:rPr>
                    <w:t>50</w:t>
                  </w:r>
                  <w:r>
                    <w:rPr>
                      <w:color w:val="auto"/>
                      <w:spacing w:val="13"/>
                      <w:w w:val="101"/>
                      <w:sz w:val="21"/>
                      <w:szCs w:val="21"/>
                    </w:rPr>
                    <w:t xml:space="preserve"> </w:t>
                  </w:r>
                  <w:r>
                    <w:rPr>
                      <w:rFonts w:ascii="宋体" w:hAnsi="宋体" w:eastAsia="宋体" w:cs="宋体"/>
                      <w:color w:val="auto"/>
                      <w:spacing w:val="-3"/>
                      <w:sz w:val="21"/>
                      <w:szCs w:val="21"/>
                    </w:rPr>
                    <w:t>万个、卡类</w:t>
                  </w:r>
                  <w:r>
                    <w:rPr>
                      <w:rFonts w:ascii="宋体" w:hAnsi="宋体" w:eastAsia="宋体" w:cs="宋体"/>
                      <w:color w:val="auto"/>
                      <w:spacing w:val="-42"/>
                      <w:sz w:val="21"/>
                      <w:szCs w:val="21"/>
                    </w:rPr>
                    <w:t xml:space="preserve"> </w:t>
                  </w:r>
                  <w:r>
                    <w:rPr>
                      <w:color w:val="auto"/>
                      <w:spacing w:val="-3"/>
                      <w:sz w:val="21"/>
                      <w:szCs w:val="21"/>
                    </w:rPr>
                    <w:t xml:space="preserve">500 </w:t>
                  </w:r>
                  <w:r>
                    <w:rPr>
                      <w:rFonts w:ascii="宋体" w:hAnsi="宋体" w:eastAsia="宋体" w:cs="宋体"/>
                      <w:color w:val="auto"/>
                      <w:spacing w:val="-3"/>
                      <w:sz w:val="21"/>
                      <w:szCs w:val="21"/>
                    </w:rPr>
                    <w:t>万张</w:t>
                  </w:r>
                </w:p>
              </w:tc>
              <w:tc>
                <w:tcPr>
                  <w:tcW w:w="1878" w:type="dxa"/>
                  <w:vAlign w:val="center"/>
                </w:tcPr>
                <w:p w14:paraId="57EC8B0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2024</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57769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050F406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95</w:t>
                  </w:r>
                </w:p>
              </w:tc>
              <w:tc>
                <w:tcPr>
                  <w:tcW w:w="961" w:type="dxa"/>
                  <w:vAlign w:val="center"/>
                </w:tcPr>
                <w:p w14:paraId="76D2A82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廓鑫建材（韶关）有限公司</w:t>
                  </w:r>
                </w:p>
              </w:tc>
              <w:tc>
                <w:tcPr>
                  <w:tcW w:w="600" w:type="dxa"/>
                  <w:vAlign w:val="center"/>
                </w:tcPr>
                <w:p w14:paraId="214AAE2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6121790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22C262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33373.03</w:t>
                  </w:r>
                </w:p>
              </w:tc>
              <w:tc>
                <w:tcPr>
                  <w:tcW w:w="2053" w:type="dxa"/>
                  <w:vAlign w:val="center"/>
                </w:tcPr>
                <w:p w14:paraId="2157A34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年产钣金件</w:t>
                  </w:r>
                  <w:r>
                    <w:rPr>
                      <w:rFonts w:ascii="宋体" w:hAnsi="宋体" w:eastAsia="宋体" w:cs="宋体"/>
                      <w:color w:val="auto"/>
                      <w:spacing w:val="-31"/>
                      <w:sz w:val="21"/>
                      <w:szCs w:val="21"/>
                    </w:rPr>
                    <w:t xml:space="preserve"> </w:t>
                  </w:r>
                  <w:r>
                    <w:rPr>
                      <w:color w:val="auto"/>
                      <w:spacing w:val="-3"/>
                      <w:sz w:val="21"/>
                      <w:szCs w:val="21"/>
                    </w:rPr>
                    <w:t>8100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0754C61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25</w:t>
                  </w:r>
                  <w:r>
                    <w:rPr>
                      <w:color w:val="auto"/>
                      <w:spacing w:val="18"/>
                      <w:sz w:val="21"/>
                      <w:szCs w:val="21"/>
                    </w:rPr>
                    <w:t xml:space="preserve"> </w:t>
                  </w:r>
                  <w:r>
                    <w:rPr>
                      <w:rFonts w:ascii="宋体" w:hAnsi="宋体" w:eastAsia="宋体" w:cs="宋体"/>
                      <w:color w:val="auto"/>
                      <w:spacing w:val="-1"/>
                      <w:sz w:val="21"/>
                      <w:szCs w:val="21"/>
                    </w:rPr>
                    <w:t>号</w:t>
                  </w:r>
                </w:p>
              </w:tc>
            </w:tr>
            <w:tr w14:paraId="2C999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29DFEA1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96</w:t>
                  </w:r>
                </w:p>
              </w:tc>
              <w:tc>
                <w:tcPr>
                  <w:tcW w:w="961" w:type="dxa"/>
                  <w:vAlign w:val="center"/>
                </w:tcPr>
                <w:p w14:paraId="3BFD8C3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广东三筑金属制品有限公司</w:t>
                  </w:r>
                </w:p>
              </w:tc>
              <w:tc>
                <w:tcPr>
                  <w:tcW w:w="600" w:type="dxa"/>
                  <w:vAlign w:val="center"/>
                </w:tcPr>
                <w:p w14:paraId="6DCAB4C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152B0D3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21FBCC6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54139.29</w:t>
                  </w:r>
                </w:p>
              </w:tc>
              <w:tc>
                <w:tcPr>
                  <w:tcW w:w="2053" w:type="dxa"/>
                  <w:vAlign w:val="center"/>
                </w:tcPr>
                <w:p w14:paraId="3F79C9A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年产各类板及其他铝制品</w:t>
                  </w:r>
                  <w:r>
                    <w:rPr>
                      <w:rFonts w:ascii="宋体" w:hAnsi="宋体" w:eastAsia="宋体" w:cs="宋体"/>
                      <w:color w:val="auto"/>
                      <w:spacing w:val="-30"/>
                      <w:sz w:val="21"/>
                      <w:szCs w:val="21"/>
                    </w:rPr>
                    <w:t xml:space="preserve"> </w:t>
                  </w:r>
                  <w:r>
                    <w:rPr>
                      <w:color w:val="auto"/>
                      <w:spacing w:val="-2"/>
                      <w:sz w:val="21"/>
                      <w:szCs w:val="21"/>
                    </w:rPr>
                    <w:t xml:space="preserve">110 </w:t>
                  </w:r>
                  <w:r>
                    <w:rPr>
                      <w:rFonts w:ascii="宋体" w:hAnsi="宋体" w:eastAsia="宋体" w:cs="宋体"/>
                      <w:color w:val="auto"/>
                      <w:spacing w:val="-2"/>
                      <w:sz w:val="21"/>
                      <w:szCs w:val="21"/>
                    </w:rPr>
                    <w:t>万平方米</w:t>
                  </w:r>
                </w:p>
              </w:tc>
              <w:tc>
                <w:tcPr>
                  <w:tcW w:w="1878" w:type="dxa"/>
                  <w:vAlign w:val="center"/>
                </w:tcPr>
                <w:p w14:paraId="6E4D1D9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24</w:t>
                  </w:r>
                  <w:r>
                    <w:rPr>
                      <w:color w:val="auto"/>
                      <w:spacing w:val="18"/>
                      <w:sz w:val="21"/>
                      <w:szCs w:val="21"/>
                    </w:rPr>
                    <w:t xml:space="preserve"> </w:t>
                  </w:r>
                  <w:r>
                    <w:rPr>
                      <w:rFonts w:ascii="宋体" w:hAnsi="宋体" w:eastAsia="宋体" w:cs="宋体"/>
                      <w:color w:val="auto"/>
                      <w:spacing w:val="-1"/>
                      <w:sz w:val="21"/>
                      <w:szCs w:val="21"/>
                    </w:rPr>
                    <w:t>号</w:t>
                  </w:r>
                </w:p>
              </w:tc>
            </w:tr>
            <w:tr w14:paraId="6E29D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E396C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97</w:t>
                  </w:r>
                </w:p>
              </w:tc>
              <w:tc>
                <w:tcPr>
                  <w:tcW w:w="961" w:type="dxa"/>
                  <w:vAlign w:val="center"/>
                </w:tcPr>
                <w:p w14:paraId="0C71809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广东启健净水设备有限公司</w:t>
                  </w:r>
                </w:p>
              </w:tc>
              <w:tc>
                <w:tcPr>
                  <w:tcW w:w="600" w:type="dxa"/>
                  <w:vAlign w:val="center"/>
                </w:tcPr>
                <w:p w14:paraId="18E5E13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已批未建</w:t>
                  </w:r>
                </w:p>
              </w:tc>
              <w:tc>
                <w:tcPr>
                  <w:tcW w:w="915" w:type="dxa"/>
                  <w:vAlign w:val="center"/>
                </w:tcPr>
                <w:p w14:paraId="2880AB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家具制造业</w:t>
                  </w:r>
                </w:p>
              </w:tc>
              <w:tc>
                <w:tcPr>
                  <w:tcW w:w="1140" w:type="dxa"/>
                  <w:vAlign w:val="center"/>
                </w:tcPr>
                <w:p w14:paraId="70A7E15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2"/>
                      <w:sz w:val="21"/>
                      <w:szCs w:val="21"/>
                    </w:rPr>
                    <w:t>9598</w:t>
                  </w:r>
                </w:p>
              </w:tc>
              <w:tc>
                <w:tcPr>
                  <w:tcW w:w="2053" w:type="dxa"/>
                  <w:vAlign w:val="center"/>
                </w:tcPr>
                <w:p w14:paraId="0FAB44A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z w:val="21"/>
                      <w:szCs w:val="21"/>
                    </w:rPr>
                    <w:t>年产直沸水壶机、饮水机、直饮水机、净水器、</w:t>
                  </w:r>
                  <w:r>
                    <w:rPr>
                      <w:rFonts w:ascii="宋体" w:hAnsi="宋体" w:eastAsia="宋体" w:cs="宋体"/>
                      <w:color w:val="auto"/>
                      <w:spacing w:val="-1"/>
                      <w:sz w:val="21"/>
                      <w:szCs w:val="21"/>
                    </w:rPr>
                    <w:t>纯水机等净</w:t>
                  </w:r>
                  <w:r>
                    <w:rPr>
                      <w:rFonts w:ascii="宋体" w:hAnsi="宋体" w:eastAsia="宋体" w:cs="宋体"/>
                      <w:color w:val="auto"/>
                      <w:spacing w:val="-2"/>
                      <w:sz w:val="21"/>
                      <w:szCs w:val="21"/>
                    </w:rPr>
                    <w:t>水设备</w:t>
                  </w:r>
                  <w:r>
                    <w:rPr>
                      <w:rFonts w:ascii="宋体" w:hAnsi="宋体" w:eastAsia="宋体" w:cs="宋体"/>
                      <w:color w:val="auto"/>
                      <w:spacing w:val="-23"/>
                      <w:sz w:val="21"/>
                      <w:szCs w:val="21"/>
                    </w:rPr>
                    <w:t xml:space="preserve"> </w:t>
                  </w:r>
                  <w:r>
                    <w:rPr>
                      <w:color w:val="auto"/>
                      <w:spacing w:val="-2"/>
                      <w:sz w:val="21"/>
                      <w:szCs w:val="21"/>
                    </w:rPr>
                    <w:t xml:space="preserve">120 </w:t>
                  </w:r>
                  <w:r>
                    <w:rPr>
                      <w:rFonts w:ascii="宋体" w:hAnsi="宋体" w:eastAsia="宋体" w:cs="宋体"/>
                      <w:color w:val="auto"/>
                      <w:spacing w:val="-2"/>
                      <w:sz w:val="21"/>
                      <w:szCs w:val="21"/>
                    </w:rPr>
                    <w:t>万台、饮用水机配件、净水机配件</w:t>
                  </w:r>
                  <w:r>
                    <w:rPr>
                      <w:rFonts w:ascii="宋体" w:hAnsi="宋体" w:eastAsia="宋体" w:cs="宋体"/>
                      <w:color w:val="auto"/>
                      <w:spacing w:val="-28"/>
                      <w:sz w:val="21"/>
                      <w:szCs w:val="21"/>
                    </w:rPr>
                    <w:t xml:space="preserve"> </w:t>
                  </w:r>
                  <w:r>
                    <w:rPr>
                      <w:color w:val="auto"/>
                      <w:spacing w:val="-2"/>
                      <w:sz w:val="21"/>
                      <w:szCs w:val="21"/>
                    </w:rPr>
                    <w:t xml:space="preserve">150 </w:t>
                  </w:r>
                  <w:r>
                    <w:rPr>
                      <w:rFonts w:ascii="宋体" w:hAnsi="宋体" w:eastAsia="宋体" w:cs="宋体"/>
                      <w:color w:val="auto"/>
                      <w:spacing w:val="-2"/>
                      <w:sz w:val="21"/>
                      <w:szCs w:val="21"/>
                    </w:rPr>
                    <w:t>万件</w:t>
                  </w:r>
                </w:p>
              </w:tc>
              <w:tc>
                <w:tcPr>
                  <w:tcW w:w="1878" w:type="dxa"/>
                  <w:vAlign w:val="center"/>
                </w:tcPr>
                <w:p w14:paraId="4FB094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42 </w:t>
                  </w:r>
                  <w:r>
                    <w:rPr>
                      <w:rFonts w:ascii="宋体" w:hAnsi="宋体" w:eastAsia="宋体" w:cs="宋体"/>
                      <w:color w:val="auto"/>
                      <w:spacing w:val="-1"/>
                      <w:sz w:val="21"/>
                      <w:szCs w:val="21"/>
                    </w:rPr>
                    <w:t>号</w:t>
                  </w:r>
                </w:p>
              </w:tc>
            </w:tr>
            <w:tr w14:paraId="2281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AF1CFC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98</w:t>
                  </w:r>
                </w:p>
              </w:tc>
              <w:tc>
                <w:tcPr>
                  <w:tcW w:w="961" w:type="dxa"/>
                  <w:vAlign w:val="center"/>
                </w:tcPr>
                <w:p w14:paraId="78535A2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乐昌产业园工业固体废弃物</w:t>
                  </w:r>
                  <w:r>
                    <w:rPr>
                      <w:rFonts w:ascii="宋体" w:hAnsi="宋体" w:eastAsia="宋体" w:cs="宋体"/>
                      <w:color w:val="auto"/>
                      <w:spacing w:val="-2"/>
                      <w:sz w:val="21"/>
                      <w:szCs w:val="21"/>
                    </w:rPr>
                    <w:t>设施补短板项目</w:t>
                  </w:r>
                </w:p>
              </w:tc>
              <w:tc>
                <w:tcPr>
                  <w:tcW w:w="600" w:type="dxa"/>
                  <w:vAlign w:val="center"/>
                </w:tcPr>
                <w:p w14:paraId="001C62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350DE9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装卸搬运和仓储业</w:t>
                  </w:r>
                </w:p>
              </w:tc>
              <w:tc>
                <w:tcPr>
                  <w:tcW w:w="1140" w:type="dxa"/>
                  <w:vAlign w:val="center"/>
                </w:tcPr>
                <w:p w14:paraId="6DDDD3B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1"/>
                      <w:sz w:val="21"/>
                      <w:szCs w:val="21"/>
                    </w:rPr>
                    <w:t>4000</w:t>
                  </w:r>
                </w:p>
              </w:tc>
              <w:tc>
                <w:tcPr>
                  <w:tcW w:w="2053" w:type="dxa"/>
                  <w:vAlign w:val="center"/>
                </w:tcPr>
                <w:p w14:paraId="4946326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3"/>
                      <w:sz w:val="21"/>
                      <w:szCs w:val="21"/>
                    </w:rPr>
                    <w:t>年收集危险废物</w:t>
                  </w:r>
                  <w:r>
                    <w:rPr>
                      <w:rFonts w:ascii="宋体" w:hAnsi="宋体" w:eastAsia="宋体" w:cs="宋体"/>
                      <w:color w:val="auto"/>
                      <w:spacing w:val="-46"/>
                      <w:sz w:val="21"/>
                      <w:szCs w:val="21"/>
                    </w:rPr>
                    <w:t xml:space="preserve"> </w:t>
                  </w:r>
                  <w:r>
                    <w:rPr>
                      <w:color w:val="auto"/>
                      <w:spacing w:val="-3"/>
                      <w:sz w:val="21"/>
                      <w:szCs w:val="21"/>
                    </w:rPr>
                    <w:t>2806</w:t>
                  </w:r>
                  <w:r>
                    <w:rPr>
                      <w:color w:val="auto"/>
                      <w:spacing w:val="19"/>
                      <w:sz w:val="21"/>
                      <w:szCs w:val="21"/>
                    </w:rPr>
                    <w:t xml:space="preserve"> </w:t>
                  </w:r>
                  <w:r>
                    <w:rPr>
                      <w:rFonts w:ascii="宋体" w:hAnsi="宋体" w:eastAsia="宋体" w:cs="宋体"/>
                      <w:color w:val="auto"/>
                      <w:spacing w:val="-3"/>
                      <w:sz w:val="21"/>
                      <w:szCs w:val="21"/>
                    </w:rPr>
                    <w:t>吨，一般固体废物</w:t>
                  </w:r>
                  <w:r>
                    <w:rPr>
                      <w:rFonts w:ascii="宋体" w:hAnsi="宋体" w:eastAsia="宋体" w:cs="宋体"/>
                      <w:color w:val="auto"/>
                      <w:spacing w:val="-40"/>
                      <w:sz w:val="21"/>
                      <w:szCs w:val="21"/>
                    </w:rPr>
                    <w:t xml:space="preserve"> </w:t>
                  </w:r>
                  <w:r>
                    <w:rPr>
                      <w:color w:val="auto"/>
                      <w:spacing w:val="-3"/>
                      <w:sz w:val="21"/>
                      <w:szCs w:val="21"/>
                    </w:rPr>
                    <w:t>8.5</w:t>
                  </w:r>
                  <w:r>
                    <w:rPr>
                      <w:color w:val="auto"/>
                      <w:spacing w:val="14"/>
                      <w:sz w:val="21"/>
                      <w:szCs w:val="21"/>
                    </w:rPr>
                    <w:t xml:space="preserve"> </w:t>
                  </w:r>
                  <w:r>
                    <w:rPr>
                      <w:rFonts w:ascii="宋体" w:hAnsi="宋体" w:eastAsia="宋体" w:cs="宋体"/>
                      <w:color w:val="auto"/>
                      <w:spacing w:val="-3"/>
                      <w:sz w:val="21"/>
                      <w:szCs w:val="21"/>
                    </w:rPr>
                    <w:t>万吨。</w:t>
                  </w:r>
                </w:p>
              </w:tc>
              <w:tc>
                <w:tcPr>
                  <w:tcW w:w="1878" w:type="dxa"/>
                  <w:vAlign w:val="center"/>
                </w:tcPr>
                <w:p w14:paraId="760AEC0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2023</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34EFE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11" w:type="dxa"/>
                  <w:vAlign w:val="center"/>
                </w:tcPr>
                <w:p w14:paraId="7419D9B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4676B94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99</w:t>
                  </w:r>
                </w:p>
              </w:tc>
              <w:tc>
                <w:tcPr>
                  <w:tcW w:w="961" w:type="dxa"/>
                  <w:vAlign w:val="center"/>
                </w:tcPr>
                <w:p w14:paraId="2F92E5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乐昌市鑫盛威塑胶新材料科</w:t>
                  </w:r>
                  <w:r>
                    <w:rPr>
                      <w:rFonts w:ascii="宋体" w:hAnsi="宋体" w:eastAsia="宋体" w:cs="宋体"/>
                      <w:color w:val="auto"/>
                      <w:spacing w:val="-2"/>
                      <w:sz w:val="21"/>
                      <w:szCs w:val="21"/>
                    </w:rPr>
                    <w:t>技有限公司</w:t>
                  </w:r>
                </w:p>
              </w:tc>
              <w:tc>
                <w:tcPr>
                  <w:tcW w:w="600" w:type="dxa"/>
                  <w:vAlign w:val="center"/>
                </w:tcPr>
                <w:p w14:paraId="1DD1AE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88B9B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w:t>
                  </w:r>
                </w:p>
                <w:p w14:paraId="7F2566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业、非金属矿物制</w:t>
                  </w:r>
                </w:p>
                <w:p w14:paraId="008A97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品业</w:t>
                  </w:r>
                </w:p>
              </w:tc>
              <w:tc>
                <w:tcPr>
                  <w:tcW w:w="1140" w:type="dxa"/>
                  <w:vAlign w:val="center"/>
                </w:tcPr>
                <w:p w14:paraId="696B95A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Arial"/>
                      <w:color w:val="auto"/>
                      <w:sz w:val="21"/>
                      <w:szCs w:val="21"/>
                    </w:rPr>
                  </w:pPr>
                </w:p>
                <w:p w14:paraId="086347E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2"/>
                      <w:sz w:val="21"/>
                      <w:szCs w:val="21"/>
                    </w:rPr>
                    <w:t>8000</w:t>
                  </w:r>
                </w:p>
              </w:tc>
              <w:tc>
                <w:tcPr>
                  <w:tcW w:w="2053" w:type="dxa"/>
                  <w:vAlign w:val="center"/>
                </w:tcPr>
                <w:p w14:paraId="76E461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Arial"/>
                      <w:color w:val="auto"/>
                      <w:sz w:val="21"/>
                      <w:szCs w:val="21"/>
                    </w:rPr>
                  </w:pPr>
                </w:p>
                <w:p w14:paraId="0635CC9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35"/>
                      <w:sz w:val="21"/>
                      <w:szCs w:val="21"/>
                    </w:rPr>
                    <w:t xml:space="preserve"> </w:t>
                  </w:r>
                  <w:r>
                    <w:rPr>
                      <w:color w:val="auto"/>
                      <w:spacing w:val="-1"/>
                      <w:sz w:val="21"/>
                      <w:szCs w:val="21"/>
                    </w:rPr>
                    <w:t xml:space="preserve">PVC </w:t>
                  </w:r>
                  <w:r>
                    <w:rPr>
                      <w:rFonts w:ascii="宋体" w:hAnsi="宋体" w:eastAsia="宋体" w:cs="宋体"/>
                      <w:color w:val="auto"/>
                      <w:spacing w:val="-1"/>
                      <w:sz w:val="21"/>
                      <w:szCs w:val="21"/>
                    </w:rPr>
                    <w:t>膜</w:t>
                  </w:r>
                  <w:r>
                    <w:rPr>
                      <w:color w:val="auto"/>
                      <w:spacing w:val="-1"/>
                      <w:sz w:val="21"/>
                      <w:szCs w:val="21"/>
                    </w:rPr>
                    <w:t>2600</w:t>
                  </w:r>
                  <w:r>
                    <w:rPr>
                      <w:color w:val="auto"/>
                      <w:spacing w:val="18"/>
                      <w:w w:val="101"/>
                      <w:sz w:val="21"/>
                      <w:szCs w:val="21"/>
                    </w:rPr>
                    <w:t xml:space="preserve"> </w:t>
                  </w:r>
                  <w:r>
                    <w:rPr>
                      <w:rFonts w:ascii="宋体" w:hAnsi="宋体" w:eastAsia="宋体" w:cs="宋体"/>
                      <w:color w:val="auto"/>
                      <w:spacing w:val="-1"/>
                      <w:sz w:val="21"/>
                      <w:szCs w:val="21"/>
                    </w:rPr>
                    <w:t>吨、</w:t>
                  </w:r>
                  <w:r>
                    <w:rPr>
                      <w:color w:val="auto"/>
                      <w:spacing w:val="-1"/>
                      <w:sz w:val="21"/>
                      <w:szCs w:val="21"/>
                    </w:rPr>
                    <w:t xml:space="preserve">PU </w:t>
                  </w:r>
                  <w:r>
                    <w:rPr>
                      <w:rFonts w:ascii="宋体" w:hAnsi="宋体" w:eastAsia="宋体" w:cs="宋体"/>
                      <w:color w:val="auto"/>
                      <w:spacing w:val="-1"/>
                      <w:sz w:val="21"/>
                      <w:szCs w:val="21"/>
                    </w:rPr>
                    <w:t>膜</w:t>
                  </w:r>
                  <w:r>
                    <w:rPr>
                      <w:rFonts w:ascii="宋体" w:hAnsi="宋体" w:eastAsia="宋体" w:cs="宋体"/>
                      <w:color w:val="auto"/>
                      <w:spacing w:val="-42"/>
                      <w:sz w:val="21"/>
                      <w:szCs w:val="21"/>
                    </w:rPr>
                    <w:t xml:space="preserve"> </w:t>
                  </w:r>
                  <w:r>
                    <w:rPr>
                      <w:color w:val="auto"/>
                      <w:spacing w:val="-1"/>
                      <w:sz w:val="21"/>
                      <w:szCs w:val="21"/>
                    </w:rPr>
                    <w:t>500</w:t>
                  </w:r>
                  <w:r>
                    <w:rPr>
                      <w:color w:val="auto"/>
                      <w:spacing w:val="16"/>
                      <w:sz w:val="21"/>
                      <w:szCs w:val="21"/>
                    </w:rPr>
                    <w:t xml:space="preserve"> </w:t>
                  </w:r>
                  <w:r>
                    <w:rPr>
                      <w:rFonts w:ascii="宋体" w:hAnsi="宋体" w:eastAsia="宋体" w:cs="宋体"/>
                      <w:color w:val="auto"/>
                      <w:spacing w:val="-1"/>
                      <w:sz w:val="21"/>
                      <w:szCs w:val="21"/>
                    </w:rPr>
                    <w:t>吨、人造石墨</w:t>
                  </w:r>
                  <w:r>
                    <w:rPr>
                      <w:rFonts w:ascii="宋体" w:hAnsi="宋体" w:eastAsia="宋体" w:cs="宋体"/>
                      <w:color w:val="auto"/>
                      <w:spacing w:val="-48"/>
                      <w:sz w:val="21"/>
                      <w:szCs w:val="21"/>
                    </w:rPr>
                    <w:t xml:space="preserve"> </w:t>
                  </w:r>
                  <w:r>
                    <w:rPr>
                      <w:color w:val="auto"/>
                      <w:spacing w:val="-1"/>
                      <w:sz w:val="21"/>
                      <w:szCs w:val="21"/>
                    </w:rPr>
                    <w:t>2</w:t>
                  </w:r>
                  <w:r>
                    <w:rPr>
                      <w:color w:val="auto"/>
                      <w:spacing w:val="13"/>
                      <w:w w:val="101"/>
                      <w:sz w:val="21"/>
                      <w:szCs w:val="21"/>
                    </w:rPr>
                    <w:t xml:space="preserve"> </w:t>
                  </w:r>
                  <w:r>
                    <w:rPr>
                      <w:rFonts w:ascii="宋体" w:hAnsi="宋体" w:eastAsia="宋体" w:cs="宋体"/>
                      <w:color w:val="auto"/>
                      <w:spacing w:val="-1"/>
                      <w:sz w:val="21"/>
                      <w:szCs w:val="21"/>
                    </w:rPr>
                    <w:t>万吨</w:t>
                  </w:r>
                </w:p>
              </w:tc>
              <w:tc>
                <w:tcPr>
                  <w:tcW w:w="1878" w:type="dxa"/>
                  <w:vAlign w:val="center"/>
                </w:tcPr>
                <w:p w14:paraId="5F17DE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"bookmark255" </w:instrText>
                  </w:r>
                  <w:r>
                    <w:rPr>
                      <w:color w:val="auto"/>
                      <w:sz w:val="21"/>
                      <w:szCs w:val="21"/>
                    </w:rPr>
                    <w:fldChar w:fldCharType="separate"/>
                  </w:r>
                  <w:r>
                    <w:rPr>
                      <w:color w:val="auto"/>
                      <w:spacing w:val="-2"/>
                      <w:sz w:val="21"/>
                      <w:szCs w:val="21"/>
                    </w:rPr>
                    <w:t>2017</w:t>
                  </w:r>
                  <w:r>
                    <w:rPr>
                      <w:color w:val="auto"/>
                      <w:spacing w:val="-2"/>
                      <w:sz w:val="21"/>
                      <w:szCs w:val="21"/>
                    </w:rPr>
                    <w:fldChar w:fldCharType="end"/>
                  </w:r>
                  <w:r>
                    <w:rPr>
                      <w:color w:val="auto"/>
                      <w:spacing w:val="-2"/>
                      <w:sz w:val="21"/>
                      <w:szCs w:val="21"/>
                    </w:rPr>
                    <w:t>]81</w:t>
                  </w:r>
                  <w:r>
                    <w:rPr>
                      <w:color w:val="auto"/>
                      <w:spacing w:val="20"/>
                      <w:sz w:val="21"/>
                      <w:szCs w:val="21"/>
                    </w:rPr>
                    <w:t xml:space="preserve"> </w:t>
                  </w:r>
                  <w:r>
                    <w:rPr>
                      <w:rFonts w:ascii="宋体" w:hAnsi="宋体" w:eastAsia="宋体" w:cs="宋体"/>
                      <w:color w:val="auto"/>
                      <w:spacing w:val="-2"/>
                      <w:sz w:val="21"/>
                      <w:szCs w:val="21"/>
                    </w:rPr>
                    <w:t>号、韶环乐审</w:t>
                  </w:r>
                </w:p>
                <w:p w14:paraId="77D5C8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color w:val="auto"/>
                      <w:spacing w:val="-2"/>
                      <w:sz w:val="21"/>
                      <w:szCs w:val="21"/>
                    </w:rPr>
                    <w:t>[</w:t>
                  </w:r>
                  <w:r>
                    <w:rPr>
                      <w:color w:val="auto"/>
                      <w:sz w:val="21"/>
                      <w:szCs w:val="21"/>
                    </w:rPr>
                    <w:fldChar w:fldCharType="begin"/>
                  </w:r>
                  <w:r>
                    <w:rPr>
                      <w:color w:val="auto"/>
                      <w:sz w:val="21"/>
                      <w:szCs w:val="21"/>
                    </w:rPr>
                    <w:instrText xml:space="preserve"> HYPERLINK \l "bookmark256" </w:instrText>
                  </w:r>
                  <w:r>
                    <w:rPr>
                      <w:color w:val="auto"/>
                      <w:sz w:val="21"/>
                      <w:szCs w:val="21"/>
                    </w:rPr>
                    <w:fldChar w:fldCharType="separate"/>
                  </w:r>
                  <w:r>
                    <w:rPr>
                      <w:color w:val="auto"/>
                      <w:spacing w:val="-2"/>
                      <w:sz w:val="21"/>
                      <w:szCs w:val="21"/>
                    </w:rPr>
                    <w:t>2023</w:t>
                  </w:r>
                  <w:r>
                    <w:rPr>
                      <w:color w:val="auto"/>
                      <w:spacing w:val="-2"/>
                      <w:sz w:val="21"/>
                      <w:szCs w:val="21"/>
                    </w:rPr>
                    <w:fldChar w:fldCharType="end"/>
                  </w:r>
                  <w:r>
                    <w:rPr>
                      <w:color w:val="auto"/>
                      <w:spacing w:val="-2"/>
                      <w:sz w:val="21"/>
                      <w:szCs w:val="21"/>
                    </w:rPr>
                    <w:t>]32</w:t>
                  </w:r>
                  <w:r>
                    <w:rPr>
                      <w:color w:val="auto"/>
                      <w:spacing w:val="13"/>
                      <w:w w:val="101"/>
                      <w:sz w:val="21"/>
                      <w:szCs w:val="21"/>
                    </w:rPr>
                    <w:t xml:space="preserve"> </w:t>
                  </w:r>
                  <w:r>
                    <w:rPr>
                      <w:rFonts w:ascii="宋体" w:hAnsi="宋体" w:eastAsia="宋体" w:cs="宋体"/>
                      <w:color w:val="auto"/>
                      <w:spacing w:val="-2"/>
                      <w:sz w:val="21"/>
                      <w:szCs w:val="21"/>
                    </w:rPr>
                    <w:t>号</w:t>
                  </w:r>
                </w:p>
              </w:tc>
            </w:tr>
            <w:tr w14:paraId="308B8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32B99E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100</w:t>
                  </w:r>
                </w:p>
              </w:tc>
              <w:tc>
                <w:tcPr>
                  <w:tcW w:w="961" w:type="dxa"/>
                  <w:vAlign w:val="center"/>
                </w:tcPr>
                <w:p w14:paraId="54BD1D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乐昌市众诚塑㬵制品有限公</w:t>
                  </w:r>
                </w:p>
                <w:p w14:paraId="4EDFD4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z w:val="21"/>
                      <w:szCs w:val="21"/>
                    </w:rPr>
                    <w:t>司</w:t>
                  </w:r>
                </w:p>
              </w:tc>
              <w:tc>
                <w:tcPr>
                  <w:tcW w:w="600" w:type="dxa"/>
                  <w:vAlign w:val="center"/>
                </w:tcPr>
                <w:p w14:paraId="3715DEEF">
                  <w:pPr>
                    <w:keepNext w:val="0"/>
                    <w:keepLines w:val="0"/>
                    <w:pageBreakBefore w:val="0"/>
                    <w:widowControl/>
                    <w:kinsoku w:val="0"/>
                    <w:wordWrap/>
                    <w:overflowPunct/>
                    <w:topLinePunct w:val="0"/>
                    <w:autoSpaceDE w:val="0"/>
                    <w:autoSpaceDN w:val="0"/>
                    <w:bidi w:val="0"/>
                    <w:adjustRightInd w:val="0"/>
                    <w:snapToGrid w:val="0"/>
                    <w:spacing w:line="240" w:lineRule="auto"/>
                    <w:ind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426E0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568D846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4"/>
                      <w:sz w:val="21"/>
                      <w:szCs w:val="21"/>
                    </w:rPr>
                    <w:t>12419.5</w:t>
                  </w:r>
                </w:p>
              </w:tc>
              <w:tc>
                <w:tcPr>
                  <w:tcW w:w="2053" w:type="dxa"/>
                  <w:vAlign w:val="center"/>
                </w:tcPr>
                <w:p w14:paraId="023670A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1300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00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7E4CF4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"bookmark257"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15</w:t>
                  </w:r>
                  <w:r>
                    <w:rPr>
                      <w:color w:val="auto"/>
                      <w:spacing w:val="14"/>
                      <w:w w:val="101"/>
                      <w:sz w:val="21"/>
                      <w:szCs w:val="21"/>
                    </w:rPr>
                    <w:t xml:space="preserve"> </w:t>
                  </w:r>
                  <w:r>
                    <w:rPr>
                      <w:rFonts w:ascii="宋体" w:hAnsi="宋体" w:eastAsia="宋体" w:cs="宋体"/>
                      <w:color w:val="auto"/>
                      <w:spacing w:val="-4"/>
                      <w:sz w:val="21"/>
                      <w:szCs w:val="21"/>
                    </w:rPr>
                    <w:t>号</w:t>
                  </w:r>
                </w:p>
              </w:tc>
            </w:tr>
            <w:tr w14:paraId="77CDF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11" w:type="dxa"/>
                  <w:vAlign w:val="center"/>
                </w:tcPr>
                <w:p w14:paraId="7DAF78A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101</w:t>
                  </w:r>
                </w:p>
              </w:tc>
              <w:tc>
                <w:tcPr>
                  <w:tcW w:w="961" w:type="dxa"/>
                  <w:vAlign w:val="center"/>
                </w:tcPr>
                <w:p w14:paraId="703E7E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韶关盖邦建材有限公司</w:t>
                  </w:r>
                </w:p>
              </w:tc>
              <w:tc>
                <w:tcPr>
                  <w:tcW w:w="600" w:type="dxa"/>
                  <w:vAlign w:val="center"/>
                </w:tcPr>
                <w:p w14:paraId="6F0B63FB">
                  <w:pPr>
                    <w:keepNext w:val="0"/>
                    <w:keepLines w:val="0"/>
                    <w:pageBreakBefore w:val="0"/>
                    <w:widowControl/>
                    <w:kinsoku w:val="0"/>
                    <w:wordWrap/>
                    <w:overflowPunct/>
                    <w:topLinePunct w:val="0"/>
                    <w:autoSpaceDE w:val="0"/>
                    <w:autoSpaceDN w:val="0"/>
                    <w:bidi w:val="0"/>
                    <w:adjustRightInd w:val="0"/>
                    <w:snapToGrid w:val="0"/>
                    <w:spacing w:line="240" w:lineRule="auto"/>
                    <w:ind w:right="0" w:firstLine="0" w:firstLineChars="0"/>
                    <w:jc w:val="center"/>
                    <w:textAlignment w:val="baseline"/>
                    <w:rPr>
                      <w:rFonts w:ascii="宋体" w:hAnsi="宋体" w:eastAsia="宋体" w:cs="宋体"/>
                      <w:color w:val="auto"/>
                      <w:sz w:val="21"/>
                      <w:szCs w:val="21"/>
                    </w:rPr>
                  </w:pPr>
                  <w:r>
                    <w:rPr>
                      <w:rFonts w:hint="eastAsia" w:ascii="宋体" w:hAnsi="宋体" w:eastAsia="宋体" w:cs="宋体"/>
                      <w:color w:val="auto"/>
                      <w:sz w:val="21"/>
                      <w:szCs w:val="21"/>
                      <w:lang w:val="en-US" w:eastAsia="zh-CN"/>
                    </w:rPr>
                    <w:t>已批未建</w:t>
                  </w:r>
                </w:p>
              </w:tc>
              <w:tc>
                <w:tcPr>
                  <w:tcW w:w="915" w:type="dxa"/>
                  <w:vAlign w:val="center"/>
                </w:tcPr>
                <w:p w14:paraId="7830A73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878360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color w:val="auto"/>
                      <w:sz w:val="21"/>
                      <w:szCs w:val="21"/>
                    </w:rPr>
                  </w:pPr>
                  <w:r>
                    <w:rPr>
                      <w:color w:val="auto"/>
                      <w:spacing w:val="-4"/>
                      <w:sz w:val="21"/>
                      <w:szCs w:val="21"/>
                    </w:rPr>
                    <w:t>10000</w:t>
                  </w:r>
                </w:p>
              </w:tc>
              <w:tc>
                <w:tcPr>
                  <w:tcW w:w="2053" w:type="dxa"/>
                  <w:vAlign w:val="center"/>
                </w:tcPr>
                <w:p w14:paraId="5A2E878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w:t>
                  </w:r>
                  <w:r>
                    <w:rPr>
                      <w:rFonts w:ascii="宋体" w:hAnsi="宋体" w:eastAsia="宋体" w:cs="宋体"/>
                      <w:color w:val="auto"/>
                      <w:spacing w:val="-41"/>
                      <w:sz w:val="21"/>
                      <w:szCs w:val="21"/>
                    </w:rPr>
                    <w:t xml:space="preserve"> </w:t>
                  </w:r>
                  <w:r>
                    <w:rPr>
                      <w:color w:val="auto"/>
                      <w:spacing w:val="-1"/>
                      <w:sz w:val="21"/>
                      <w:szCs w:val="21"/>
                    </w:rPr>
                    <w:t xml:space="preserve">6000 </w:t>
                  </w:r>
                  <w:r>
                    <w:rPr>
                      <w:rFonts w:ascii="宋体" w:hAnsi="宋体" w:eastAsia="宋体" w:cs="宋体"/>
                      <w:color w:val="auto"/>
                      <w:spacing w:val="-1"/>
                      <w:sz w:val="21"/>
                      <w:szCs w:val="21"/>
                    </w:rPr>
                    <w:t>个不锈钢井盖、排水沟盖板</w:t>
                  </w:r>
                </w:p>
              </w:tc>
              <w:tc>
                <w:tcPr>
                  <w:tcW w:w="1878" w:type="dxa"/>
                  <w:vAlign w:val="center"/>
                </w:tcPr>
                <w:p w14:paraId="488B895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2019</w:t>
                  </w:r>
                  <w:r>
                    <w:rPr>
                      <w:rFonts w:ascii="宋体" w:hAnsi="宋体" w:eastAsia="宋体" w:cs="宋体"/>
                      <w:color w:val="auto"/>
                      <w:spacing w:val="-1"/>
                      <w:sz w:val="21"/>
                      <w:szCs w:val="21"/>
                    </w:rPr>
                    <w:t>〕</w:t>
                  </w:r>
                  <w:r>
                    <w:rPr>
                      <w:color w:val="auto"/>
                      <w:spacing w:val="-1"/>
                      <w:sz w:val="21"/>
                      <w:szCs w:val="21"/>
                    </w:rPr>
                    <w:t xml:space="preserve">33 </w:t>
                  </w:r>
                  <w:r>
                    <w:rPr>
                      <w:rFonts w:ascii="宋体" w:hAnsi="宋体" w:eastAsia="宋体" w:cs="宋体"/>
                      <w:color w:val="auto"/>
                      <w:spacing w:val="-1"/>
                      <w:sz w:val="21"/>
                      <w:szCs w:val="21"/>
                    </w:rPr>
                    <w:t>号</w:t>
                  </w:r>
                </w:p>
              </w:tc>
            </w:tr>
            <w:tr w14:paraId="24E1B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6E6C4D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102</w:t>
                  </w:r>
                </w:p>
              </w:tc>
              <w:tc>
                <w:tcPr>
                  <w:tcW w:w="961" w:type="dxa"/>
                  <w:vAlign w:val="center"/>
                </w:tcPr>
                <w:p w14:paraId="5EBE5D9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广东力齐铝模科技有限公司</w:t>
                  </w:r>
                </w:p>
              </w:tc>
              <w:tc>
                <w:tcPr>
                  <w:tcW w:w="600" w:type="dxa"/>
                  <w:vAlign w:val="center"/>
                </w:tcPr>
                <w:p w14:paraId="111583D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3C3F9B73">
                  <w:pPr>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303686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color w:val="auto"/>
                      <w:sz w:val="21"/>
                      <w:szCs w:val="21"/>
                    </w:rPr>
                  </w:pPr>
                  <w:r>
                    <w:rPr>
                      <w:color w:val="auto"/>
                      <w:spacing w:val="-1"/>
                      <w:sz w:val="21"/>
                      <w:szCs w:val="21"/>
                    </w:rPr>
                    <w:t>32404.8</w:t>
                  </w:r>
                </w:p>
              </w:tc>
              <w:tc>
                <w:tcPr>
                  <w:tcW w:w="2053" w:type="dxa"/>
                  <w:vAlign w:val="center"/>
                </w:tcPr>
                <w:p w14:paraId="48F544B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年产铝合金建筑模板</w:t>
                  </w:r>
                  <w:r>
                    <w:rPr>
                      <w:rFonts w:ascii="宋体" w:hAnsi="宋体" w:eastAsia="宋体" w:cs="宋体"/>
                      <w:color w:val="auto"/>
                      <w:spacing w:val="-44"/>
                      <w:sz w:val="21"/>
                      <w:szCs w:val="21"/>
                    </w:rPr>
                    <w:t xml:space="preserve"> </w:t>
                  </w:r>
                  <w:r>
                    <w:rPr>
                      <w:color w:val="auto"/>
                      <w:spacing w:val="-1"/>
                      <w:sz w:val="21"/>
                      <w:szCs w:val="21"/>
                    </w:rPr>
                    <w:t xml:space="preserve">24 </w:t>
                  </w:r>
                  <w:r>
                    <w:rPr>
                      <w:rFonts w:ascii="宋体" w:hAnsi="宋体" w:eastAsia="宋体" w:cs="宋体"/>
                      <w:color w:val="auto"/>
                      <w:spacing w:val="-1"/>
                      <w:sz w:val="21"/>
                      <w:szCs w:val="21"/>
                    </w:rPr>
                    <w:t>万平方米，年处理结构件</w:t>
                  </w:r>
                  <w:r>
                    <w:rPr>
                      <w:rFonts w:ascii="宋体" w:hAnsi="宋体" w:eastAsia="宋体" w:cs="宋体"/>
                      <w:color w:val="auto"/>
                      <w:spacing w:val="-43"/>
                      <w:sz w:val="21"/>
                      <w:szCs w:val="21"/>
                    </w:rPr>
                    <w:t xml:space="preserve"> </w:t>
                  </w:r>
                  <w:r>
                    <w:rPr>
                      <w:color w:val="auto"/>
                      <w:spacing w:val="-1"/>
                      <w:sz w:val="21"/>
                      <w:szCs w:val="21"/>
                    </w:rPr>
                    <w:t>6630</w:t>
                  </w:r>
                  <w:r>
                    <w:rPr>
                      <w:color w:val="auto"/>
                      <w:spacing w:val="18"/>
                      <w:sz w:val="21"/>
                      <w:szCs w:val="21"/>
                    </w:rPr>
                    <w:t xml:space="preserve"> </w:t>
                  </w:r>
                  <w:r>
                    <w:rPr>
                      <w:rFonts w:ascii="宋体" w:hAnsi="宋体" w:eastAsia="宋体" w:cs="宋体"/>
                      <w:color w:val="auto"/>
                      <w:spacing w:val="-1"/>
                      <w:sz w:val="21"/>
                      <w:szCs w:val="21"/>
                    </w:rPr>
                    <w:t>吨</w:t>
                  </w:r>
                </w:p>
              </w:tc>
              <w:tc>
                <w:tcPr>
                  <w:tcW w:w="1878" w:type="dxa"/>
                  <w:vAlign w:val="center"/>
                </w:tcPr>
                <w:p w14:paraId="4B078E1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乐环审〔</w:t>
                  </w:r>
                  <w:r>
                    <w:rPr>
                      <w:color w:val="auto"/>
                      <w:spacing w:val="-1"/>
                      <w:sz w:val="21"/>
                      <w:szCs w:val="21"/>
                    </w:rPr>
                    <w:t>2020</w:t>
                  </w:r>
                  <w:r>
                    <w:rPr>
                      <w:rFonts w:ascii="宋体" w:hAnsi="宋体" w:eastAsia="宋体" w:cs="宋体"/>
                      <w:color w:val="auto"/>
                      <w:spacing w:val="-1"/>
                      <w:sz w:val="21"/>
                      <w:szCs w:val="21"/>
                    </w:rPr>
                    <w:t>〕</w:t>
                  </w:r>
                  <w:r>
                    <w:rPr>
                      <w:color w:val="auto"/>
                      <w:spacing w:val="-1"/>
                      <w:sz w:val="21"/>
                      <w:szCs w:val="21"/>
                    </w:rPr>
                    <w:t xml:space="preserve">31 </w:t>
                  </w:r>
                  <w:r>
                    <w:rPr>
                      <w:rFonts w:ascii="宋体" w:hAnsi="宋体" w:eastAsia="宋体" w:cs="宋体"/>
                      <w:color w:val="auto"/>
                      <w:spacing w:val="-1"/>
                      <w:sz w:val="21"/>
                      <w:szCs w:val="21"/>
                    </w:rPr>
                    <w:t>号、韶环乐审</w:t>
                  </w:r>
                </w:p>
                <w:p w14:paraId="0462548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w:t>
                  </w:r>
                  <w:r>
                    <w:rPr>
                      <w:color w:val="auto"/>
                      <w:spacing w:val="-4"/>
                      <w:sz w:val="21"/>
                      <w:szCs w:val="21"/>
                    </w:rPr>
                    <w:t>2022</w:t>
                  </w:r>
                  <w:r>
                    <w:rPr>
                      <w:rFonts w:ascii="宋体" w:hAnsi="宋体" w:eastAsia="宋体" w:cs="宋体"/>
                      <w:color w:val="auto"/>
                      <w:spacing w:val="-4"/>
                      <w:sz w:val="21"/>
                      <w:szCs w:val="21"/>
                    </w:rPr>
                    <w:t>〕</w:t>
                  </w:r>
                  <w:r>
                    <w:rPr>
                      <w:color w:val="auto"/>
                      <w:spacing w:val="-4"/>
                      <w:sz w:val="21"/>
                      <w:szCs w:val="21"/>
                    </w:rPr>
                    <w:t>08</w:t>
                  </w:r>
                  <w:r>
                    <w:rPr>
                      <w:color w:val="auto"/>
                      <w:spacing w:val="17"/>
                      <w:sz w:val="21"/>
                      <w:szCs w:val="21"/>
                    </w:rPr>
                    <w:t xml:space="preserve"> </w:t>
                  </w:r>
                  <w:r>
                    <w:rPr>
                      <w:rFonts w:ascii="宋体" w:hAnsi="宋体" w:eastAsia="宋体" w:cs="宋体"/>
                      <w:color w:val="auto"/>
                      <w:spacing w:val="-4"/>
                      <w:sz w:val="21"/>
                      <w:szCs w:val="21"/>
                    </w:rPr>
                    <w:t>号</w:t>
                  </w:r>
                </w:p>
              </w:tc>
            </w:tr>
            <w:tr w14:paraId="740A9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11" w:type="dxa"/>
                  <w:vAlign w:val="center"/>
                </w:tcPr>
                <w:p w14:paraId="335CD359">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103</w:t>
                  </w:r>
                </w:p>
              </w:tc>
              <w:tc>
                <w:tcPr>
                  <w:tcW w:w="961" w:type="dxa"/>
                  <w:vAlign w:val="center"/>
                </w:tcPr>
                <w:p w14:paraId="57B303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乐昌市吉焱实业有限公司</w:t>
                  </w:r>
                </w:p>
              </w:tc>
              <w:tc>
                <w:tcPr>
                  <w:tcW w:w="600" w:type="dxa"/>
                  <w:vAlign w:val="center"/>
                </w:tcPr>
                <w:p w14:paraId="302BDD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217B69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699739F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24875.4</w:t>
                  </w:r>
                </w:p>
              </w:tc>
              <w:tc>
                <w:tcPr>
                  <w:tcW w:w="2053" w:type="dxa"/>
                  <w:vAlign w:val="center"/>
                </w:tcPr>
                <w:p w14:paraId="06C8A39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51"/>
                      <w:sz w:val="21"/>
                      <w:szCs w:val="21"/>
                    </w:rPr>
                    <w:t xml:space="preserve"> </w:t>
                  </w:r>
                  <w:r>
                    <w:rPr>
                      <w:color w:val="auto"/>
                      <w:spacing w:val="-2"/>
                      <w:sz w:val="21"/>
                      <w:szCs w:val="21"/>
                    </w:rPr>
                    <w:t xml:space="preserve">PU </w:t>
                  </w:r>
                  <w:r>
                    <w:rPr>
                      <w:rFonts w:ascii="宋体" w:hAnsi="宋体" w:eastAsia="宋体" w:cs="宋体"/>
                      <w:color w:val="auto"/>
                      <w:spacing w:val="-2"/>
                      <w:sz w:val="21"/>
                      <w:szCs w:val="21"/>
                    </w:rPr>
                    <w:t>装饰线条</w:t>
                  </w:r>
                  <w:r>
                    <w:rPr>
                      <w:rFonts w:ascii="宋体" w:hAnsi="宋体" w:eastAsia="宋体" w:cs="宋体"/>
                      <w:color w:val="auto"/>
                      <w:spacing w:val="-30"/>
                      <w:sz w:val="21"/>
                      <w:szCs w:val="21"/>
                    </w:rPr>
                    <w:t xml:space="preserve"> </w:t>
                  </w:r>
                  <w:r>
                    <w:rPr>
                      <w:color w:val="auto"/>
                      <w:spacing w:val="-2"/>
                      <w:sz w:val="21"/>
                      <w:szCs w:val="21"/>
                    </w:rPr>
                    <w:t>1500</w:t>
                  </w:r>
                  <w:r>
                    <w:rPr>
                      <w:color w:val="auto"/>
                      <w:spacing w:val="19"/>
                      <w:sz w:val="21"/>
                      <w:szCs w:val="21"/>
                    </w:rPr>
                    <w:t xml:space="preserve"> </w:t>
                  </w:r>
                  <w:r>
                    <w:rPr>
                      <w:rFonts w:ascii="宋体" w:hAnsi="宋体" w:eastAsia="宋体" w:cs="宋体"/>
                      <w:color w:val="auto"/>
                      <w:spacing w:val="-2"/>
                      <w:sz w:val="21"/>
                      <w:szCs w:val="21"/>
                    </w:rPr>
                    <w:t>吨、聚氨酯装饰制品</w:t>
                  </w:r>
                  <w:r>
                    <w:rPr>
                      <w:rFonts w:ascii="宋体" w:hAnsi="宋体" w:eastAsia="宋体" w:cs="宋体"/>
                      <w:color w:val="auto"/>
                      <w:spacing w:val="-48"/>
                      <w:sz w:val="21"/>
                      <w:szCs w:val="21"/>
                    </w:rPr>
                    <w:t xml:space="preserve"> </w:t>
                  </w:r>
                  <w:r>
                    <w:rPr>
                      <w:color w:val="auto"/>
                      <w:spacing w:val="-2"/>
                      <w:sz w:val="21"/>
                      <w:szCs w:val="21"/>
                    </w:rPr>
                    <w:t>2</w:t>
                  </w:r>
                  <w:r>
                    <w:rPr>
                      <w:color w:val="auto"/>
                      <w:spacing w:val="-3"/>
                      <w:sz w:val="21"/>
                      <w:szCs w:val="21"/>
                    </w:rPr>
                    <w:t>50</w:t>
                  </w:r>
                  <w:r>
                    <w:rPr>
                      <w:color w:val="auto"/>
                      <w:spacing w:val="18"/>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3D48A75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乐环审</w:t>
                  </w:r>
                  <w:r>
                    <w:rPr>
                      <w:color w:val="auto"/>
                      <w:spacing w:val="-4"/>
                      <w:sz w:val="21"/>
                      <w:szCs w:val="21"/>
                    </w:rPr>
                    <w:t>[</w:t>
                  </w:r>
                  <w:r>
                    <w:rPr>
                      <w:color w:val="auto"/>
                      <w:sz w:val="21"/>
                      <w:szCs w:val="21"/>
                    </w:rPr>
                    <w:fldChar w:fldCharType="begin"/>
                  </w:r>
                  <w:r>
                    <w:rPr>
                      <w:color w:val="auto"/>
                      <w:sz w:val="21"/>
                      <w:szCs w:val="21"/>
                    </w:rPr>
                    <w:instrText xml:space="preserve"> HYPERLINK \l "bookmark258" </w:instrText>
                  </w:r>
                  <w:r>
                    <w:rPr>
                      <w:color w:val="auto"/>
                      <w:sz w:val="21"/>
                      <w:szCs w:val="21"/>
                    </w:rPr>
                    <w:fldChar w:fldCharType="separate"/>
                  </w:r>
                  <w:r>
                    <w:rPr>
                      <w:color w:val="auto"/>
                      <w:spacing w:val="-4"/>
                      <w:sz w:val="21"/>
                      <w:szCs w:val="21"/>
                    </w:rPr>
                    <w:t>2018</w:t>
                  </w:r>
                  <w:r>
                    <w:rPr>
                      <w:color w:val="auto"/>
                      <w:spacing w:val="-4"/>
                      <w:sz w:val="21"/>
                      <w:szCs w:val="21"/>
                    </w:rPr>
                    <w:fldChar w:fldCharType="end"/>
                  </w:r>
                  <w:r>
                    <w:rPr>
                      <w:color w:val="auto"/>
                      <w:spacing w:val="-4"/>
                      <w:sz w:val="21"/>
                      <w:szCs w:val="21"/>
                    </w:rPr>
                    <w:t>]</w:t>
                  </w:r>
                  <w:r>
                    <w:rPr>
                      <w:color w:val="auto"/>
                      <w:spacing w:val="-19"/>
                      <w:sz w:val="21"/>
                      <w:szCs w:val="21"/>
                    </w:rPr>
                    <w:t xml:space="preserve"> </w:t>
                  </w:r>
                  <w:r>
                    <w:rPr>
                      <w:color w:val="auto"/>
                      <w:spacing w:val="-4"/>
                      <w:sz w:val="21"/>
                      <w:szCs w:val="21"/>
                    </w:rPr>
                    <w:t>14</w:t>
                  </w:r>
                  <w:r>
                    <w:rPr>
                      <w:color w:val="auto"/>
                      <w:spacing w:val="14"/>
                      <w:w w:val="101"/>
                      <w:sz w:val="21"/>
                      <w:szCs w:val="21"/>
                    </w:rPr>
                    <w:t xml:space="preserve"> </w:t>
                  </w:r>
                  <w:r>
                    <w:rPr>
                      <w:rFonts w:ascii="宋体" w:hAnsi="宋体" w:eastAsia="宋体" w:cs="宋体"/>
                      <w:color w:val="auto"/>
                      <w:spacing w:val="-4"/>
                      <w:sz w:val="21"/>
                      <w:szCs w:val="21"/>
                    </w:rPr>
                    <w:t>号</w:t>
                  </w:r>
                </w:p>
              </w:tc>
            </w:tr>
            <w:tr w14:paraId="42A35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5BD387E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104</w:t>
                  </w:r>
                </w:p>
              </w:tc>
              <w:tc>
                <w:tcPr>
                  <w:tcW w:w="961" w:type="dxa"/>
                  <w:vAlign w:val="center"/>
                </w:tcPr>
                <w:p w14:paraId="623F5A1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广东省嘉上实业有限公司</w:t>
                  </w:r>
                </w:p>
              </w:tc>
              <w:tc>
                <w:tcPr>
                  <w:tcW w:w="600" w:type="dxa"/>
                  <w:vAlign w:val="center"/>
                </w:tcPr>
                <w:p w14:paraId="2AA98E9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62D2045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4576878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3"/>
                      <w:sz w:val="21"/>
                      <w:szCs w:val="21"/>
                    </w:rPr>
                    <w:t>12926.42</w:t>
                  </w:r>
                </w:p>
              </w:tc>
              <w:tc>
                <w:tcPr>
                  <w:tcW w:w="2053" w:type="dxa"/>
                  <w:vAlign w:val="center"/>
                </w:tcPr>
                <w:p w14:paraId="0584F8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年产塑胶桶</w:t>
                  </w:r>
                  <w:r>
                    <w:rPr>
                      <w:rFonts w:ascii="宋体" w:hAnsi="宋体" w:eastAsia="宋体" w:cs="宋体"/>
                      <w:color w:val="auto"/>
                      <w:spacing w:val="-42"/>
                      <w:sz w:val="21"/>
                      <w:szCs w:val="21"/>
                    </w:rPr>
                    <w:t xml:space="preserve"> </w:t>
                  </w:r>
                  <w:r>
                    <w:rPr>
                      <w:color w:val="auto"/>
                      <w:spacing w:val="-1"/>
                      <w:sz w:val="21"/>
                      <w:szCs w:val="21"/>
                    </w:rPr>
                    <w:t xml:space="preserve">500 </w:t>
                  </w:r>
                  <w:r>
                    <w:rPr>
                      <w:rFonts w:ascii="宋体" w:hAnsi="宋体" w:eastAsia="宋体" w:cs="宋体"/>
                      <w:color w:val="auto"/>
                      <w:spacing w:val="-1"/>
                      <w:sz w:val="21"/>
                      <w:szCs w:val="21"/>
                    </w:rPr>
                    <w:t>万个</w:t>
                  </w:r>
                </w:p>
              </w:tc>
              <w:tc>
                <w:tcPr>
                  <w:tcW w:w="1878" w:type="dxa"/>
                  <w:vAlign w:val="center"/>
                </w:tcPr>
                <w:p w14:paraId="0DE24DCA">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z w:val="21"/>
                      <w:szCs w:val="21"/>
                    </w:rPr>
                    <w:t>韶环乐审</w:t>
                  </w:r>
                  <w:r>
                    <w:rPr>
                      <w:color w:val="auto"/>
                      <w:sz w:val="21"/>
                      <w:szCs w:val="21"/>
                    </w:rPr>
                    <w:t>[</w:t>
                  </w:r>
                  <w:r>
                    <w:rPr>
                      <w:color w:val="auto"/>
                      <w:sz w:val="21"/>
                      <w:szCs w:val="21"/>
                    </w:rPr>
                    <w:fldChar w:fldCharType="begin"/>
                  </w:r>
                  <w:r>
                    <w:rPr>
                      <w:color w:val="auto"/>
                      <w:sz w:val="21"/>
                      <w:szCs w:val="21"/>
                    </w:rPr>
                    <w:instrText xml:space="preserve"> HYPERLINK \l "bookmark259" </w:instrText>
                  </w:r>
                  <w:r>
                    <w:rPr>
                      <w:color w:val="auto"/>
                      <w:sz w:val="21"/>
                      <w:szCs w:val="21"/>
                    </w:rPr>
                    <w:fldChar w:fldCharType="separate"/>
                  </w:r>
                  <w:r>
                    <w:rPr>
                      <w:color w:val="auto"/>
                      <w:sz w:val="21"/>
                      <w:szCs w:val="21"/>
                    </w:rPr>
                    <w:t>2022</w:t>
                  </w:r>
                  <w:r>
                    <w:rPr>
                      <w:color w:val="auto"/>
                      <w:sz w:val="21"/>
                      <w:szCs w:val="21"/>
                    </w:rPr>
                    <w:fldChar w:fldCharType="end"/>
                  </w:r>
                  <w:r>
                    <w:rPr>
                      <w:color w:val="auto"/>
                      <w:sz w:val="21"/>
                      <w:szCs w:val="21"/>
                    </w:rPr>
                    <w:t xml:space="preserve">]21 </w:t>
                  </w:r>
                  <w:r>
                    <w:rPr>
                      <w:rFonts w:ascii="宋体" w:hAnsi="宋体" w:eastAsia="宋体" w:cs="宋体"/>
                      <w:color w:val="auto"/>
                      <w:sz w:val="21"/>
                      <w:szCs w:val="21"/>
                    </w:rPr>
                    <w:t>号</w:t>
                  </w:r>
                </w:p>
              </w:tc>
            </w:tr>
            <w:tr w14:paraId="66EDD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11" w:type="dxa"/>
                  <w:vAlign w:val="center"/>
                </w:tcPr>
                <w:p w14:paraId="1ECFC6F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105</w:t>
                  </w:r>
                </w:p>
              </w:tc>
              <w:tc>
                <w:tcPr>
                  <w:tcW w:w="961" w:type="dxa"/>
                  <w:vAlign w:val="center"/>
                </w:tcPr>
                <w:p w14:paraId="3E5AE02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溢拓新能源</w:t>
                  </w:r>
                  <w:r>
                    <w:rPr>
                      <w:color w:val="auto"/>
                      <w:spacing w:val="-1"/>
                      <w:sz w:val="21"/>
                      <w:szCs w:val="21"/>
                    </w:rPr>
                    <w:t>(</w:t>
                  </w:r>
                  <w:r>
                    <w:rPr>
                      <w:rFonts w:ascii="宋体" w:hAnsi="宋体" w:eastAsia="宋体" w:cs="宋体"/>
                      <w:color w:val="auto"/>
                      <w:spacing w:val="-1"/>
                      <w:sz w:val="21"/>
                      <w:szCs w:val="21"/>
                    </w:rPr>
                    <w:t>广东</w:t>
                  </w:r>
                  <w:r>
                    <w:rPr>
                      <w:color w:val="auto"/>
                      <w:spacing w:val="-1"/>
                      <w:sz w:val="21"/>
                      <w:szCs w:val="21"/>
                    </w:rPr>
                    <w:t>)</w:t>
                  </w:r>
                  <w:r>
                    <w:rPr>
                      <w:rFonts w:ascii="宋体" w:hAnsi="宋体" w:eastAsia="宋体" w:cs="宋体"/>
                      <w:color w:val="auto"/>
                      <w:spacing w:val="-1"/>
                      <w:sz w:val="21"/>
                      <w:szCs w:val="21"/>
                    </w:rPr>
                    <w:t>有限公司</w:t>
                  </w:r>
                </w:p>
              </w:tc>
              <w:tc>
                <w:tcPr>
                  <w:tcW w:w="600" w:type="dxa"/>
                  <w:vAlign w:val="center"/>
                </w:tcPr>
                <w:p w14:paraId="20DF632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56584570">
                  <w:pPr>
                    <w:keepNext w:val="0"/>
                    <w:keepLines w:val="0"/>
                    <w:pageBreakBefore w:val="0"/>
                    <w:widowControl/>
                    <w:kinsoku w:val="0"/>
                    <w:wordWrap/>
                    <w:overflowPunct/>
                    <w:topLinePunct w:val="0"/>
                    <w:autoSpaceDE w:val="0"/>
                    <w:autoSpaceDN w:val="0"/>
                    <w:bidi w:val="0"/>
                    <w:adjustRightInd w:val="0"/>
                    <w:snapToGrid w:val="0"/>
                    <w:spacing w:line="240" w:lineRule="auto"/>
                    <w:ind w:left="0" w:right="132" w:hanging="603"/>
                    <w:jc w:val="center"/>
                    <w:textAlignment w:val="baseline"/>
                    <w:rPr>
                      <w:rFonts w:ascii="宋体" w:hAnsi="宋体" w:eastAsia="宋体" w:cs="宋体"/>
                      <w:color w:val="auto"/>
                      <w:sz w:val="21"/>
                      <w:szCs w:val="21"/>
                    </w:rPr>
                  </w:pPr>
                  <w:r>
                    <w:rPr>
                      <w:rFonts w:ascii="宋体" w:hAnsi="宋体" w:eastAsia="宋体" w:cs="宋体"/>
                      <w:color w:val="auto"/>
                      <w:spacing w:val="-4"/>
                      <w:sz w:val="21"/>
                      <w:szCs w:val="21"/>
                    </w:rPr>
                    <w:t>电气机械和器材制</w:t>
                  </w:r>
                  <w:r>
                    <w:rPr>
                      <w:rFonts w:ascii="宋体" w:hAnsi="宋体" w:eastAsia="宋体" w:cs="宋体"/>
                      <w:color w:val="auto"/>
                      <w:spacing w:val="-2"/>
                      <w:sz w:val="21"/>
                      <w:szCs w:val="21"/>
                    </w:rPr>
                    <w:t>造业</w:t>
                  </w:r>
                </w:p>
              </w:tc>
              <w:tc>
                <w:tcPr>
                  <w:tcW w:w="1140" w:type="dxa"/>
                  <w:vAlign w:val="center"/>
                </w:tcPr>
                <w:p w14:paraId="4DCC7F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11000</w:t>
                  </w:r>
                </w:p>
              </w:tc>
              <w:tc>
                <w:tcPr>
                  <w:tcW w:w="2053" w:type="dxa"/>
                  <w:vAlign w:val="center"/>
                </w:tcPr>
                <w:p w14:paraId="13C8E8FB">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30"/>
                      <w:sz w:val="21"/>
                      <w:szCs w:val="21"/>
                    </w:rPr>
                    <w:t xml:space="preserve"> </w:t>
                  </w:r>
                  <w:r>
                    <w:rPr>
                      <w:color w:val="auto"/>
                      <w:spacing w:val="-2"/>
                      <w:sz w:val="21"/>
                      <w:szCs w:val="21"/>
                    </w:rPr>
                    <w:t>300</w:t>
                  </w:r>
                  <w:r>
                    <w:rPr>
                      <w:color w:val="auto"/>
                      <w:spacing w:val="14"/>
                      <w:sz w:val="21"/>
                      <w:szCs w:val="21"/>
                    </w:rPr>
                    <w:t xml:space="preserve"> </w:t>
                  </w:r>
                  <w:r>
                    <w:rPr>
                      <w:rFonts w:ascii="宋体" w:hAnsi="宋体" w:eastAsia="宋体" w:cs="宋体"/>
                      <w:color w:val="auto"/>
                      <w:spacing w:val="-2"/>
                      <w:sz w:val="21"/>
                      <w:szCs w:val="21"/>
                    </w:rPr>
                    <w:t>万件星空灯、</w:t>
                  </w:r>
                  <w:r>
                    <w:rPr>
                      <w:color w:val="auto"/>
                      <w:spacing w:val="-2"/>
                      <w:sz w:val="21"/>
                      <w:szCs w:val="21"/>
                    </w:rPr>
                    <w:t xml:space="preserve">20 </w:t>
                  </w:r>
                  <w:r>
                    <w:rPr>
                      <w:rFonts w:ascii="宋体" w:hAnsi="宋体" w:eastAsia="宋体" w:cs="宋体"/>
                      <w:color w:val="auto"/>
                      <w:spacing w:val="-2"/>
                      <w:sz w:val="21"/>
                      <w:szCs w:val="21"/>
                    </w:rPr>
                    <w:t>万件防触电排插、</w:t>
                  </w:r>
                  <w:r>
                    <w:rPr>
                      <w:color w:val="auto"/>
                      <w:spacing w:val="-2"/>
                      <w:sz w:val="21"/>
                      <w:szCs w:val="21"/>
                    </w:rPr>
                    <w:t>12</w:t>
                  </w:r>
                  <w:r>
                    <w:rPr>
                      <w:color w:val="auto"/>
                      <w:spacing w:val="13"/>
                      <w:w w:val="101"/>
                      <w:sz w:val="21"/>
                      <w:szCs w:val="21"/>
                    </w:rPr>
                    <w:t xml:space="preserve"> </w:t>
                  </w:r>
                  <w:r>
                    <w:rPr>
                      <w:rFonts w:ascii="宋体" w:hAnsi="宋体" w:eastAsia="宋体" w:cs="宋体"/>
                      <w:color w:val="auto"/>
                      <w:spacing w:val="-2"/>
                      <w:sz w:val="21"/>
                      <w:szCs w:val="21"/>
                    </w:rPr>
                    <w:t>万件擦窗机</w:t>
                  </w:r>
                </w:p>
              </w:tc>
              <w:tc>
                <w:tcPr>
                  <w:tcW w:w="1878" w:type="dxa"/>
                  <w:vAlign w:val="center"/>
                </w:tcPr>
                <w:p w14:paraId="3FB4CA6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韶环乐审〔</w:t>
                  </w:r>
                  <w:r>
                    <w:rPr>
                      <w:color w:val="auto"/>
                      <w:spacing w:val="-2"/>
                      <w:sz w:val="21"/>
                      <w:szCs w:val="21"/>
                    </w:rPr>
                    <w:t>2025</w:t>
                  </w:r>
                  <w:r>
                    <w:rPr>
                      <w:rFonts w:ascii="宋体" w:hAnsi="宋体" w:eastAsia="宋体" w:cs="宋体"/>
                      <w:color w:val="auto"/>
                      <w:spacing w:val="-2"/>
                      <w:sz w:val="21"/>
                      <w:szCs w:val="21"/>
                    </w:rPr>
                    <w:t>〕</w:t>
                  </w:r>
                  <w:r>
                    <w:rPr>
                      <w:color w:val="auto"/>
                      <w:spacing w:val="-2"/>
                      <w:sz w:val="21"/>
                      <w:szCs w:val="21"/>
                    </w:rPr>
                    <w:t>11</w:t>
                  </w:r>
                  <w:r>
                    <w:rPr>
                      <w:color w:val="auto"/>
                      <w:spacing w:val="24"/>
                      <w:sz w:val="21"/>
                      <w:szCs w:val="21"/>
                    </w:rPr>
                    <w:t xml:space="preserve"> </w:t>
                  </w:r>
                  <w:r>
                    <w:rPr>
                      <w:rFonts w:ascii="宋体" w:hAnsi="宋体" w:eastAsia="宋体" w:cs="宋体"/>
                      <w:color w:val="auto"/>
                      <w:spacing w:val="-2"/>
                      <w:sz w:val="21"/>
                      <w:szCs w:val="21"/>
                    </w:rPr>
                    <w:t>号</w:t>
                  </w:r>
                </w:p>
              </w:tc>
            </w:tr>
            <w:tr w14:paraId="4A5D7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3236317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106</w:t>
                  </w:r>
                </w:p>
              </w:tc>
              <w:tc>
                <w:tcPr>
                  <w:tcW w:w="961" w:type="dxa"/>
                  <w:vAlign w:val="center"/>
                </w:tcPr>
                <w:p w14:paraId="09F3083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乐昌皓强科技有限公司</w:t>
                  </w:r>
                </w:p>
              </w:tc>
              <w:tc>
                <w:tcPr>
                  <w:tcW w:w="600" w:type="dxa"/>
                  <w:vAlign w:val="center"/>
                </w:tcPr>
                <w:p w14:paraId="0D2C51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4C20F49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橡胶和塑料制品业</w:t>
                  </w:r>
                </w:p>
              </w:tc>
              <w:tc>
                <w:tcPr>
                  <w:tcW w:w="1140" w:type="dxa"/>
                  <w:vAlign w:val="center"/>
                </w:tcPr>
                <w:p w14:paraId="14AF553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9600</w:t>
                  </w:r>
                </w:p>
              </w:tc>
              <w:tc>
                <w:tcPr>
                  <w:tcW w:w="2053" w:type="dxa"/>
                  <w:vAlign w:val="center"/>
                </w:tcPr>
                <w:p w14:paraId="13662A0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w:t>
                  </w:r>
                  <w:r>
                    <w:rPr>
                      <w:rFonts w:ascii="宋体" w:hAnsi="宋体" w:eastAsia="宋体" w:cs="宋体"/>
                      <w:color w:val="auto"/>
                      <w:spacing w:val="-27"/>
                      <w:sz w:val="21"/>
                      <w:szCs w:val="21"/>
                    </w:rPr>
                    <w:t xml:space="preserve"> </w:t>
                  </w:r>
                  <w:r>
                    <w:rPr>
                      <w:color w:val="auto"/>
                      <w:spacing w:val="-2"/>
                      <w:sz w:val="21"/>
                      <w:szCs w:val="21"/>
                    </w:rPr>
                    <w:t>106</w:t>
                  </w:r>
                  <w:r>
                    <w:rPr>
                      <w:color w:val="auto"/>
                      <w:spacing w:val="13"/>
                      <w:w w:val="101"/>
                      <w:sz w:val="21"/>
                      <w:szCs w:val="21"/>
                    </w:rPr>
                    <w:t xml:space="preserve"> </w:t>
                  </w:r>
                  <w:r>
                    <w:rPr>
                      <w:rFonts w:ascii="宋体" w:hAnsi="宋体" w:eastAsia="宋体" w:cs="宋体"/>
                      <w:color w:val="auto"/>
                      <w:spacing w:val="-2"/>
                      <w:sz w:val="21"/>
                      <w:szCs w:val="21"/>
                    </w:rPr>
                    <w:t>万平方米新型先进复合建筑塑料</w:t>
                  </w:r>
                  <w:r>
                    <w:rPr>
                      <w:rFonts w:ascii="宋体" w:hAnsi="宋体" w:eastAsia="宋体" w:cs="宋体"/>
                      <w:color w:val="auto"/>
                      <w:spacing w:val="-3"/>
                      <w:sz w:val="21"/>
                      <w:szCs w:val="21"/>
                    </w:rPr>
                    <w:t>模板</w:t>
                  </w:r>
                </w:p>
              </w:tc>
              <w:tc>
                <w:tcPr>
                  <w:tcW w:w="1878" w:type="dxa"/>
                  <w:vAlign w:val="center"/>
                </w:tcPr>
                <w:p w14:paraId="6A53D32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2022</w:t>
                  </w:r>
                  <w:r>
                    <w:rPr>
                      <w:rFonts w:ascii="宋体" w:hAnsi="宋体" w:eastAsia="宋体" w:cs="宋体"/>
                      <w:color w:val="auto"/>
                      <w:spacing w:val="-1"/>
                      <w:sz w:val="21"/>
                      <w:szCs w:val="21"/>
                    </w:rPr>
                    <w:t>〕</w:t>
                  </w:r>
                  <w:r>
                    <w:rPr>
                      <w:color w:val="auto"/>
                      <w:spacing w:val="-1"/>
                      <w:sz w:val="21"/>
                      <w:szCs w:val="21"/>
                    </w:rPr>
                    <w:t>02</w:t>
                  </w:r>
                  <w:r>
                    <w:rPr>
                      <w:color w:val="auto"/>
                      <w:spacing w:val="18"/>
                      <w:sz w:val="21"/>
                      <w:szCs w:val="21"/>
                    </w:rPr>
                    <w:t xml:space="preserve"> </w:t>
                  </w:r>
                  <w:r>
                    <w:rPr>
                      <w:rFonts w:ascii="宋体" w:hAnsi="宋体" w:eastAsia="宋体" w:cs="宋体"/>
                      <w:color w:val="auto"/>
                      <w:spacing w:val="-1"/>
                      <w:sz w:val="21"/>
                      <w:szCs w:val="21"/>
                    </w:rPr>
                    <w:t>号</w:t>
                  </w:r>
                </w:p>
              </w:tc>
            </w:tr>
            <w:tr w14:paraId="7888F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7086E69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107</w:t>
                  </w:r>
                </w:p>
              </w:tc>
              <w:tc>
                <w:tcPr>
                  <w:tcW w:w="961" w:type="dxa"/>
                  <w:vAlign w:val="center"/>
                </w:tcPr>
                <w:p w14:paraId="795640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乐昌市保利发矿山机械配件</w:t>
                  </w:r>
                </w:p>
                <w:p w14:paraId="65150BB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有限公司</w:t>
                  </w:r>
                </w:p>
              </w:tc>
              <w:tc>
                <w:tcPr>
                  <w:tcW w:w="600" w:type="dxa"/>
                  <w:vAlign w:val="center"/>
                </w:tcPr>
                <w:p w14:paraId="3CC0B3E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停产</w:t>
                  </w:r>
                </w:p>
              </w:tc>
              <w:tc>
                <w:tcPr>
                  <w:tcW w:w="915" w:type="dxa"/>
                  <w:vAlign w:val="center"/>
                </w:tcPr>
                <w:p w14:paraId="3508C0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4CCD7F1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4050</w:t>
                  </w:r>
                </w:p>
              </w:tc>
              <w:tc>
                <w:tcPr>
                  <w:tcW w:w="2053" w:type="dxa"/>
                  <w:vAlign w:val="center"/>
                </w:tcPr>
                <w:p w14:paraId="0E1DF8F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年产破碎机边板</w:t>
                  </w:r>
                  <w:r>
                    <w:rPr>
                      <w:rFonts w:ascii="宋体" w:hAnsi="宋体" w:eastAsia="宋体" w:cs="宋体"/>
                      <w:color w:val="auto"/>
                      <w:spacing w:val="-43"/>
                      <w:sz w:val="21"/>
                      <w:szCs w:val="21"/>
                    </w:rPr>
                    <w:t xml:space="preserve"> </w:t>
                  </w:r>
                  <w:r>
                    <w:rPr>
                      <w:color w:val="auto"/>
                      <w:spacing w:val="-2"/>
                      <w:sz w:val="21"/>
                      <w:szCs w:val="21"/>
                    </w:rPr>
                    <w:t>3000</w:t>
                  </w:r>
                  <w:r>
                    <w:rPr>
                      <w:color w:val="auto"/>
                      <w:spacing w:val="18"/>
                      <w:w w:val="101"/>
                      <w:sz w:val="21"/>
                      <w:szCs w:val="21"/>
                    </w:rPr>
                    <w:t xml:space="preserve"> </w:t>
                  </w:r>
                  <w:r>
                    <w:rPr>
                      <w:rFonts w:ascii="宋体" w:hAnsi="宋体" w:eastAsia="宋体" w:cs="宋体"/>
                      <w:color w:val="auto"/>
                      <w:spacing w:val="-2"/>
                      <w:sz w:val="21"/>
                      <w:szCs w:val="21"/>
                    </w:rPr>
                    <w:t>吨、锤头</w:t>
                  </w:r>
                  <w:r>
                    <w:rPr>
                      <w:rFonts w:ascii="宋体" w:hAnsi="宋体" w:eastAsia="宋体" w:cs="宋体"/>
                      <w:color w:val="auto"/>
                      <w:spacing w:val="-48"/>
                      <w:sz w:val="21"/>
                      <w:szCs w:val="21"/>
                    </w:rPr>
                    <w:t xml:space="preserve"> </w:t>
                  </w:r>
                  <w:r>
                    <w:rPr>
                      <w:color w:val="auto"/>
                      <w:spacing w:val="-2"/>
                      <w:sz w:val="21"/>
                      <w:szCs w:val="21"/>
                    </w:rPr>
                    <w:t>2000</w:t>
                  </w:r>
                  <w:r>
                    <w:rPr>
                      <w:color w:val="auto"/>
                      <w:spacing w:val="16"/>
                      <w:w w:val="101"/>
                      <w:sz w:val="21"/>
                      <w:szCs w:val="21"/>
                    </w:rPr>
                    <w:t xml:space="preserve"> </w:t>
                  </w:r>
                  <w:r>
                    <w:rPr>
                      <w:rFonts w:ascii="宋体" w:hAnsi="宋体" w:eastAsia="宋体" w:cs="宋体"/>
                      <w:color w:val="auto"/>
                      <w:spacing w:val="-2"/>
                      <w:sz w:val="21"/>
                      <w:szCs w:val="21"/>
                    </w:rPr>
                    <w:t>吨</w:t>
                  </w:r>
                  <w:r>
                    <w:rPr>
                      <w:rFonts w:ascii="宋体" w:hAnsi="宋体" w:eastAsia="宋体" w:cs="宋体"/>
                      <w:color w:val="auto"/>
                      <w:spacing w:val="-3"/>
                      <w:sz w:val="21"/>
                      <w:szCs w:val="21"/>
                    </w:rPr>
                    <w:t>、配件</w:t>
                  </w:r>
                  <w:r>
                    <w:rPr>
                      <w:rFonts w:ascii="宋体" w:hAnsi="宋体" w:eastAsia="宋体" w:cs="宋体"/>
                      <w:color w:val="auto"/>
                      <w:spacing w:val="-45"/>
                      <w:sz w:val="21"/>
                      <w:szCs w:val="21"/>
                    </w:rPr>
                    <w:t xml:space="preserve"> </w:t>
                  </w:r>
                  <w:r>
                    <w:rPr>
                      <w:color w:val="auto"/>
                      <w:spacing w:val="-3"/>
                      <w:sz w:val="21"/>
                      <w:szCs w:val="21"/>
                    </w:rPr>
                    <w:t>5000</w:t>
                  </w:r>
                  <w:r>
                    <w:rPr>
                      <w:color w:val="auto"/>
                      <w:spacing w:val="16"/>
                      <w:w w:val="101"/>
                      <w:sz w:val="21"/>
                      <w:szCs w:val="21"/>
                    </w:rPr>
                    <w:t xml:space="preserve"> </w:t>
                  </w:r>
                  <w:r>
                    <w:rPr>
                      <w:rFonts w:ascii="宋体" w:hAnsi="宋体" w:eastAsia="宋体" w:cs="宋体"/>
                      <w:color w:val="auto"/>
                      <w:spacing w:val="-3"/>
                      <w:sz w:val="21"/>
                      <w:szCs w:val="21"/>
                    </w:rPr>
                    <w:t>吨</w:t>
                  </w:r>
                </w:p>
              </w:tc>
              <w:tc>
                <w:tcPr>
                  <w:tcW w:w="1878" w:type="dxa"/>
                  <w:vAlign w:val="center"/>
                </w:tcPr>
                <w:p w14:paraId="29F5501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乐环审</w:t>
                  </w:r>
                  <w:r>
                    <w:rPr>
                      <w:color w:val="auto"/>
                      <w:spacing w:val="-2"/>
                      <w:sz w:val="21"/>
                      <w:szCs w:val="21"/>
                    </w:rPr>
                    <w:t>[</w:t>
                  </w:r>
                  <w:r>
                    <w:rPr>
                      <w:color w:val="auto"/>
                      <w:sz w:val="21"/>
                      <w:szCs w:val="21"/>
                    </w:rPr>
                    <w:fldChar w:fldCharType="begin"/>
                  </w:r>
                  <w:r>
                    <w:rPr>
                      <w:color w:val="auto"/>
                      <w:sz w:val="21"/>
                      <w:szCs w:val="21"/>
                    </w:rPr>
                    <w:instrText xml:space="preserve"> HYPERLINK \l "bookmark260" </w:instrText>
                  </w:r>
                  <w:r>
                    <w:rPr>
                      <w:color w:val="auto"/>
                      <w:sz w:val="21"/>
                      <w:szCs w:val="21"/>
                    </w:rPr>
                    <w:fldChar w:fldCharType="separate"/>
                  </w:r>
                  <w:r>
                    <w:rPr>
                      <w:color w:val="auto"/>
                      <w:spacing w:val="-2"/>
                      <w:sz w:val="21"/>
                      <w:szCs w:val="21"/>
                    </w:rPr>
                    <w:t>2018</w:t>
                  </w:r>
                  <w:r>
                    <w:rPr>
                      <w:color w:val="auto"/>
                      <w:spacing w:val="-2"/>
                      <w:sz w:val="21"/>
                      <w:szCs w:val="21"/>
                    </w:rPr>
                    <w:fldChar w:fldCharType="end"/>
                  </w:r>
                  <w:r>
                    <w:rPr>
                      <w:color w:val="auto"/>
                      <w:spacing w:val="-2"/>
                      <w:sz w:val="21"/>
                      <w:szCs w:val="21"/>
                    </w:rPr>
                    <w:t>]29</w:t>
                  </w:r>
                  <w:r>
                    <w:rPr>
                      <w:color w:val="auto"/>
                      <w:spacing w:val="20"/>
                      <w:sz w:val="21"/>
                      <w:szCs w:val="21"/>
                    </w:rPr>
                    <w:t xml:space="preserve"> </w:t>
                  </w:r>
                  <w:r>
                    <w:rPr>
                      <w:rFonts w:ascii="宋体" w:hAnsi="宋体" w:eastAsia="宋体" w:cs="宋体"/>
                      <w:color w:val="auto"/>
                      <w:spacing w:val="-2"/>
                      <w:sz w:val="21"/>
                      <w:szCs w:val="21"/>
                    </w:rPr>
                    <w:t>号、韶环乐审</w:t>
                  </w:r>
                </w:p>
                <w:p w14:paraId="5D480C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color w:val="auto"/>
                      <w:spacing w:val="-5"/>
                      <w:sz w:val="21"/>
                      <w:szCs w:val="21"/>
                    </w:rPr>
                    <w:t>[</w:t>
                  </w:r>
                  <w:r>
                    <w:rPr>
                      <w:color w:val="auto"/>
                      <w:sz w:val="21"/>
                      <w:szCs w:val="21"/>
                    </w:rPr>
                    <w:fldChar w:fldCharType="begin"/>
                  </w:r>
                  <w:r>
                    <w:rPr>
                      <w:color w:val="auto"/>
                      <w:sz w:val="21"/>
                      <w:szCs w:val="21"/>
                    </w:rPr>
                    <w:instrText xml:space="preserve"> HYPERLINK \l "bookmark261" </w:instrText>
                  </w:r>
                  <w:r>
                    <w:rPr>
                      <w:color w:val="auto"/>
                      <w:sz w:val="21"/>
                      <w:szCs w:val="21"/>
                    </w:rPr>
                    <w:fldChar w:fldCharType="separate"/>
                  </w:r>
                  <w:r>
                    <w:rPr>
                      <w:color w:val="auto"/>
                      <w:spacing w:val="-5"/>
                      <w:sz w:val="21"/>
                      <w:szCs w:val="21"/>
                    </w:rPr>
                    <w:t>2022</w:t>
                  </w:r>
                  <w:r>
                    <w:rPr>
                      <w:color w:val="auto"/>
                      <w:spacing w:val="-5"/>
                      <w:sz w:val="21"/>
                      <w:szCs w:val="21"/>
                    </w:rPr>
                    <w:fldChar w:fldCharType="end"/>
                  </w:r>
                  <w:r>
                    <w:rPr>
                      <w:color w:val="auto"/>
                      <w:spacing w:val="-5"/>
                      <w:sz w:val="21"/>
                      <w:szCs w:val="21"/>
                    </w:rPr>
                    <w:t>]</w:t>
                  </w:r>
                  <w:r>
                    <w:rPr>
                      <w:color w:val="auto"/>
                      <w:spacing w:val="-23"/>
                      <w:sz w:val="21"/>
                      <w:szCs w:val="21"/>
                    </w:rPr>
                    <w:t xml:space="preserve"> </w:t>
                  </w:r>
                  <w:r>
                    <w:rPr>
                      <w:color w:val="auto"/>
                      <w:spacing w:val="-5"/>
                      <w:sz w:val="21"/>
                      <w:szCs w:val="21"/>
                    </w:rPr>
                    <w:t>16</w:t>
                  </w:r>
                  <w:r>
                    <w:rPr>
                      <w:color w:val="auto"/>
                      <w:spacing w:val="11"/>
                      <w:sz w:val="21"/>
                      <w:szCs w:val="21"/>
                    </w:rPr>
                    <w:t xml:space="preserve"> </w:t>
                  </w:r>
                  <w:r>
                    <w:rPr>
                      <w:rFonts w:ascii="宋体" w:hAnsi="宋体" w:eastAsia="宋体" w:cs="宋体"/>
                      <w:color w:val="auto"/>
                      <w:spacing w:val="-5"/>
                      <w:sz w:val="21"/>
                      <w:szCs w:val="21"/>
                    </w:rPr>
                    <w:t>号</w:t>
                  </w:r>
                </w:p>
              </w:tc>
            </w:tr>
            <w:tr w14:paraId="6E3ED2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1FBD94D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108</w:t>
                  </w:r>
                </w:p>
              </w:tc>
              <w:tc>
                <w:tcPr>
                  <w:tcW w:w="961" w:type="dxa"/>
                  <w:vAlign w:val="center"/>
                </w:tcPr>
                <w:p w14:paraId="1F64553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乐昌市第二污水处理厂</w:t>
                  </w:r>
                </w:p>
              </w:tc>
              <w:tc>
                <w:tcPr>
                  <w:tcW w:w="600" w:type="dxa"/>
                  <w:vAlign w:val="center"/>
                </w:tcPr>
                <w:p w14:paraId="2CF9FE5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26DB68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污水处理及其再生</w:t>
                  </w:r>
                  <w:r>
                    <w:rPr>
                      <w:rFonts w:ascii="宋体" w:hAnsi="宋体" w:eastAsia="宋体" w:cs="宋体"/>
                      <w:color w:val="auto"/>
                      <w:spacing w:val="-2"/>
                      <w:sz w:val="21"/>
                      <w:szCs w:val="21"/>
                    </w:rPr>
                    <w:t>利用业</w:t>
                  </w:r>
                </w:p>
              </w:tc>
              <w:tc>
                <w:tcPr>
                  <w:tcW w:w="1140" w:type="dxa"/>
                  <w:vAlign w:val="center"/>
                </w:tcPr>
                <w:p w14:paraId="540DF37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56850</w:t>
                  </w:r>
                </w:p>
              </w:tc>
              <w:tc>
                <w:tcPr>
                  <w:tcW w:w="2053" w:type="dxa"/>
                  <w:vAlign w:val="center"/>
                </w:tcPr>
                <w:p w14:paraId="3A53CE0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处理量</w:t>
                  </w:r>
                  <w:r>
                    <w:rPr>
                      <w:rFonts w:ascii="宋体" w:hAnsi="宋体" w:eastAsia="宋体" w:cs="宋体"/>
                      <w:color w:val="auto"/>
                      <w:spacing w:val="-34"/>
                      <w:sz w:val="21"/>
                      <w:szCs w:val="21"/>
                    </w:rPr>
                    <w:t xml:space="preserve"> </w:t>
                  </w:r>
                  <w:r>
                    <w:rPr>
                      <w:color w:val="auto"/>
                      <w:spacing w:val="-2"/>
                      <w:sz w:val="21"/>
                      <w:szCs w:val="21"/>
                    </w:rPr>
                    <w:t xml:space="preserve">30000 </w:t>
                  </w:r>
                  <w:r>
                    <w:rPr>
                      <w:rFonts w:ascii="宋体" w:hAnsi="宋体" w:eastAsia="宋体" w:cs="宋体"/>
                      <w:color w:val="auto"/>
                      <w:spacing w:val="-2"/>
                      <w:sz w:val="21"/>
                      <w:szCs w:val="21"/>
                    </w:rPr>
                    <w:t>立方米</w:t>
                  </w:r>
                  <w:r>
                    <w:rPr>
                      <w:color w:val="auto"/>
                      <w:spacing w:val="-2"/>
                      <w:sz w:val="21"/>
                      <w:szCs w:val="21"/>
                    </w:rPr>
                    <w:t>/</w:t>
                  </w:r>
                  <w:r>
                    <w:rPr>
                      <w:rFonts w:ascii="宋体" w:hAnsi="宋体" w:eastAsia="宋体" w:cs="宋体"/>
                      <w:color w:val="auto"/>
                      <w:spacing w:val="-2"/>
                      <w:sz w:val="21"/>
                      <w:szCs w:val="21"/>
                    </w:rPr>
                    <w:t>天</w:t>
                  </w:r>
                </w:p>
              </w:tc>
              <w:tc>
                <w:tcPr>
                  <w:tcW w:w="1878" w:type="dxa"/>
                  <w:vAlign w:val="center"/>
                </w:tcPr>
                <w:p w14:paraId="03DB93D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2021</w:t>
                  </w:r>
                  <w:r>
                    <w:rPr>
                      <w:rFonts w:ascii="宋体" w:hAnsi="宋体" w:eastAsia="宋体" w:cs="宋体"/>
                      <w:color w:val="auto"/>
                      <w:spacing w:val="-1"/>
                      <w:sz w:val="21"/>
                      <w:szCs w:val="21"/>
                    </w:rPr>
                    <w:t>〕</w:t>
                  </w:r>
                  <w:r>
                    <w:rPr>
                      <w:color w:val="auto"/>
                      <w:spacing w:val="-1"/>
                      <w:sz w:val="21"/>
                      <w:szCs w:val="21"/>
                    </w:rPr>
                    <w:t>07</w:t>
                  </w:r>
                  <w:r>
                    <w:rPr>
                      <w:color w:val="auto"/>
                      <w:spacing w:val="18"/>
                      <w:sz w:val="21"/>
                      <w:szCs w:val="21"/>
                    </w:rPr>
                    <w:t xml:space="preserve"> </w:t>
                  </w:r>
                  <w:r>
                    <w:rPr>
                      <w:rFonts w:ascii="宋体" w:hAnsi="宋体" w:eastAsia="宋体" w:cs="宋体"/>
                      <w:color w:val="auto"/>
                      <w:spacing w:val="-1"/>
                      <w:sz w:val="21"/>
                      <w:szCs w:val="21"/>
                    </w:rPr>
                    <w:t>号</w:t>
                  </w:r>
                </w:p>
              </w:tc>
            </w:tr>
            <w:tr w14:paraId="4D232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5411FC52">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6"/>
                      <w:sz w:val="21"/>
                      <w:szCs w:val="21"/>
                    </w:rPr>
                    <w:t>109</w:t>
                  </w:r>
                </w:p>
              </w:tc>
              <w:tc>
                <w:tcPr>
                  <w:tcW w:w="961" w:type="dxa"/>
                  <w:vAlign w:val="center"/>
                </w:tcPr>
                <w:p w14:paraId="043F57E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乐昌市芬乐制衣有限公司</w:t>
                  </w:r>
                </w:p>
              </w:tc>
              <w:tc>
                <w:tcPr>
                  <w:tcW w:w="600" w:type="dxa"/>
                  <w:vAlign w:val="center"/>
                </w:tcPr>
                <w:p w14:paraId="75BAA01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1218CFE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纺织业</w:t>
                  </w:r>
                </w:p>
              </w:tc>
              <w:tc>
                <w:tcPr>
                  <w:tcW w:w="1140" w:type="dxa"/>
                  <w:vAlign w:val="center"/>
                </w:tcPr>
                <w:p w14:paraId="144FE675">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40000</w:t>
                  </w:r>
                </w:p>
              </w:tc>
              <w:tc>
                <w:tcPr>
                  <w:tcW w:w="2053" w:type="dxa"/>
                  <w:vAlign w:val="center"/>
                </w:tcPr>
                <w:p w14:paraId="6DAAD6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服装、内衣裤、卫生用品类（纸内裤）、纺织品、第二类医疗</w:t>
                  </w:r>
                </w:p>
                <w:p w14:paraId="1BB1D0A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6"/>
                      <w:sz w:val="21"/>
                      <w:szCs w:val="21"/>
                    </w:rPr>
                    <w:t>器械（医用口罩、防护服）、日用罩（非医用）</w:t>
                  </w:r>
                </w:p>
              </w:tc>
              <w:tc>
                <w:tcPr>
                  <w:tcW w:w="1878" w:type="dxa"/>
                  <w:vAlign w:val="center"/>
                </w:tcPr>
                <w:p w14:paraId="1610442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202044028100000158</w:t>
                  </w:r>
                </w:p>
              </w:tc>
            </w:tr>
            <w:tr w14:paraId="761C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11" w:type="dxa"/>
                  <w:vAlign w:val="center"/>
                </w:tcPr>
                <w:p w14:paraId="787CA08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110</w:t>
                  </w:r>
                </w:p>
              </w:tc>
              <w:tc>
                <w:tcPr>
                  <w:tcW w:w="961" w:type="dxa"/>
                  <w:vAlign w:val="center"/>
                </w:tcPr>
                <w:p w14:paraId="170E1E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乐昌市瑞昊机械厂</w:t>
                  </w:r>
                </w:p>
              </w:tc>
              <w:tc>
                <w:tcPr>
                  <w:tcW w:w="600" w:type="dxa"/>
                  <w:vAlign w:val="center"/>
                </w:tcPr>
                <w:p w14:paraId="2D68676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0FA60F7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6B74C17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2"/>
                      <w:sz w:val="21"/>
                      <w:szCs w:val="21"/>
                    </w:rPr>
                    <w:t>600</w:t>
                  </w:r>
                </w:p>
              </w:tc>
              <w:tc>
                <w:tcPr>
                  <w:tcW w:w="2053" w:type="dxa"/>
                  <w:vAlign w:val="center"/>
                </w:tcPr>
                <w:p w14:paraId="7D61E40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年加工金属机械零部件</w:t>
                  </w:r>
                  <w:r>
                    <w:rPr>
                      <w:rFonts w:ascii="宋体" w:hAnsi="宋体" w:eastAsia="宋体" w:cs="宋体"/>
                      <w:color w:val="auto"/>
                      <w:spacing w:val="-35"/>
                      <w:sz w:val="21"/>
                      <w:szCs w:val="21"/>
                    </w:rPr>
                    <w:t xml:space="preserve"> </w:t>
                  </w:r>
                  <w:r>
                    <w:rPr>
                      <w:color w:val="auto"/>
                      <w:spacing w:val="-2"/>
                      <w:sz w:val="21"/>
                      <w:szCs w:val="21"/>
                    </w:rPr>
                    <w:t>360</w:t>
                  </w:r>
                  <w:r>
                    <w:rPr>
                      <w:color w:val="auto"/>
                      <w:spacing w:val="18"/>
                      <w:w w:val="101"/>
                      <w:sz w:val="21"/>
                      <w:szCs w:val="21"/>
                    </w:rPr>
                    <w:t xml:space="preserve"> </w:t>
                  </w:r>
                  <w:r>
                    <w:rPr>
                      <w:rFonts w:ascii="宋体" w:hAnsi="宋体" w:eastAsia="宋体" w:cs="宋体"/>
                      <w:color w:val="auto"/>
                      <w:spacing w:val="-2"/>
                      <w:sz w:val="21"/>
                      <w:szCs w:val="21"/>
                    </w:rPr>
                    <w:t>吨</w:t>
                  </w:r>
                </w:p>
              </w:tc>
              <w:tc>
                <w:tcPr>
                  <w:tcW w:w="1878" w:type="dxa"/>
                  <w:vAlign w:val="center"/>
                </w:tcPr>
                <w:p w14:paraId="55CDC54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201744028100000317</w:t>
                  </w:r>
                </w:p>
              </w:tc>
            </w:tr>
            <w:tr w14:paraId="6F138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44B1F566">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9"/>
                      <w:sz w:val="21"/>
                      <w:szCs w:val="21"/>
                    </w:rPr>
                    <w:t>111</w:t>
                  </w:r>
                </w:p>
              </w:tc>
              <w:tc>
                <w:tcPr>
                  <w:tcW w:w="961" w:type="dxa"/>
                  <w:vAlign w:val="center"/>
                </w:tcPr>
                <w:p w14:paraId="61525D4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广东创睿极光光电有限公司</w:t>
                  </w:r>
                </w:p>
              </w:tc>
              <w:tc>
                <w:tcPr>
                  <w:tcW w:w="600" w:type="dxa"/>
                  <w:vAlign w:val="center"/>
                </w:tcPr>
                <w:p w14:paraId="43A436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3CCBF2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计算机、通信和其他电子设备制造业</w:t>
                  </w:r>
                </w:p>
              </w:tc>
              <w:tc>
                <w:tcPr>
                  <w:tcW w:w="1140" w:type="dxa"/>
                  <w:vAlign w:val="center"/>
                </w:tcPr>
                <w:p w14:paraId="4A02D68D">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1735</w:t>
                  </w:r>
                </w:p>
              </w:tc>
              <w:tc>
                <w:tcPr>
                  <w:tcW w:w="2053" w:type="dxa"/>
                  <w:vAlign w:val="center"/>
                </w:tcPr>
                <w:p w14:paraId="3D24C72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年产约</w:t>
                  </w:r>
                  <w:r>
                    <w:rPr>
                      <w:rFonts w:ascii="宋体" w:hAnsi="宋体" w:eastAsia="宋体" w:cs="宋体"/>
                      <w:color w:val="auto"/>
                      <w:spacing w:val="-44"/>
                      <w:sz w:val="21"/>
                      <w:szCs w:val="21"/>
                    </w:rPr>
                    <w:t xml:space="preserve"> </w:t>
                  </w:r>
                  <w:r>
                    <w:rPr>
                      <w:color w:val="auto"/>
                      <w:spacing w:val="-2"/>
                      <w:sz w:val="21"/>
                      <w:szCs w:val="21"/>
                    </w:rPr>
                    <w:t>2000</w:t>
                  </w:r>
                  <w:r>
                    <w:rPr>
                      <w:color w:val="auto"/>
                      <w:spacing w:val="14"/>
                      <w:sz w:val="21"/>
                      <w:szCs w:val="21"/>
                    </w:rPr>
                    <w:t xml:space="preserve"> </w:t>
                  </w:r>
                  <w:r>
                    <w:rPr>
                      <w:rFonts w:ascii="宋体" w:hAnsi="宋体" w:eastAsia="宋体" w:cs="宋体"/>
                      <w:color w:val="auto"/>
                      <w:spacing w:val="-2"/>
                      <w:sz w:val="21"/>
                      <w:szCs w:val="21"/>
                    </w:rPr>
                    <w:t>万条</w:t>
                  </w:r>
                  <w:r>
                    <w:rPr>
                      <w:rFonts w:ascii="宋体" w:hAnsi="宋体" w:eastAsia="宋体" w:cs="宋体"/>
                      <w:color w:val="auto"/>
                      <w:spacing w:val="-48"/>
                      <w:sz w:val="21"/>
                      <w:szCs w:val="21"/>
                    </w:rPr>
                    <w:t xml:space="preserve"> </w:t>
                  </w:r>
                  <w:r>
                    <w:rPr>
                      <w:color w:val="auto"/>
                      <w:spacing w:val="-2"/>
                      <w:sz w:val="21"/>
                      <w:szCs w:val="21"/>
                    </w:rPr>
                    <w:t xml:space="preserve">LED </w:t>
                  </w:r>
                  <w:r>
                    <w:rPr>
                      <w:rFonts w:ascii="宋体" w:hAnsi="宋体" w:eastAsia="宋体" w:cs="宋体"/>
                      <w:color w:val="auto"/>
                      <w:spacing w:val="-2"/>
                      <w:sz w:val="21"/>
                      <w:szCs w:val="21"/>
                    </w:rPr>
                    <w:t>灯条</w:t>
                  </w:r>
                </w:p>
              </w:tc>
              <w:tc>
                <w:tcPr>
                  <w:tcW w:w="1878" w:type="dxa"/>
                  <w:vAlign w:val="center"/>
                </w:tcPr>
                <w:p w14:paraId="485F5278">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201944028100000140</w:t>
                  </w:r>
                </w:p>
              </w:tc>
            </w:tr>
            <w:tr w14:paraId="0EFB7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11" w:type="dxa"/>
                  <w:vAlign w:val="center"/>
                </w:tcPr>
                <w:p w14:paraId="6097FE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Arial"/>
                      <w:color w:val="auto"/>
                      <w:sz w:val="21"/>
                      <w:szCs w:val="21"/>
                    </w:rPr>
                  </w:pPr>
                </w:p>
                <w:p w14:paraId="1F0D417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112</w:t>
                  </w:r>
                </w:p>
              </w:tc>
              <w:tc>
                <w:tcPr>
                  <w:tcW w:w="961" w:type="dxa"/>
                  <w:vAlign w:val="center"/>
                </w:tcPr>
                <w:p w14:paraId="5D1D72E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昇翰科技（广东）有限公司</w:t>
                  </w:r>
                </w:p>
              </w:tc>
              <w:tc>
                <w:tcPr>
                  <w:tcW w:w="600" w:type="dxa"/>
                  <w:vAlign w:val="center"/>
                </w:tcPr>
                <w:p w14:paraId="09E3A6C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8"/>
                      <w:sz w:val="21"/>
                      <w:szCs w:val="21"/>
                    </w:rPr>
                    <w:t>已建</w:t>
                  </w:r>
                </w:p>
              </w:tc>
              <w:tc>
                <w:tcPr>
                  <w:tcW w:w="915" w:type="dxa"/>
                  <w:vAlign w:val="center"/>
                </w:tcPr>
                <w:p w14:paraId="6BAA164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7F2F943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5"/>
                      <w:sz w:val="21"/>
                      <w:szCs w:val="21"/>
                    </w:rPr>
                    <w:t>1700</w:t>
                  </w:r>
                </w:p>
              </w:tc>
              <w:tc>
                <w:tcPr>
                  <w:tcW w:w="2053" w:type="dxa"/>
                  <w:vAlign w:val="center"/>
                </w:tcPr>
                <w:p w14:paraId="7E39EAF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生产加工滚珠螺母、滚珠丝杆、梯形螺母、梯形</w:t>
                  </w:r>
                  <w:r>
                    <w:rPr>
                      <w:rFonts w:ascii="宋体" w:hAnsi="宋体" w:eastAsia="宋体" w:cs="宋体"/>
                      <w:color w:val="auto"/>
                      <w:spacing w:val="-1"/>
                      <w:sz w:val="21"/>
                      <w:szCs w:val="21"/>
                    </w:rPr>
                    <w:t>丝杆、传动</w:t>
                  </w:r>
                </w:p>
                <w:p w14:paraId="7B0387A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z w:val="21"/>
                      <w:szCs w:val="21"/>
                    </w:rPr>
                    <w:t>元件、直线导轨、直线滑块、自动化机械设备、</w:t>
                  </w:r>
                  <w:r>
                    <w:rPr>
                      <w:rFonts w:ascii="宋体" w:hAnsi="宋体" w:eastAsia="宋体" w:cs="宋体"/>
                      <w:color w:val="auto"/>
                      <w:spacing w:val="-1"/>
                      <w:sz w:val="21"/>
                      <w:szCs w:val="21"/>
                    </w:rPr>
                    <w:t>电子元件、</w:t>
                  </w:r>
                </w:p>
                <w:p w14:paraId="4A28B52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电子材料、五金材料、自动化软硬件、电子产品。</w:t>
                  </w:r>
                </w:p>
              </w:tc>
              <w:tc>
                <w:tcPr>
                  <w:tcW w:w="1878" w:type="dxa"/>
                  <w:vAlign w:val="center"/>
                </w:tcPr>
                <w:p w14:paraId="1C5C71BE">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color w:val="auto"/>
                      <w:sz w:val="21"/>
                      <w:szCs w:val="21"/>
                    </w:rPr>
                  </w:pPr>
                  <w:r>
                    <w:rPr>
                      <w:color w:val="auto"/>
                      <w:spacing w:val="-1"/>
                      <w:sz w:val="21"/>
                      <w:szCs w:val="21"/>
                    </w:rPr>
                    <w:t>202044028100000048</w:t>
                  </w:r>
                </w:p>
              </w:tc>
            </w:tr>
            <w:tr w14:paraId="613F3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11" w:type="dxa"/>
                  <w:vAlign w:val="center"/>
                </w:tcPr>
                <w:p w14:paraId="0E1E232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113</w:t>
                  </w:r>
                </w:p>
              </w:tc>
              <w:tc>
                <w:tcPr>
                  <w:tcW w:w="961" w:type="dxa"/>
                  <w:vAlign w:val="center"/>
                </w:tcPr>
                <w:p w14:paraId="5F938E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广东运南新材料有限公司</w:t>
                  </w:r>
                </w:p>
              </w:tc>
              <w:tc>
                <w:tcPr>
                  <w:tcW w:w="600" w:type="dxa"/>
                  <w:vAlign w:val="center"/>
                </w:tcPr>
                <w:p w14:paraId="5A56FB8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0B46B6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废弃资源综合利用</w:t>
                  </w:r>
                  <w:r>
                    <w:rPr>
                      <w:rFonts w:ascii="宋体" w:hAnsi="宋体" w:eastAsia="宋体" w:cs="宋体"/>
                      <w:color w:val="auto"/>
                      <w:sz w:val="21"/>
                      <w:szCs w:val="21"/>
                    </w:rPr>
                    <w:t>业</w:t>
                  </w:r>
                </w:p>
              </w:tc>
              <w:tc>
                <w:tcPr>
                  <w:tcW w:w="1140" w:type="dxa"/>
                  <w:vAlign w:val="center"/>
                </w:tcPr>
                <w:p w14:paraId="7E5C014F">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37346.12</w:t>
                  </w:r>
                </w:p>
              </w:tc>
              <w:tc>
                <w:tcPr>
                  <w:tcW w:w="2053" w:type="dxa"/>
                  <w:vAlign w:val="center"/>
                </w:tcPr>
                <w:p w14:paraId="32E9368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年产破碎料</w:t>
                  </w:r>
                  <w:r>
                    <w:rPr>
                      <w:rFonts w:ascii="宋体" w:hAnsi="宋体" w:eastAsia="宋体" w:cs="宋体"/>
                      <w:color w:val="auto"/>
                      <w:spacing w:val="-43"/>
                      <w:sz w:val="21"/>
                      <w:szCs w:val="21"/>
                    </w:rPr>
                    <w:t xml:space="preserve"> </w:t>
                  </w:r>
                  <w:r>
                    <w:rPr>
                      <w:color w:val="auto"/>
                      <w:spacing w:val="-1"/>
                      <w:sz w:val="21"/>
                      <w:szCs w:val="21"/>
                    </w:rPr>
                    <w:t xml:space="preserve">7.1 </w:t>
                  </w:r>
                  <w:r>
                    <w:rPr>
                      <w:rFonts w:ascii="宋体" w:hAnsi="宋体" w:eastAsia="宋体" w:cs="宋体"/>
                      <w:color w:val="auto"/>
                      <w:spacing w:val="-1"/>
                      <w:sz w:val="21"/>
                      <w:szCs w:val="21"/>
                    </w:rPr>
                    <w:t>万吨</w:t>
                  </w:r>
                </w:p>
              </w:tc>
              <w:tc>
                <w:tcPr>
                  <w:tcW w:w="1878" w:type="dxa"/>
                  <w:vAlign w:val="center"/>
                </w:tcPr>
                <w:p w14:paraId="77F87B50">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2026</w:t>
                  </w:r>
                  <w:r>
                    <w:rPr>
                      <w:rFonts w:ascii="宋体" w:hAnsi="宋体" w:eastAsia="宋体" w:cs="宋体"/>
                      <w:color w:val="auto"/>
                      <w:spacing w:val="-1"/>
                      <w:sz w:val="21"/>
                      <w:szCs w:val="21"/>
                    </w:rPr>
                    <w:t>〕</w:t>
                  </w:r>
                  <w:r>
                    <w:rPr>
                      <w:color w:val="auto"/>
                      <w:spacing w:val="-1"/>
                      <w:sz w:val="21"/>
                      <w:szCs w:val="21"/>
                    </w:rPr>
                    <w:t>05</w:t>
                  </w:r>
                  <w:r>
                    <w:rPr>
                      <w:color w:val="auto"/>
                      <w:spacing w:val="18"/>
                      <w:sz w:val="21"/>
                      <w:szCs w:val="21"/>
                    </w:rPr>
                    <w:t xml:space="preserve"> </w:t>
                  </w:r>
                  <w:r>
                    <w:rPr>
                      <w:rFonts w:ascii="宋体" w:hAnsi="宋体" w:eastAsia="宋体" w:cs="宋体"/>
                      <w:color w:val="auto"/>
                      <w:spacing w:val="-1"/>
                      <w:sz w:val="21"/>
                      <w:szCs w:val="21"/>
                    </w:rPr>
                    <w:t>号</w:t>
                  </w:r>
                </w:p>
              </w:tc>
            </w:tr>
            <w:tr w14:paraId="4F613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11" w:type="dxa"/>
                  <w:vAlign w:val="center"/>
                </w:tcPr>
                <w:p w14:paraId="62925573">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0"/>
                      <w:sz w:val="21"/>
                      <w:szCs w:val="21"/>
                    </w:rPr>
                    <w:t>114</w:t>
                  </w:r>
                </w:p>
              </w:tc>
              <w:tc>
                <w:tcPr>
                  <w:tcW w:w="961" w:type="dxa"/>
                  <w:vAlign w:val="center"/>
                </w:tcPr>
                <w:p w14:paraId="20DF946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韶关九为新材料有限公司</w:t>
                  </w:r>
                </w:p>
              </w:tc>
              <w:tc>
                <w:tcPr>
                  <w:tcW w:w="600" w:type="dxa"/>
                  <w:vAlign w:val="center"/>
                </w:tcPr>
                <w:p w14:paraId="37901D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在建</w:t>
                  </w:r>
                </w:p>
              </w:tc>
              <w:tc>
                <w:tcPr>
                  <w:tcW w:w="915" w:type="dxa"/>
                  <w:vAlign w:val="center"/>
                </w:tcPr>
                <w:p w14:paraId="4A9D2E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金属制品业</w:t>
                  </w:r>
                </w:p>
              </w:tc>
              <w:tc>
                <w:tcPr>
                  <w:tcW w:w="1140" w:type="dxa"/>
                  <w:vAlign w:val="center"/>
                </w:tcPr>
                <w:p w14:paraId="06FC0FC1">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color w:val="auto"/>
                      <w:sz w:val="21"/>
                      <w:szCs w:val="21"/>
                    </w:rPr>
                  </w:pPr>
                  <w:r>
                    <w:rPr>
                      <w:color w:val="auto"/>
                      <w:spacing w:val="-1"/>
                      <w:sz w:val="21"/>
                      <w:szCs w:val="21"/>
                    </w:rPr>
                    <w:t>52810.91</w:t>
                  </w:r>
                </w:p>
              </w:tc>
              <w:tc>
                <w:tcPr>
                  <w:tcW w:w="2053" w:type="dxa"/>
                  <w:vAlign w:val="center"/>
                </w:tcPr>
                <w:p w14:paraId="200F976C">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ascii="宋体" w:hAnsi="宋体" w:eastAsia="宋体" w:cs="宋体"/>
                      <w:color w:val="auto"/>
                      <w:sz w:val="21"/>
                      <w:szCs w:val="21"/>
                    </w:rPr>
                  </w:pPr>
                  <w:r>
                    <w:rPr>
                      <w:rFonts w:ascii="宋体" w:hAnsi="宋体" w:eastAsia="宋体" w:cs="宋体"/>
                      <w:color w:val="auto"/>
                      <w:spacing w:val="-2"/>
                      <w:sz w:val="21"/>
                      <w:szCs w:val="21"/>
                    </w:rPr>
                    <w:t>年产铝模板</w:t>
                  </w:r>
                  <w:r>
                    <w:rPr>
                      <w:rFonts w:ascii="宋体" w:hAnsi="宋体" w:eastAsia="宋体" w:cs="宋体"/>
                      <w:color w:val="auto"/>
                      <w:spacing w:val="-36"/>
                      <w:sz w:val="21"/>
                      <w:szCs w:val="21"/>
                    </w:rPr>
                    <w:t xml:space="preserve"> </w:t>
                  </w:r>
                  <w:r>
                    <w:rPr>
                      <w:color w:val="auto"/>
                      <w:spacing w:val="-2"/>
                      <w:sz w:val="21"/>
                      <w:szCs w:val="21"/>
                    </w:rPr>
                    <w:t xml:space="preserve">50 </w:t>
                  </w:r>
                  <w:r>
                    <w:rPr>
                      <w:rFonts w:ascii="宋体" w:hAnsi="宋体" w:eastAsia="宋体" w:cs="宋体"/>
                      <w:color w:val="auto"/>
                      <w:spacing w:val="-2"/>
                      <w:sz w:val="21"/>
                      <w:szCs w:val="21"/>
                    </w:rPr>
                    <w:t>万平方米</w:t>
                  </w:r>
                </w:p>
              </w:tc>
              <w:tc>
                <w:tcPr>
                  <w:tcW w:w="1878" w:type="dxa"/>
                  <w:vAlign w:val="center"/>
                </w:tcPr>
                <w:p w14:paraId="31900AD4">
                  <w:pPr>
                    <w:pStyle w:val="128"/>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ascii="宋体" w:hAnsi="宋体" w:eastAsia="宋体" w:cs="宋体"/>
                      <w:color w:val="auto"/>
                      <w:sz w:val="21"/>
                      <w:szCs w:val="21"/>
                    </w:rPr>
                  </w:pPr>
                  <w:r>
                    <w:rPr>
                      <w:rFonts w:ascii="宋体" w:hAnsi="宋体" w:eastAsia="宋体" w:cs="宋体"/>
                      <w:color w:val="auto"/>
                      <w:spacing w:val="-1"/>
                      <w:sz w:val="21"/>
                      <w:szCs w:val="21"/>
                    </w:rPr>
                    <w:t>韶环乐审〔</w:t>
                  </w:r>
                  <w:r>
                    <w:rPr>
                      <w:color w:val="auto"/>
                      <w:spacing w:val="-1"/>
                      <w:sz w:val="21"/>
                      <w:szCs w:val="21"/>
                    </w:rPr>
                    <w:t>2025</w:t>
                  </w:r>
                  <w:r>
                    <w:rPr>
                      <w:rFonts w:ascii="宋体" w:hAnsi="宋体" w:eastAsia="宋体" w:cs="宋体"/>
                      <w:color w:val="auto"/>
                      <w:spacing w:val="-1"/>
                      <w:sz w:val="21"/>
                      <w:szCs w:val="21"/>
                    </w:rPr>
                    <w:t>〕</w:t>
                  </w:r>
                  <w:r>
                    <w:rPr>
                      <w:color w:val="auto"/>
                      <w:spacing w:val="-1"/>
                      <w:sz w:val="21"/>
                      <w:szCs w:val="21"/>
                    </w:rPr>
                    <w:t>26</w:t>
                  </w:r>
                  <w:r>
                    <w:rPr>
                      <w:color w:val="auto"/>
                      <w:spacing w:val="18"/>
                      <w:sz w:val="21"/>
                      <w:szCs w:val="21"/>
                    </w:rPr>
                    <w:t xml:space="preserve"> </w:t>
                  </w:r>
                  <w:r>
                    <w:rPr>
                      <w:rFonts w:ascii="宋体" w:hAnsi="宋体" w:eastAsia="宋体" w:cs="宋体"/>
                      <w:color w:val="auto"/>
                      <w:spacing w:val="-1"/>
                      <w:sz w:val="21"/>
                      <w:szCs w:val="21"/>
                    </w:rPr>
                    <w:t>号</w:t>
                  </w:r>
                </w:p>
              </w:tc>
            </w:tr>
          </w:tbl>
          <w:p w14:paraId="7D129E08">
            <w:pPr>
              <w:adjustRightInd w:val="0"/>
              <w:snapToGrid w:val="0"/>
              <w:ind w:firstLine="480" w:firstLineChars="200"/>
              <w:jc w:val="both"/>
              <w:rPr>
                <w:rFonts w:hint="default" w:ascii="Times New Roman" w:hAnsi="Times New Roman" w:cs="Times New Roman"/>
                <w:color w:val="auto"/>
                <w:sz w:val="24"/>
                <w:szCs w:val="24"/>
              </w:rPr>
            </w:pPr>
          </w:p>
          <w:p w14:paraId="763E1154">
            <w:pPr>
              <w:adjustRightInd w:val="0"/>
              <w:snapToGrid w:val="0"/>
              <w:spacing w:before="120" w:beforeLines="50" w:line="360" w:lineRule="auto"/>
              <w:ind w:firstLine="480" w:firstLineChars="200"/>
              <w:rPr>
                <w:b/>
                <w:color w:val="auto"/>
                <w:sz w:val="24"/>
                <w:szCs w:val="20"/>
              </w:rPr>
            </w:pPr>
            <w:r>
              <w:rPr>
                <w:b/>
                <w:color w:val="auto"/>
                <w:sz w:val="24"/>
                <w:szCs w:val="20"/>
              </w:rPr>
              <w:t>3.主要环境问题</w:t>
            </w:r>
          </w:p>
          <w:p w14:paraId="3FAC2D87">
            <w:pPr>
              <w:adjustRightInd/>
              <w:snapToGrid/>
              <w:ind w:firstLine="0" w:firstLineChars="0"/>
              <w:jc w:val="left"/>
              <w:rPr>
                <w:rFonts w:hint="eastAsia"/>
                <w:color w:val="auto"/>
                <w:sz w:val="24"/>
              </w:rPr>
            </w:pPr>
            <w:r>
              <w:rPr>
                <w:rFonts w:hint="eastAsia"/>
                <w:color w:val="auto"/>
                <w:sz w:val="24"/>
              </w:rPr>
              <w:t>本项目周边企业分布详见附图</w:t>
            </w:r>
            <w:r>
              <w:rPr>
                <w:rFonts w:hint="eastAsia"/>
                <w:color w:val="auto"/>
                <w:sz w:val="24"/>
                <w:lang w:val="en-US" w:eastAsia="zh-CN"/>
              </w:rPr>
              <w:t>2</w:t>
            </w:r>
            <w:r>
              <w:rPr>
                <w:rFonts w:hint="eastAsia"/>
                <w:color w:val="auto"/>
                <w:sz w:val="24"/>
              </w:rPr>
              <w:t>，项目</w:t>
            </w:r>
            <w:r>
              <w:rPr>
                <w:rFonts w:hint="default" w:ascii="Times New Roman" w:hAnsi="Times New Roman" w:cs="Times New Roman"/>
                <w:bCs/>
                <w:color w:val="auto"/>
                <w:highlight w:val="none"/>
                <w:lang w:val="en-US" w:eastAsia="zh-CN"/>
              </w:rPr>
              <w:t>南面</w:t>
            </w:r>
            <w:r>
              <w:rPr>
                <w:rFonts w:hint="eastAsia" w:cs="Times New Roman"/>
                <w:bCs/>
                <w:color w:val="auto"/>
                <w:highlight w:val="none"/>
                <w:lang w:eastAsia="zh-CN"/>
              </w:rPr>
              <w:t>、</w:t>
            </w:r>
            <w:r>
              <w:rPr>
                <w:rFonts w:hint="default" w:ascii="Times New Roman" w:hAnsi="Times New Roman" w:cs="Times New Roman"/>
                <w:bCs/>
                <w:color w:val="auto"/>
                <w:highlight w:val="none"/>
                <w:lang w:val="en-US" w:eastAsia="zh-CN"/>
              </w:rPr>
              <w:t>北面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西面</w:t>
            </w:r>
            <w:r>
              <w:rPr>
                <w:rFonts w:hint="eastAsia" w:cs="Times New Roman"/>
                <w:bCs/>
                <w:color w:val="auto"/>
                <w:highlight w:val="none"/>
                <w:lang w:val="en-US" w:eastAsia="zh-CN"/>
              </w:rPr>
              <w:t>、</w:t>
            </w:r>
            <w:r>
              <w:rPr>
                <w:rFonts w:hint="default" w:ascii="Times New Roman" w:hAnsi="Times New Roman" w:cs="Times New Roman"/>
                <w:bCs/>
                <w:color w:val="auto"/>
                <w:highlight w:val="none"/>
                <w:lang w:val="en-US" w:eastAsia="zh-CN"/>
              </w:rPr>
              <w:t>东面</w:t>
            </w:r>
            <w:r>
              <w:rPr>
                <w:rFonts w:hint="eastAsia" w:cs="Times New Roman"/>
                <w:bCs/>
                <w:color w:val="auto"/>
                <w:highlight w:val="none"/>
                <w:lang w:val="en-US" w:eastAsia="zh-CN"/>
              </w:rPr>
              <w:t>均为空厂房</w:t>
            </w:r>
            <w:r>
              <w:rPr>
                <w:rFonts w:hint="eastAsia"/>
                <w:color w:val="auto"/>
                <w:sz w:val="24"/>
              </w:rPr>
              <w:t>。从区域环境质量现状来看，项目所在区域各环境要素均能符合环境质量标准要求，环境质量良好，无突出环境问题。</w:t>
            </w:r>
          </w:p>
          <w:p w14:paraId="25D0BBEE">
            <w:pPr>
              <w:adjustRightInd w:val="0"/>
              <w:snapToGrid w:val="0"/>
              <w:ind w:firstLine="0" w:firstLineChars="0"/>
              <w:jc w:val="both"/>
              <w:rPr>
                <w:rFonts w:hint="default"/>
                <w:color w:val="auto"/>
                <w:sz w:val="24"/>
              </w:rPr>
            </w:pPr>
          </w:p>
        </w:tc>
      </w:tr>
      <w:bookmarkEnd w:id="0"/>
      <w:bookmarkEnd w:id="1"/>
    </w:tbl>
    <w:p w14:paraId="4FA22B1B">
      <w:pPr>
        <w:pStyle w:val="7"/>
        <w:numPr>
          <w:ilvl w:val="0"/>
          <w:numId w:val="0"/>
        </w:numPr>
        <w:tabs>
          <w:tab w:val="left" w:pos="4800"/>
        </w:tabs>
        <w:rPr>
          <w:rFonts w:hint="default" w:ascii="Times New Roman" w:hAnsi="Times New Roman" w:cs="Times New Roman"/>
          <w:color w:val="auto"/>
          <w:highlight w:val="none"/>
        </w:rPr>
      </w:pPr>
      <w:bookmarkStart w:id="34" w:name="_Toc17401"/>
      <w:bookmarkStart w:id="35" w:name="_Toc19392"/>
      <w:bookmarkStart w:id="36" w:name="_Toc29511"/>
      <w:r>
        <w:rPr>
          <w:rFonts w:hint="default" w:ascii="Times New Roman" w:hAnsi="Times New Roman" w:cs="Times New Roman"/>
          <w:color w:val="auto"/>
          <w:highlight w:val="none"/>
        </w:rPr>
        <w:t>三、区域环境质量现状、环境保护目标及评价标准</w:t>
      </w:r>
      <w:bookmarkEnd w:id="34"/>
      <w:bookmarkEnd w:id="35"/>
      <w:bookmarkEnd w:id="36"/>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
        <w:gridCol w:w="8144"/>
      </w:tblGrid>
      <w:tr w14:paraId="7B0F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267" w:type="pct"/>
            <w:vAlign w:val="center"/>
          </w:tcPr>
          <w:p w14:paraId="51D6B4A3">
            <w:pPr>
              <w:keepNext/>
              <w:keepLines w:val="0"/>
              <w:pageBreakBefore w:val="0"/>
              <w:widowControl/>
              <w:numPr>
                <w:ilvl w:val="1"/>
                <w:numId w:val="0"/>
              </w:numPr>
              <w:tabs>
                <w:tab w:val="left" w:pos="420"/>
              </w:tabs>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bookmarkStart w:id="37" w:name="_Toc24283"/>
            <w:bookmarkStart w:id="38" w:name="_Toc21642"/>
            <w:bookmarkStart w:id="39" w:name="_Toc21960"/>
            <w:bookmarkStart w:id="40" w:name="_Toc14318"/>
            <w:bookmarkStart w:id="41" w:name="_Toc11366"/>
            <w:r>
              <w:rPr>
                <w:rFonts w:hint="default" w:ascii="Times New Roman" w:hAnsi="Times New Roman" w:cs="Times New Roman"/>
                <w:color w:val="auto"/>
                <w:highlight w:val="none"/>
              </w:rPr>
              <w:t>区域环境质量现状</w:t>
            </w:r>
            <w:bookmarkEnd w:id="37"/>
            <w:bookmarkEnd w:id="38"/>
            <w:bookmarkEnd w:id="39"/>
            <w:bookmarkEnd w:id="40"/>
            <w:bookmarkEnd w:id="41"/>
          </w:p>
        </w:tc>
        <w:tc>
          <w:tcPr>
            <w:tcW w:w="4732" w:type="pct"/>
          </w:tcPr>
          <w:p w14:paraId="1AD91608">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一、环境空气质量现状</w:t>
            </w:r>
          </w:p>
          <w:p w14:paraId="5E520B03">
            <w:pPr>
              <w:pStyle w:val="2"/>
              <w:ind w:firstLine="480"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（1）项目所在区域达标判定</w:t>
            </w:r>
          </w:p>
          <w:p w14:paraId="0163CBA9">
            <w:pPr>
              <w:pStyle w:val="2"/>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根据《韶关市生态环境保护战略规划（2020-2035）》，本项目选址周围空气环境质量功能区划为二类功能区，因此项目所在区域环境空气质量执行</w:t>
            </w:r>
            <w:r>
              <w:rPr>
                <w:rFonts w:hint="eastAsia" w:ascii="Times New Roman" w:cs="Times New Roman"/>
                <w:color w:val="auto"/>
                <w:highlight w:val="none"/>
                <w:lang w:eastAsia="zh-CN"/>
              </w:rPr>
              <w:t>《环境空气质</w:t>
            </w:r>
            <w:r>
              <w:rPr>
                <w:rFonts w:hint="eastAsia" w:ascii="Times New Roman" w:cs="Times New Roman"/>
                <w:color w:val="auto"/>
                <w:highlight w:val="none"/>
                <w:lang w:val="en-US" w:eastAsia="zh-CN"/>
              </w:rPr>
              <w:t>量</w:t>
            </w:r>
            <w:r>
              <w:rPr>
                <w:rFonts w:hint="eastAsia" w:ascii="Times New Roman" w:cs="Times New Roman"/>
                <w:color w:val="auto"/>
                <w:highlight w:val="none"/>
                <w:lang w:eastAsia="zh-CN"/>
              </w:rPr>
              <w:t>标准》(GB3095-2026)中表1环境空气污染物基本项目浓度限值过渡阶段的二级标准</w:t>
            </w:r>
            <w:r>
              <w:rPr>
                <w:rFonts w:hint="default" w:ascii="Times New Roman" w:hAnsi="Times New Roman" w:cs="Times New Roman"/>
                <w:color w:val="auto"/>
                <w:highlight w:val="none"/>
              </w:rPr>
              <w:t>。</w:t>
            </w:r>
          </w:p>
          <w:p w14:paraId="26DAF8F5">
            <w:pPr>
              <w:pStyle w:val="2"/>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根据《2024年韶关市生态环境状况公报》</w:t>
            </w:r>
            <w:r>
              <w:rPr>
                <w:rFonts w:hint="eastAsia" w:ascii="Times New Roman" w:cs="Times New Roman"/>
                <w:color w:val="auto"/>
                <w:highlight w:val="none"/>
                <w:lang w:eastAsia="zh-CN"/>
              </w:rPr>
              <w:t>，</w:t>
            </w:r>
            <w:r>
              <w:rPr>
                <w:rFonts w:hint="eastAsia" w:ascii="Times New Roman" w:cs="Times New Roman"/>
                <w:color w:val="auto"/>
                <w:highlight w:val="none"/>
                <w:lang w:val="en-US" w:eastAsia="zh-CN"/>
              </w:rPr>
              <w:t>项目所在区域空气质量数据详见下表。</w:t>
            </w:r>
          </w:p>
          <w:p w14:paraId="4FAC121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表3-1 区域空气质量现状评价表</w:t>
            </w:r>
          </w:p>
          <w:tbl>
            <w:tblPr>
              <w:tblStyle w:val="44"/>
              <w:tblW w:w="4998" w:type="pct"/>
              <w:tblInd w:w="-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988"/>
              <w:gridCol w:w="2502"/>
              <w:gridCol w:w="1056"/>
              <w:gridCol w:w="1067"/>
              <w:gridCol w:w="1273"/>
              <w:gridCol w:w="1029"/>
            </w:tblGrid>
            <w:tr w14:paraId="18EEC27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777A2497">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污染物</w:t>
                  </w:r>
                </w:p>
              </w:tc>
              <w:tc>
                <w:tcPr>
                  <w:tcW w:w="1580" w:type="pct"/>
                  <w:vAlign w:val="center"/>
                </w:tcPr>
                <w:p w14:paraId="3E8E6F2C">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年评价指标</w:t>
                  </w:r>
                </w:p>
              </w:tc>
              <w:tc>
                <w:tcPr>
                  <w:tcW w:w="667" w:type="pct"/>
                  <w:vAlign w:val="center"/>
                </w:tcPr>
                <w:p w14:paraId="32B28BBE">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现状浓度</w:t>
                  </w:r>
                </w:p>
              </w:tc>
              <w:tc>
                <w:tcPr>
                  <w:tcW w:w="674" w:type="pct"/>
                  <w:vAlign w:val="center"/>
                </w:tcPr>
                <w:p w14:paraId="31984D3D">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标准值</w:t>
                  </w:r>
                </w:p>
              </w:tc>
              <w:tc>
                <w:tcPr>
                  <w:tcW w:w="804" w:type="pct"/>
                  <w:vAlign w:val="center"/>
                </w:tcPr>
                <w:p w14:paraId="6F192700">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占标率%</w:t>
                  </w:r>
                </w:p>
              </w:tc>
              <w:tc>
                <w:tcPr>
                  <w:tcW w:w="650" w:type="pct"/>
                  <w:vAlign w:val="center"/>
                </w:tcPr>
                <w:p w14:paraId="687EB232">
                  <w:pPr>
                    <w:keepNext w:val="0"/>
                    <w:keepLines w:val="0"/>
                    <w:pageBreakBefore w:val="0"/>
                    <w:kinsoku/>
                    <w:wordWrap/>
                    <w:overflowPunct/>
                    <w:topLinePunct w:val="0"/>
                    <w:autoSpaceDE w:val="0"/>
                    <w:autoSpaceDN w:val="0"/>
                    <w:bidi w:val="0"/>
                    <w:adjustRightInd w:val="0"/>
                    <w:spacing w:line="240" w:lineRule="auto"/>
                    <w:jc w:val="center"/>
                    <w:rPr>
                      <w:rFonts w:hint="default" w:ascii="Times New Roman" w:hAnsi="Times New Roman" w:cs="Times New Roman"/>
                      <w:b/>
                      <w:bCs/>
                      <w:color w:val="auto"/>
                      <w:kern w:val="0"/>
                      <w:position w:val="-3"/>
                      <w:sz w:val="21"/>
                      <w:szCs w:val="21"/>
                      <w:highlight w:val="none"/>
                    </w:rPr>
                  </w:pPr>
                  <w:r>
                    <w:rPr>
                      <w:rFonts w:hint="default" w:ascii="Times New Roman" w:hAnsi="Times New Roman" w:cs="Times New Roman"/>
                      <w:b/>
                      <w:bCs/>
                      <w:color w:val="auto"/>
                      <w:kern w:val="0"/>
                      <w:position w:val="-3"/>
                      <w:sz w:val="21"/>
                      <w:szCs w:val="21"/>
                      <w:highlight w:val="none"/>
                    </w:rPr>
                    <w:t>达标情况</w:t>
                  </w:r>
                </w:p>
              </w:tc>
            </w:tr>
            <w:tr w14:paraId="1881B7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CF031C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580" w:type="pct"/>
                  <w:vAlign w:val="center"/>
                </w:tcPr>
                <w:p w14:paraId="06ACA4F3">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5A9EDCFD">
                  <w:pPr>
                    <w:pStyle w:val="20"/>
                    <w:keepNext w:val="0"/>
                    <w:keepLines w:val="0"/>
                    <w:pageBreakBefore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lang w:val="en-US" w:eastAsia="zh-CN"/>
                    </w:rPr>
                    <w:t>3</w:t>
                  </w:r>
                </w:p>
              </w:tc>
              <w:tc>
                <w:tcPr>
                  <w:tcW w:w="674" w:type="pct"/>
                  <w:vAlign w:val="center"/>
                </w:tcPr>
                <w:p w14:paraId="726EE88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6F9D75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650" w:type="pct"/>
                  <w:vAlign w:val="center"/>
                </w:tcPr>
                <w:p w14:paraId="3A5F2A24">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306D3D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E6CC94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580" w:type="pct"/>
                  <w:vAlign w:val="center"/>
                </w:tcPr>
                <w:p w14:paraId="79F5201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24E9E59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D6344D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4D8AF7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650" w:type="pct"/>
                  <w:vAlign w:val="center"/>
                </w:tcPr>
                <w:p w14:paraId="0D87195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9D676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E937DB8">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580" w:type="pct"/>
                  <w:vAlign w:val="center"/>
                </w:tcPr>
                <w:p w14:paraId="775128E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6A88CCA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31</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0065433C">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094C016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rPr>
                    <w:t>51.7</w:t>
                  </w: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650" w:type="pct"/>
                  <w:vAlign w:val="center"/>
                </w:tcPr>
                <w:p w14:paraId="7ABADC66">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6523A2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2D96C35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580" w:type="pct"/>
                  <w:vAlign w:val="center"/>
                </w:tcPr>
                <w:p w14:paraId="70F9981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年</w:t>
                  </w:r>
                  <w:r>
                    <w:rPr>
                      <w:rFonts w:hint="default" w:ascii="Times New Roman" w:hAnsi="Times New Roman" w:cs="Times New Roman"/>
                      <w:color w:val="auto"/>
                      <w:sz w:val="21"/>
                      <w:szCs w:val="21"/>
                      <w:highlight w:val="none"/>
                    </w:rPr>
                    <w:t>平均质量浓度</w:t>
                  </w:r>
                </w:p>
              </w:tc>
              <w:tc>
                <w:tcPr>
                  <w:tcW w:w="667" w:type="pct"/>
                  <w:vAlign w:val="center"/>
                </w:tcPr>
                <w:p w14:paraId="36DB28B1">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21</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6522D92A">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r>
                    <w:rPr>
                      <w:rFonts w:hint="eastAsia" w:cs="Times New Roman"/>
                      <w:color w:val="auto"/>
                      <w:sz w:val="21"/>
                      <w:szCs w:val="21"/>
                      <w:highlight w:val="none"/>
                      <w:lang w:val="en-US" w:eastAsia="zh-CN"/>
                    </w:rPr>
                    <w:t>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2358E3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rPr>
                    <w:t>7</w:t>
                  </w:r>
                  <w:r>
                    <w:rPr>
                      <w:rFonts w:hint="default" w:ascii="Times New Roman" w:hAnsi="Times New Roman" w:eastAsia="宋体" w:cs="Times New Roman"/>
                      <w:i w:val="0"/>
                      <w:iCs w:val="0"/>
                      <w:color w:val="auto"/>
                      <w:kern w:val="0"/>
                      <w:sz w:val="21"/>
                      <w:szCs w:val="21"/>
                      <w:highlight w:val="none"/>
                      <w:u w:val="none"/>
                      <w:lang w:val="en-US" w:eastAsia="zh-CN"/>
                    </w:rPr>
                    <w:t>0%</w:t>
                  </w:r>
                </w:p>
              </w:tc>
              <w:tc>
                <w:tcPr>
                  <w:tcW w:w="650" w:type="pct"/>
                  <w:vAlign w:val="center"/>
                </w:tcPr>
                <w:p w14:paraId="2D4CC989">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64BF1F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0453582D">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580" w:type="pct"/>
                  <w:vAlign w:val="center"/>
                </w:tcPr>
                <w:p w14:paraId="5A2C087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24小时均值第95百分位数</w:t>
                  </w:r>
                </w:p>
              </w:tc>
              <w:tc>
                <w:tcPr>
                  <w:tcW w:w="667" w:type="pct"/>
                  <w:vAlign w:val="center"/>
                </w:tcPr>
                <w:p w14:paraId="7BD520A2">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c>
              <w:tc>
                <w:tcPr>
                  <w:tcW w:w="674" w:type="pct"/>
                  <w:vAlign w:val="center"/>
                </w:tcPr>
                <w:p w14:paraId="640518C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4mg/m</w:t>
                  </w:r>
                  <w:r>
                    <w:rPr>
                      <w:rFonts w:hint="default" w:ascii="Times New Roman" w:hAnsi="Times New Roman" w:cs="Times New Roman"/>
                      <w:color w:val="auto"/>
                      <w:sz w:val="21"/>
                      <w:szCs w:val="21"/>
                      <w:highlight w:val="none"/>
                      <w:vertAlign w:val="superscript"/>
                    </w:rPr>
                    <w:t>3</w:t>
                  </w:r>
                </w:p>
              </w:tc>
              <w:tc>
                <w:tcPr>
                  <w:tcW w:w="1274" w:type="dxa"/>
                  <w:vAlign w:val="center"/>
                </w:tcPr>
                <w:p w14:paraId="534FE25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650" w:type="pct"/>
                  <w:vAlign w:val="center"/>
                </w:tcPr>
                <w:p w14:paraId="0452260E">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7588D1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24" w:type="pct"/>
                  <w:vAlign w:val="center"/>
                </w:tcPr>
                <w:p w14:paraId="32F1D5D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580" w:type="pct"/>
                  <w:vAlign w:val="center"/>
                </w:tcPr>
                <w:p w14:paraId="74D83CB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最大8小时值第90百分位数</w:t>
                  </w:r>
                </w:p>
              </w:tc>
              <w:tc>
                <w:tcPr>
                  <w:tcW w:w="667" w:type="pct"/>
                  <w:vAlign w:val="center"/>
                </w:tcPr>
                <w:p w14:paraId="641A28A5">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108μ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674" w:type="pct"/>
                  <w:vAlign w:val="center"/>
                </w:tcPr>
                <w:p w14:paraId="598B1B67">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w:t>
                  </w:r>
                  <w:r>
                    <w:rPr>
                      <w:rFonts w:hint="default" w:ascii="Times New Roman" w:hAnsi="Times New Roman" w:cs="Times New Roman"/>
                      <w:color w:val="auto"/>
                      <w:sz w:val="21"/>
                      <w:szCs w:val="21"/>
                      <w:highlight w:val="none"/>
                      <w:lang w:val="en-US" w:eastAsia="zh-CN"/>
                    </w:rPr>
                    <w:t>μ</w:t>
                  </w:r>
                  <w:r>
                    <w:rPr>
                      <w:rFonts w:hint="default" w:ascii="Times New Roman" w:hAnsi="Times New Roman" w:cs="Times New Roman"/>
                      <w:color w:val="auto"/>
                      <w:sz w:val="21"/>
                      <w:szCs w:val="21"/>
                      <w:highlight w:val="none"/>
                    </w:rPr>
                    <w:t>g/m</w:t>
                  </w:r>
                  <w:r>
                    <w:rPr>
                      <w:rFonts w:hint="default" w:ascii="Times New Roman" w:hAnsi="Times New Roman" w:cs="Times New Roman"/>
                      <w:color w:val="auto"/>
                      <w:sz w:val="21"/>
                      <w:szCs w:val="21"/>
                      <w:highlight w:val="none"/>
                      <w:vertAlign w:val="superscript"/>
                    </w:rPr>
                    <w:t>3</w:t>
                  </w:r>
                </w:p>
              </w:tc>
              <w:tc>
                <w:tcPr>
                  <w:tcW w:w="1274" w:type="dxa"/>
                  <w:vAlign w:val="center"/>
                </w:tcPr>
                <w:p w14:paraId="7F2EB5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w:t>
                  </w:r>
                  <w:r>
                    <w:rPr>
                      <w:rFonts w:hint="eastAsia" w:cs="Times New Roman"/>
                      <w:i w:val="0"/>
                      <w:iCs w:val="0"/>
                      <w:color w:val="auto"/>
                      <w:kern w:val="0"/>
                      <w:sz w:val="21"/>
                      <w:szCs w:val="21"/>
                      <w:highlight w:val="none"/>
                      <w:u w:val="none"/>
                      <w:lang w:val="en-US" w:eastAsia="zh-CN"/>
                    </w:rPr>
                    <w:t>7.5</w:t>
                  </w:r>
                  <w:r>
                    <w:rPr>
                      <w:rFonts w:hint="default" w:ascii="Times New Roman" w:hAnsi="Times New Roman" w:eastAsia="宋体" w:cs="Times New Roman"/>
                      <w:i w:val="0"/>
                      <w:iCs w:val="0"/>
                      <w:color w:val="auto"/>
                      <w:kern w:val="0"/>
                      <w:sz w:val="21"/>
                      <w:szCs w:val="21"/>
                      <w:highlight w:val="none"/>
                      <w:u w:val="none"/>
                      <w:lang w:val="en-US" w:eastAsia="zh-CN"/>
                    </w:rPr>
                    <w:t>%</w:t>
                  </w:r>
                </w:p>
              </w:tc>
              <w:tc>
                <w:tcPr>
                  <w:tcW w:w="650" w:type="pct"/>
                  <w:vAlign w:val="center"/>
                </w:tcPr>
                <w:p w14:paraId="52E212FF">
                  <w:pPr>
                    <w:keepNext w:val="0"/>
                    <w:keepLines w:val="0"/>
                    <w:pageBreakBefore w:val="0"/>
                    <w:kinsoku/>
                    <w:wordWrap/>
                    <w:overflowPunct/>
                    <w:topLinePunct w:val="0"/>
                    <w:autoSpaceDE w:val="0"/>
                    <w:autoSpaceDN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13EE5D36">
            <w:pPr>
              <w:keepNext w:val="0"/>
              <w:keepLines w:val="0"/>
              <w:widowControl/>
              <w:suppressLineNumbers w:val="0"/>
              <w:ind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bCs/>
                <w:color w:val="auto"/>
                <w:sz w:val="24"/>
                <w:szCs w:val="24"/>
                <w:highlight w:val="none"/>
                <w:lang w:val="en-US" w:eastAsia="zh-CN"/>
              </w:rPr>
              <w:t>由上统计可知，项目所在区域空气环境能满足</w:t>
            </w:r>
            <w:r>
              <w:rPr>
                <w:rFonts w:hint="eastAsia" w:ascii="Times New Roman" w:cs="Times New Roman"/>
                <w:color w:val="auto"/>
                <w:highlight w:val="none"/>
                <w:lang w:eastAsia="zh-CN"/>
              </w:rPr>
              <w:t>《环境空气质</w:t>
            </w:r>
            <w:r>
              <w:rPr>
                <w:rFonts w:hint="eastAsia" w:ascii="Times New Roman" w:cs="Times New Roman"/>
                <w:color w:val="auto"/>
                <w:highlight w:val="none"/>
                <w:lang w:val="en-US" w:eastAsia="zh-CN"/>
              </w:rPr>
              <w:t>量</w:t>
            </w:r>
            <w:r>
              <w:rPr>
                <w:rFonts w:hint="eastAsia" w:ascii="Times New Roman" w:cs="Times New Roman"/>
                <w:color w:val="auto"/>
                <w:highlight w:val="none"/>
                <w:lang w:eastAsia="zh-CN"/>
              </w:rPr>
              <w:t>标准》(GB3095-2026)中表1环境空气污染物基本项目浓度限值过渡阶段的二级标准</w:t>
            </w:r>
            <w:r>
              <w:rPr>
                <w:rFonts w:hint="default" w:ascii="Times New Roman" w:hAnsi="Times New Roman" w:cs="Times New Roman"/>
                <w:color w:val="auto"/>
                <w:highlight w:val="none"/>
              </w:rPr>
              <w:t>。</w:t>
            </w:r>
            <w:r>
              <w:rPr>
                <w:rFonts w:hint="default" w:ascii="Times New Roman" w:hAnsi="Times New Roman" w:eastAsia="宋体" w:cs="Times New Roman"/>
                <w:bCs/>
                <w:color w:val="auto"/>
                <w:sz w:val="24"/>
                <w:szCs w:val="24"/>
                <w:highlight w:val="none"/>
                <w:lang w:val="en-US" w:eastAsia="zh-CN"/>
              </w:rPr>
              <w:t>本项目所在区域属于环境空气达标区。</w:t>
            </w:r>
          </w:p>
          <w:p w14:paraId="4D60CD50">
            <w:pPr>
              <w:keepNext w:val="0"/>
              <w:keepLines w:val="0"/>
              <w:pageBreakBefore w:val="0"/>
              <w:widowControl w:val="0"/>
              <w:kinsoku/>
              <w:wordWrap/>
              <w:overflowPunct/>
              <w:topLinePunct w:val="0"/>
              <w:autoSpaceDE/>
              <w:autoSpaceDN/>
              <w:bidi w:val="0"/>
              <w:adjustRightInd/>
              <w:snapToGrid/>
              <w:spacing w:before="0"/>
              <w:ind w:firstLine="48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）特征因子补充监测</w:t>
            </w:r>
          </w:p>
          <w:p w14:paraId="32F7969E">
            <w:pPr>
              <w:pageBreakBefore w:val="0"/>
              <w:widowControl w:val="0"/>
              <w:kinsoku/>
              <w:overflowPunct/>
              <w:topLinePunct w:val="0"/>
              <w:bidi w:val="0"/>
              <w:ind w:firstLine="480" w:firstLineChars="200"/>
              <w:jc w:val="left"/>
              <w:textAlignment w:val="auto"/>
              <w:outlineLvl w:val="9"/>
              <w:rPr>
                <w:rFonts w:hint="default" w:ascii="Times New Roman" w:hAnsi="Times New Roman" w:cs="Times New Roman"/>
                <w:bCs/>
                <w:color w:val="auto"/>
                <w:szCs w:val="22"/>
                <w:highlight w:val="none"/>
              </w:rPr>
            </w:pPr>
            <w:r>
              <w:rPr>
                <w:rFonts w:hint="default" w:ascii="Times New Roman" w:hAnsi="Times New Roman" w:cs="Times New Roman"/>
                <w:bCs/>
                <w:color w:val="auto"/>
                <w:szCs w:val="22"/>
                <w:highlight w:val="none"/>
              </w:rPr>
              <w:t>根据《建设项目环境影响报告表编制技术指南（污染影响类）</w:t>
            </w:r>
            <w:r>
              <w:rPr>
                <w:rFonts w:hint="eastAsia" w:cs="Times New Roman"/>
                <w:bCs/>
                <w:color w:val="auto"/>
                <w:szCs w:val="22"/>
                <w:highlight w:val="none"/>
                <w:lang w:eastAsia="zh-CN"/>
              </w:rPr>
              <w:t>（</w:t>
            </w:r>
            <w:r>
              <w:rPr>
                <w:rFonts w:hint="default" w:ascii="Times New Roman" w:hAnsi="Times New Roman" w:cs="Times New Roman"/>
                <w:bCs/>
                <w:color w:val="auto"/>
                <w:szCs w:val="22"/>
                <w:highlight w:val="none"/>
              </w:rPr>
              <w:t>试行</w:t>
            </w:r>
            <w:r>
              <w:rPr>
                <w:rFonts w:hint="eastAsia" w:cs="Times New Roman"/>
                <w:bCs/>
                <w:color w:val="auto"/>
                <w:szCs w:val="22"/>
                <w:highlight w:val="none"/>
                <w:lang w:eastAsia="zh-CN"/>
              </w:rPr>
              <w:t>）</w:t>
            </w:r>
            <w:r>
              <w:rPr>
                <w:rFonts w:hint="default" w:ascii="Times New Roman" w:hAnsi="Times New Roman" w:cs="Times New Roman"/>
                <w:bCs/>
                <w:color w:val="auto"/>
                <w:szCs w:val="22"/>
                <w:highlight w:val="none"/>
              </w:rPr>
              <w:t>》：排放国家、地方环境空气质量标准中有标准限值要求的特征污染物时，引用建设项目周边5千米范围内近3年的现有监测数据。本项目需补充监测的特征污染因子为TSP。</w:t>
            </w:r>
          </w:p>
          <w:p w14:paraId="3E8A61FA">
            <w:pPr>
              <w:pageBreakBefore w:val="0"/>
              <w:widowControl w:val="0"/>
              <w:kinsoku/>
              <w:overflowPunct/>
              <w:topLinePunct w:val="0"/>
              <w:bidi w:val="0"/>
              <w:ind w:firstLine="480" w:firstLineChars="200"/>
              <w:jc w:val="left"/>
              <w:textAlignment w:val="auto"/>
              <w:outlineLvl w:val="9"/>
              <w:rPr>
                <w:rFonts w:hint="default" w:ascii="Times New Roman" w:hAnsi="Times New Roman" w:cs="Times New Roman"/>
                <w:b/>
                <w:bCs/>
                <w:color w:val="auto"/>
                <w:sz w:val="21"/>
                <w:szCs w:val="21"/>
                <w:highlight w:val="none"/>
              </w:rPr>
            </w:pPr>
            <w:r>
              <w:rPr>
                <w:rFonts w:hint="default" w:ascii="Times New Roman" w:hAnsi="Times New Roman" w:cs="Times New Roman"/>
                <w:bCs/>
                <w:color w:val="auto"/>
                <w:szCs w:val="22"/>
                <w:highlight w:val="none"/>
              </w:rPr>
              <w:t>本项目引用《2023年度乐昌产业转移工业园环境管理状况评估报告》中的监测数据，用于评价TSP现状：深圳市清华环科检测技术有限公司于2023年12月19日-2023年12月25日，在本项目南侧</w:t>
            </w:r>
            <w:r>
              <w:rPr>
                <w:rFonts w:hint="eastAsia" w:cs="Times New Roman"/>
                <w:bCs/>
                <w:color w:val="auto"/>
                <w:szCs w:val="22"/>
                <w:highlight w:val="none"/>
                <w:lang w:val="en-US" w:eastAsia="zh-CN"/>
              </w:rPr>
              <w:t>3703</w:t>
            </w:r>
            <w:r>
              <w:rPr>
                <w:rFonts w:hint="default" w:ascii="Times New Roman" w:hAnsi="Times New Roman" w:cs="Times New Roman"/>
                <w:bCs/>
                <w:color w:val="auto"/>
                <w:szCs w:val="22"/>
                <w:highlight w:val="none"/>
              </w:rPr>
              <w:t>m处G1和村进行采样监测（引用点位位置图见附图</w:t>
            </w:r>
            <w:r>
              <w:rPr>
                <w:rFonts w:hint="eastAsia" w:cs="Times New Roman"/>
                <w:bCs/>
                <w:color w:val="auto"/>
                <w:szCs w:val="22"/>
                <w:highlight w:val="none"/>
                <w:lang w:val="en-US" w:eastAsia="zh-CN"/>
              </w:rPr>
              <w:t>15</w:t>
            </w:r>
            <w:r>
              <w:rPr>
                <w:rFonts w:hint="default" w:ascii="Times New Roman" w:hAnsi="Times New Roman" w:cs="Times New Roman"/>
                <w:bCs/>
                <w:color w:val="auto"/>
                <w:szCs w:val="22"/>
                <w:highlight w:val="none"/>
              </w:rPr>
              <w:t>），连续监测7天。本项目其他污染物补充监测点位基本信息见表3-2，监测结果见表3-3。。</w:t>
            </w:r>
          </w:p>
          <w:p w14:paraId="373E0FF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cs="Times New Roman"/>
                <w:b/>
                <w:bCs/>
                <w:color w:val="auto"/>
                <w:sz w:val="21"/>
                <w:szCs w:val="21"/>
                <w:highlight w:val="none"/>
              </w:rPr>
            </w:pPr>
            <w:bookmarkStart w:id="42" w:name="_Toc20439"/>
            <w:bookmarkStart w:id="43" w:name="_Toc8763"/>
            <w:bookmarkStart w:id="44" w:name="_Toc8230"/>
            <w:bookmarkStart w:id="45" w:name="_Toc17582"/>
            <w:bookmarkStart w:id="46" w:name="_Toc6616"/>
            <w:r>
              <w:rPr>
                <w:rFonts w:hint="default" w:ascii="Times New Roman" w:hAnsi="Times New Roman" w:cs="Times New Roman"/>
                <w:b/>
                <w:bCs/>
                <w:color w:val="auto"/>
                <w:sz w:val="21"/>
                <w:szCs w:val="21"/>
                <w:highlight w:val="none"/>
                <w:lang w:val="en-GB"/>
              </w:rPr>
              <w:t>表</w:t>
            </w:r>
            <w:r>
              <w:rPr>
                <w:rFonts w:hint="default" w:ascii="Times New Roman" w:hAnsi="Times New Roman" w:cs="Times New Roman"/>
                <w:b/>
                <w:bCs/>
                <w:color w:val="auto"/>
                <w:sz w:val="21"/>
                <w:szCs w:val="21"/>
                <w:highlight w:val="none"/>
              </w:rPr>
              <w:t>3-2其他污染物补充监测点位基本信息</w:t>
            </w:r>
            <w:bookmarkEnd w:id="42"/>
            <w:bookmarkEnd w:id="43"/>
            <w:bookmarkEnd w:id="44"/>
            <w:bookmarkEnd w:id="45"/>
            <w:bookmarkEnd w:id="46"/>
          </w:p>
          <w:tbl>
            <w:tblPr>
              <w:tblStyle w:val="44"/>
              <w:tblW w:w="4993" w:type="pct"/>
              <w:tblInd w:w="-2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1090"/>
              <w:gridCol w:w="1064"/>
              <w:gridCol w:w="903"/>
              <w:gridCol w:w="1079"/>
              <w:gridCol w:w="1757"/>
              <w:gridCol w:w="965"/>
              <w:gridCol w:w="1044"/>
            </w:tblGrid>
            <w:tr w14:paraId="750716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restart"/>
                  <w:tcBorders>
                    <w:tl2br w:val="nil"/>
                    <w:tr2bl w:val="nil"/>
                  </w:tcBorders>
                  <w:vAlign w:val="center"/>
                </w:tcPr>
                <w:p w14:paraId="5CD12B1B">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bookmarkStart w:id="47" w:name="_Toc21186"/>
                  <w:bookmarkStart w:id="48" w:name="_Toc4447"/>
                  <w:bookmarkStart w:id="49" w:name="_Toc14154"/>
                  <w:bookmarkStart w:id="50" w:name="_Toc21557"/>
                  <w:bookmarkStart w:id="51" w:name="_Toc698"/>
                  <w:r>
                    <w:rPr>
                      <w:rFonts w:hint="default" w:ascii="Times New Roman" w:hAnsi="Times New Roman" w:cs="Times New Roman"/>
                      <w:b/>
                      <w:bCs/>
                      <w:color w:val="auto"/>
                      <w:kern w:val="2"/>
                      <w:sz w:val="21"/>
                      <w:szCs w:val="21"/>
                      <w:lang w:eastAsia="zh-CN" w:bidi="zh-CN"/>
                    </w:rPr>
                    <w:t>监测点名称</w:t>
                  </w:r>
                </w:p>
              </w:tc>
              <w:tc>
                <w:tcPr>
                  <w:tcW w:w="1244" w:type="pct"/>
                  <w:gridSpan w:val="2"/>
                  <w:tcBorders>
                    <w:tl2br w:val="nil"/>
                    <w:tr2bl w:val="nil"/>
                  </w:tcBorders>
                  <w:vAlign w:val="center"/>
                </w:tcPr>
                <w:p w14:paraId="640C9F47">
                  <w:pPr>
                    <w:pStyle w:val="115"/>
                    <w:pageBreakBefore w:val="0"/>
                    <w:wordWrap w:val="0"/>
                    <w:bidi w:val="0"/>
                    <w:spacing w:line="240" w:lineRule="auto"/>
                    <w:jc w:val="center"/>
                    <w:rPr>
                      <w:rFonts w:hint="default" w:ascii="Times New Roman" w:hAnsi="Times New Roman" w:cs="Times New Roman"/>
                      <w:b/>
                      <w:bCs/>
                      <w:color w:val="auto"/>
                      <w:kern w:val="2"/>
                      <w:sz w:val="21"/>
                      <w:szCs w:val="21"/>
                      <w:lang w:val="en-US" w:eastAsia="zh-CN" w:bidi="zh-CN"/>
                    </w:rPr>
                  </w:pPr>
                  <w:r>
                    <w:rPr>
                      <w:rFonts w:hint="default" w:ascii="Times New Roman" w:hAnsi="Times New Roman" w:cs="Times New Roman"/>
                      <w:b/>
                      <w:bCs/>
                      <w:color w:val="auto"/>
                      <w:kern w:val="2"/>
                      <w:sz w:val="21"/>
                      <w:szCs w:val="21"/>
                      <w:lang w:eastAsia="zh-CN" w:bidi="zh-CN"/>
                    </w:rPr>
                    <w:t>监测点坐标</w:t>
                  </w:r>
                  <w:r>
                    <w:rPr>
                      <w:rFonts w:hint="eastAsia" w:ascii="Times New Roman" w:hAnsi="Times New Roman" w:cs="Times New Roman"/>
                      <w:b/>
                      <w:bCs/>
                      <w:color w:val="auto"/>
                      <w:kern w:val="2"/>
                      <w:sz w:val="21"/>
                      <w:szCs w:val="21"/>
                      <w:lang w:val="en-US" w:eastAsia="zh-CN" w:bidi="zh-CN"/>
                    </w:rPr>
                    <w:t>/m</w:t>
                  </w:r>
                </w:p>
              </w:tc>
              <w:tc>
                <w:tcPr>
                  <w:tcW w:w="682" w:type="pct"/>
                  <w:vMerge w:val="restart"/>
                  <w:tcBorders>
                    <w:tl2br w:val="nil"/>
                    <w:tr2bl w:val="nil"/>
                  </w:tcBorders>
                  <w:vAlign w:val="center"/>
                </w:tcPr>
                <w:p w14:paraId="349688C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监测因子</w:t>
                  </w:r>
                </w:p>
              </w:tc>
              <w:tc>
                <w:tcPr>
                  <w:tcW w:w="1111" w:type="pct"/>
                  <w:vMerge w:val="restart"/>
                  <w:tcBorders>
                    <w:tl2br w:val="nil"/>
                    <w:tr2bl w:val="nil"/>
                  </w:tcBorders>
                  <w:vAlign w:val="center"/>
                </w:tcPr>
                <w:p w14:paraId="7D2EE7E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监测时段</w:t>
                  </w:r>
                </w:p>
              </w:tc>
              <w:tc>
                <w:tcPr>
                  <w:tcW w:w="610" w:type="pct"/>
                  <w:vMerge w:val="restart"/>
                  <w:tcBorders>
                    <w:tl2br w:val="nil"/>
                    <w:tr2bl w:val="nil"/>
                  </w:tcBorders>
                  <w:vAlign w:val="center"/>
                </w:tcPr>
                <w:p w14:paraId="14F4AB7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相对厂址方位</w:t>
                  </w:r>
                </w:p>
              </w:tc>
              <w:tc>
                <w:tcPr>
                  <w:tcW w:w="660" w:type="pct"/>
                  <w:vMerge w:val="restart"/>
                  <w:tcBorders>
                    <w:tl2br w:val="nil"/>
                    <w:tr2bl w:val="nil"/>
                  </w:tcBorders>
                  <w:vAlign w:val="center"/>
                </w:tcPr>
                <w:p w14:paraId="4FDD741E">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相对厂界距离/m</w:t>
                  </w:r>
                </w:p>
              </w:tc>
            </w:tr>
            <w:tr w14:paraId="1D807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continue"/>
                  <w:tcBorders>
                    <w:tl2br w:val="nil"/>
                    <w:tr2bl w:val="nil"/>
                  </w:tcBorders>
                  <w:vAlign w:val="center"/>
                </w:tcPr>
                <w:p w14:paraId="66244F79">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p>
              </w:tc>
              <w:tc>
                <w:tcPr>
                  <w:tcW w:w="673" w:type="pct"/>
                  <w:tcBorders>
                    <w:tl2br w:val="nil"/>
                    <w:tr2bl w:val="nil"/>
                  </w:tcBorders>
                  <w:vAlign w:val="center"/>
                </w:tcPr>
                <w:p w14:paraId="212B4A1C">
                  <w:pPr>
                    <w:pStyle w:val="115"/>
                    <w:pageBreakBefore w:val="0"/>
                    <w:wordWrap w:val="0"/>
                    <w:bidi w:val="0"/>
                    <w:spacing w:line="240" w:lineRule="auto"/>
                    <w:jc w:val="center"/>
                    <w:rPr>
                      <w:rFonts w:hint="default" w:ascii="Times New Roman" w:hAnsi="Times New Roman" w:cs="Times New Roman"/>
                      <w:b/>
                      <w:bCs/>
                      <w:color w:val="auto"/>
                      <w:kern w:val="2"/>
                      <w:sz w:val="21"/>
                      <w:szCs w:val="21"/>
                      <w:lang w:val="en-US" w:eastAsia="zh-CN" w:bidi="zh-CN"/>
                    </w:rPr>
                  </w:pPr>
                  <w:r>
                    <w:rPr>
                      <w:rFonts w:hint="eastAsia" w:ascii="Times New Roman" w:hAnsi="Times New Roman" w:cs="Times New Roman"/>
                      <w:b/>
                      <w:bCs/>
                      <w:color w:val="auto"/>
                      <w:kern w:val="2"/>
                      <w:sz w:val="21"/>
                      <w:szCs w:val="21"/>
                      <w:lang w:val="en-US" w:eastAsia="zh-CN" w:bidi="zh-CN"/>
                    </w:rPr>
                    <w:t>X</w:t>
                  </w:r>
                </w:p>
              </w:tc>
              <w:tc>
                <w:tcPr>
                  <w:tcW w:w="571" w:type="pct"/>
                  <w:tcBorders>
                    <w:tl2br w:val="nil"/>
                    <w:tr2bl w:val="nil"/>
                  </w:tcBorders>
                  <w:vAlign w:val="center"/>
                </w:tcPr>
                <w:p w14:paraId="105C542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eastAsia" w:ascii="Times New Roman" w:hAnsi="Times New Roman" w:cs="Times New Roman"/>
                      <w:b/>
                      <w:bCs/>
                      <w:color w:val="auto"/>
                      <w:kern w:val="2"/>
                      <w:sz w:val="21"/>
                      <w:szCs w:val="21"/>
                      <w:lang w:val="en-US" w:eastAsia="zh-CN" w:bidi="zh-CN"/>
                    </w:rPr>
                    <w:t>Y</w:t>
                  </w:r>
                </w:p>
              </w:tc>
              <w:tc>
                <w:tcPr>
                  <w:tcW w:w="682" w:type="pct"/>
                  <w:vMerge w:val="continue"/>
                  <w:tcBorders>
                    <w:tl2br w:val="nil"/>
                    <w:tr2bl w:val="nil"/>
                  </w:tcBorders>
                  <w:vAlign w:val="center"/>
                </w:tcPr>
                <w:p w14:paraId="348943C9">
                  <w:pPr>
                    <w:pageBreakBefore w:val="0"/>
                    <w:wordWrap w:val="0"/>
                    <w:bidi w:val="0"/>
                    <w:spacing w:line="240" w:lineRule="auto"/>
                    <w:jc w:val="center"/>
                    <w:rPr>
                      <w:rFonts w:hint="default" w:ascii="Times New Roman" w:hAnsi="Times New Roman" w:cs="Times New Roman"/>
                      <w:color w:val="auto"/>
                      <w:sz w:val="21"/>
                      <w:szCs w:val="21"/>
                    </w:rPr>
                  </w:pPr>
                </w:p>
              </w:tc>
              <w:tc>
                <w:tcPr>
                  <w:tcW w:w="1111" w:type="pct"/>
                  <w:vMerge w:val="continue"/>
                  <w:tcBorders>
                    <w:tl2br w:val="nil"/>
                    <w:tr2bl w:val="nil"/>
                  </w:tcBorders>
                  <w:vAlign w:val="center"/>
                </w:tcPr>
                <w:p w14:paraId="737BC65F">
                  <w:pPr>
                    <w:pageBreakBefore w:val="0"/>
                    <w:wordWrap w:val="0"/>
                    <w:bidi w:val="0"/>
                    <w:spacing w:line="240" w:lineRule="auto"/>
                    <w:jc w:val="center"/>
                    <w:rPr>
                      <w:rFonts w:hint="default" w:ascii="Times New Roman" w:hAnsi="Times New Roman" w:cs="Times New Roman"/>
                      <w:color w:val="auto"/>
                      <w:sz w:val="21"/>
                      <w:szCs w:val="21"/>
                    </w:rPr>
                  </w:pPr>
                </w:p>
              </w:tc>
              <w:tc>
                <w:tcPr>
                  <w:tcW w:w="610" w:type="pct"/>
                  <w:vMerge w:val="continue"/>
                  <w:tcBorders>
                    <w:tl2br w:val="nil"/>
                    <w:tr2bl w:val="nil"/>
                  </w:tcBorders>
                  <w:vAlign w:val="center"/>
                </w:tcPr>
                <w:p w14:paraId="6D9C3EAE">
                  <w:pPr>
                    <w:pageBreakBefore w:val="0"/>
                    <w:wordWrap w:val="0"/>
                    <w:bidi w:val="0"/>
                    <w:spacing w:line="240" w:lineRule="auto"/>
                    <w:jc w:val="center"/>
                    <w:rPr>
                      <w:rFonts w:hint="default" w:ascii="Times New Roman" w:hAnsi="Times New Roman" w:cs="Times New Roman"/>
                      <w:color w:val="auto"/>
                      <w:sz w:val="21"/>
                      <w:szCs w:val="21"/>
                    </w:rPr>
                  </w:pPr>
                </w:p>
              </w:tc>
              <w:tc>
                <w:tcPr>
                  <w:tcW w:w="660" w:type="pct"/>
                  <w:vMerge w:val="continue"/>
                  <w:tcBorders>
                    <w:tl2br w:val="nil"/>
                    <w:tr2bl w:val="nil"/>
                  </w:tcBorders>
                  <w:vAlign w:val="center"/>
                </w:tcPr>
                <w:p w14:paraId="6F8A54E2">
                  <w:pPr>
                    <w:pageBreakBefore w:val="0"/>
                    <w:wordWrap w:val="0"/>
                    <w:bidi w:val="0"/>
                    <w:spacing w:line="240" w:lineRule="auto"/>
                    <w:jc w:val="center"/>
                    <w:rPr>
                      <w:rFonts w:hint="default" w:ascii="Times New Roman" w:hAnsi="Times New Roman" w:cs="Times New Roman"/>
                      <w:color w:val="auto"/>
                      <w:sz w:val="21"/>
                      <w:szCs w:val="21"/>
                    </w:rPr>
                  </w:pPr>
                </w:p>
              </w:tc>
            </w:tr>
            <w:tr w14:paraId="544D5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tcBorders>
                    <w:tl2br w:val="nil"/>
                    <w:tr2bl w:val="nil"/>
                  </w:tcBorders>
                  <w:vAlign w:val="center"/>
                </w:tcPr>
                <w:p w14:paraId="04F98911">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eastAsia" w:ascii="Times New Roman" w:hAnsi="Times New Roman" w:eastAsia="宋体....." w:cs="Times New Roman"/>
                      <w:color w:val="auto"/>
                      <w:kern w:val="2"/>
                      <w:sz w:val="21"/>
                      <w:szCs w:val="21"/>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和村</w:t>
                  </w:r>
                </w:p>
              </w:tc>
              <w:tc>
                <w:tcPr>
                  <w:tcW w:w="673" w:type="pct"/>
                  <w:tcBorders>
                    <w:tl2br w:val="nil"/>
                    <w:tr2bl w:val="nil"/>
                  </w:tcBorders>
                  <w:vAlign w:val="center"/>
                </w:tcPr>
                <w:p w14:paraId="083C77A0">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eastAsia" w:ascii="Times New Roman" w:cs="Times New Roman"/>
                      <w:color w:val="auto"/>
                      <w:kern w:val="2"/>
                      <w:sz w:val="21"/>
                      <w:szCs w:val="21"/>
                      <w:lang w:val="en-US" w:eastAsia="zh-CN" w:bidi="zh-CN"/>
                    </w:rPr>
                    <w:t>-370.343</w:t>
                  </w:r>
                </w:p>
              </w:tc>
              <w:tc>
                <w:tcPr>
                  <w:tcW w:w="571" w:type="pct"/>
                  <w:tcBorders>
                    <w:tl2br w:val="nil"/>
                    <w:tr2bl w:val="nil"/>
                  </w:tcBorders>
                  <w:vAlign w:val="center"/>
                </w:tcPr>
                <w:p w14:paraId="7B20D652">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eastAsia" w:ascii="Times New Roman" w:cs="Times New Roman"/>
                      <w:color w:val="auto"/>
                      <w:kern w:val="2"/>
                      <w:sz w:val="21"/>
                      <w:szCs w:val="21"/>
                      <w:lang w:val="en-US" w:eastAsia="zh-CN" w:bidi="zh-CN"/>
                    </w:rPr>
                    <w:t>-2420.538</w:t>
                  </w:r>
                </w:p>
              </w:tc>
              <w:tc>
                <w:tcPr>
                  <w:tcW w:w="682" w:type="pct"/>
                  <w:tcBorders>
                    <w:tl2br w:val="nil"/>
                    <w:tr2bl w:val="nil"/>
                  </w:tcBorders>
                  <w:vAlign w:val="center"/>
                </w:tcPr>
                <w:p w14:paraId="032008BC">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TSP</w:t>
                  </w:r>
                </w:p>
              </w:tc>
              <w:tc>
                <w:tcPr>
                  <w:tcW w:w="1111" w:type="pct"/>
                  <w:tcBorders>
                    <w:tl2br w:val="nil"/>
                    <w:tr2bl w:val="nil"/>
                  </w:tcBorders>
                  <w:vAlign w:val="center"/>
                </w:tcPr>
                <w:p w14:paraId="24EAC5D2">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kern w:val="2"/>
                      <w:sz w:val="21"/>
                      <w:szCs w:val="21"/>
                      <w:lang w:val="en-US" w:eastAsia="zh-CN" w:bidi="zh-CN"/>
                    </w:rPr>
                  </w:pPr>
                  <w:r>
                    <w:rPr>
                      <w:rFonts w:hint="default" w:ascii="Times New Roman" w:hAnsi="Times New Roman" w:cs="Times New Roman"/>
                      <w:bCs/>
                      <w:color w:val="auto"/>
                      <w:sz w:val="21"/>
                      <w:szCs w:val="21"/>
                      <w:highlight w:val="none"/>
                    </w:rPr>
                    <w:t>202</w:t>
                  </w:r>
                  <w:r>
                    <w:rPr>
                      <w:rFonts w:hint="eastAsia" w:ascii="Times New Roman" w:hAns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hAnsi="Times New Roman" w:cs="Times New Roman"/>
                      <w:bCs/>
                      <w:color w:val="auto"/>
                      <w:sz w:val="21"/>
                      <w:szCs w:val="21"/>
                      <w:highlight w:val="none"/>
                      <w:lang w:val="en-US" w:eastAsia="zh-CN"/>
                    </w:rPr>
                    <w:t>19</w:t>
                  </w:r>
                  <w:r>
                    <w:rPr>
                      <w:rFonts w:hint="default" w:ascii="Times New Roman" w:hAnsi="Times New Roman" w:cs="Times New Roman"/>
                      <w:bCs/>
                      <w:color w:val="auto"/>
                      <w:sz w:val="21"/>
                      <w:szCs w:val="21"/>
                      <w:highlight w:val="none"/>
                    </w:rPr>
                    <w:t>日</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202</w:t>
                  </w:r>
                  <w:r>
                    <w:rPr>
                      <w:rFonts w:hint="eastAsia" w:ascii="Times New Roman" w:hAns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hAnsi="Times New Roman" w:cs="Times New Roman"/>
                      <w:bCs/>
                      <w:color w:val="auto"/>
                      <w:sz w:val="21"/>
                      <w:szCs w:val="21"/>
                      <w:highlight w:val="none"/>
                      <w:lang w:val="en-US" w:eastAsia="zh-CN"/>
                    </w:rPr>
                    <w:t>25</w:t>
                  </w:r>
                  <w:r>
                    <w:rPr>
                      <w:rFonts w:hint="default" w:ascii="Times New Roman" w:hAnsi="Times New Roman" w:cs="Times New Roman"/>
                      <w:bCs/>
                      <w:color w:val="auto"/>
                      <w:sz w:val="21"/>
                      <w:szCs w:val="21"/>
                      <w:highlight w:val="none"/>
                    </w:rPr>
                    <w:t>日</w:t>
                  </w:r>
                </w:p>
              </w:tc>
              <w:tc>
                <w:tcPr>
                  <w:tcW w:w="610" w:type="pct"/>
                  <w:tcBorders>
                    <w:tl2br w:val="nil"/>
                    <w:tr2bl w:val="nil"/>
                  </w:tcBorders>
                  <w:vAlign w:val="center"/>
                </w:tcPr>
                <w:p w14:paraId="2F3D989D">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eastAsia="宋体....." w:cs="Times New Roman"/>
                      <w:color w:val="auto"/>
                      <w:sz w:val="21"/>
                      <w:szCs w:val="21"/>
                      <w:lang w:val="en-US" w:eastAsia="zh-CN" w:bidi="zh-CN"/>
                    </w:rPr>
                  </w:pPr>
                  <w:r>
                    <w:rPr>
                      <w:rFonts w:hint="eastAsia" w:ascii="Times New Roman" w:eastAsia="宋体....." w:cs="Times New Roman"/>
                      <w:color w:val="auto"/>
                      <w:sz w:val="21"/>
                      <w:szCs w:val="21"/>
                      <w:lang w:val="en-US" w:eastAsia="zh-CN" w:bidi="zh-CN"/>
                    </w:rPr>
                    <w:t>南面</w:t>
                  </w:r>
                </w:p>
              </w:tc>
              <w:tc>
                <w:tcPr>
                  <w:tcW w:w="660" w:type="pct"/>
                  <w:tcBorders>
                    <w:tl2br w:val="nil"/>
                    <w:tr2bl w:val="nil"/>
                  </w:tcBorders>
                  <w:vAlign w:val="center"/>
                </w:tcPr>
                <w:p w14:paraId="0C75BDB3">
                  <w:pPr>
                    <w:pStyle w:val="2"/>
                    <w:keepNext w:val="0"/>
                    <w:keepLines w:val="0"/>
                    <w:pageBreakBefore w:val="0"/>
                    <w:widowControl w:val="0"/>
                    <w:suppressLineNumbers w:val="0"/>
                    <w:kinsoku/>
                    <w:wordWrap w:val="0"/>
                    <w:overflowPunct/>
                    <w:topLinePunct w:val="0"/>
                    <w:autoSpaceDE w:val="0"/>
                    <w:autoSpaceDN w:val="0"/>
                    <w:bidi w:val="0"/>
                    <w:adjustRightInd w:val="0"/>
                    <w:snapToGrid/>
                    <w:spacing w:before="0" w:beforeAutospacing="0" w:after="0" w:afterAutospacing="0" w:line="276" w:lineRule="auto"/>
                    <w:ind w:left="0" w:leftChars="0" w:right="0" w:rightChars="0"/>
                    <w:jc w:val="center"/>
                    <w:textAlignment w:val="auto"/>
                    <w:outlineLvl w:val="9"/>
                    <w:rPr>
                      <w:rFonts w:hint="default" w:ascii="Times New Roman" w:hAnsi="Times New Roman" w:cs="Times New Roman"/>
                      <w:color w:val="auto"/>
                      <w:sz w:val="21"/>
                      <w:szCs w:val="21"/>
                      <w:lang w:val="en-US" w:bidi="zh-CN"/>
                    </w:rPr>
                  </w:pPr>
                  <w:r>
                    <w:rPr>
                      <w:rFonts w:hint="eastAsia" w:ascii="Times New Roman" w:cs="Times New Roman"/>
                      <w:color w:val="auto"/>
                      <w:sz w:val="21"/>
                      <w:szCs w:val="21"/>
                      <w:lang w:val="en-US" w:bidi="zh-CN"/>
                    </w:rPr>
                    <w:t>2439</w:t>
                  </w:r>
                </w:p>
              </w:tc>
            </w:tr>
            <w:bookmarkEnd w:id="47"/>
            <w:bookmarkEnd w:id="48"/>
            <w:bookmarkEnd w:id="49"/>
            <w:bookmarkEnd w:id="50"/>
            <w:bookmarkEnd w:id="51"/>
          </w:tbl>
          <w:p w14:paraId="451DC2F9">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sz w:val="21"/>
                <w:szCs w:val="21"/>
                <w:highlight w:val="none"/>
                <w:lang w:val="en-GB"/>
              </w:rPr>
            </w:pPr>
            <w:bookmarkStart w:id="52" w:name="_Toc24731"/>
            <w:bookmarkStart w:id="53" w:name="_Toc24683"/>
            <w:bookmarkStart w:id="54" w:name="_Toc8233"/>
            <w:bookmarkStart w:id="55" w:name="_Toc13955"/>
            <w:bookmarkStart w:id="56" w:name="_Toc14846"/>
            <w:r>
              <w:rPr>
                <w:rFonts w:hint="default" w:ascii="Times New Roman" w:hAnsi="Times New Roman" w:eastAsia="宋体" w:cs="Times New Roman"/>
                <w:b/>
                <w:bCs/>
                <w:color w:val="auto"/>
                <w:sz w:val="21"/>
                <w:szCs w:val="21"/>
                <w:highlight w:val="none"/>
                <w:lang w:val="en-GB"/>
              </w:rPr>
              <w:t>表3-3其他污染物环境质量现状（监测结果）表</w:t>
            </w:r>
            <w:bookmarkEnd w:id="52"/>
            <w:bookmarkEnd w:id="53"/>
            <w:bookmarkEnd w:id="54"/>
            <w:bookmarkEnd w:id="55"/>
            <w:bookmarkEnd w:id="56"/>
          </w:p>
          <w:tbl>
            <w:tblPr>
              <w:tblStyle w:val="44"/>
              <w:tblW w:w="4997" w:type="pct"/>
              <w:tblInd w:w="-2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07"/>
              <w:gridCol w:w="879"/>
              <w:gridCol w:w="895"/>
              <w:gridCol w:w="1260"/>
              <w:gridCol w:w="1566"/>
              <w:gridCol w:w="1089"/>
              <w:gridCol w:w="641"/>
              <w:gridCol w:w="771"/>
            </w:tblGrid>
            <w:tr w14:paraId="7AEEAB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vAlign w:val="center"/>
                </w:tcPr>
                <w:p w14:paraId="2D17948C">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点位名称</w:t>
                  </w:r>
                </w:p>
              </w:tc>
              <w:tc>
                <w:tcPr>
                  <w:tcW w:w="555" w:type="pct"/>
                  <w:tcBorders>
                    <w:tl2br w:val="nil"/>
                    <w:tr2bl w:val="nil"/>
                  </w:tcBorders>
                  <w:vAlign w:val="center"/>
                </w:tcPr>
                <w:p w14:paraId="0A3455C4">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污染物</w:t>
                  </w:r>
                </w:p>
              </w:tc>
              <w:tc>
                <w:tcPr>
                  <w:tcW w:w="565" w:type="pct"/>
                  <w:tcBorders>
                    <w:tl2br w:val="nil"/>
                    <w:tr2bl w:val="nil"/>
                  </w:tcBorders>
                  <w:vAlign w:val="center"/>
                </w:tcPr>
                <w:p w14:paraId="3C8F3D69">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平均时间</w:t>
                  </w:r>
                </w:p>
              </w:tc>
              <w:tc>
                <w:tcPr>
                  <w:tcW w:w="796" w:type="pct"/>
                  <w:tcBorders>
                    <w:tl2br w:val="nil"/>
                    <w:tr2bl w:val="nil"/>
                  </w:tcBorders>
                  <w:vAlign w:val="center"/>
                </w:tcPr>
                <w:p w14:paraId="58359B90">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评价标准</w:t>
                  </w:r>
                </w:p>
                <w:p w14:paraId="550F5794">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w:t>
                  </w:r>
                  <w:r>
                    <w:rPr>
                      <w:rFonts w:hint="default" w:ascii="Times New Roman" w:hAnsi="Times New Roman" w:cs="Times New Roman"/>
                      <w:b/>
                      <w:bCs/>
                      <w:color w:val="auto"/>
                      <w:kern w:val="2"/>
                      <w:sz w:val="21"/>
                      <w:szCs w:val="21"/>
                      <w:lang w:val="en-US" w:eastAsia="zh-CN" w:bidi="zh-CN"/>
                    </w:rPr>
                    <w:t>μg</w:t>
                  </w:r>
                  <w:r>
                    <w:rPr>
                      <w:rFonts w:hint="default" w:ascii="Times New Roman" w:hAnsi="Times New Roman" w:cs="Times New Roman"/>
                      <w:b/>
                      <w:bCs/>
                      <w:color w:val="auto"/>
                      <w:kern w:val="2"/>
                      <w:sz w:val="21"/>
                      <w:szCs w:val="21"/>
                      <w:lang w:eastAsia="zh-CN" w:bidi="zh-CN"/>
                    </w:rPr>
                    <w:t>/m</w:t>
                  </w:r>
                  <w:r>
                    <w:rPr>
                      <w:rFonts w:hint="default" w:ascii="Times New Roman" w:hAnsi="Times New Roman" w:cs="Times New Roman"/>
                      <w:b/>
                      <w:bCs/>
                      <w:color w:val="auto"/>
                      <w:kern w:val="2"/>
                      <w:sz w:val="21"/>
                      <w:szCs w:val="21"/>
                      <w:vertAlign w:val="superscript"/>
                      <w:lang w:eastAsia="zh-CN" w:bidi="zh-CN"/>
                    </w:rPr>
                    <w:t>3)</w:t>
                  </w:r>
                </w:p>
              </w:tc>
              <w:tc>
                <w:tcPr>
                  <w:tcW w:w="989" w:type="pct"/>
                  <w:tcBorders>
                    <w:tl2br w:val="nil"/>
                    <w:tr2bl w:val="nil"/>
                  </w:tcBorders>
                  <w:vAlign w:val="center"/>
                </w:tcPr>
                <w:p w14:paraId="602A3BF2">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现状浓度范围</w:t>
                  </w:r>
                  <w:r>
                    <w:rPr>
                      <w:rFonts w:hint="default" w:ascii="Times New Roman" w:hAnsi="Times New Roman" w:cs="Times New Roman"/>
                      <w:b/>
                      <w:bCs/>
                      <w:color w:val="auto"/>
                      <w:kern w:val="2"/>
                      <w:sz w:val="21"/>
                      <w:szCs w:val="21"/>
                      <w:lang w:val="en-US" w:eastAsia="zh-CN" w:bidi="zh-CN"/>
                    </w:rPr>
                    <w:t>μg</w:t>
                  </w:r>
                  <w:r>
                    <w:rPr>
                      <w:rFonts w:hint="default" w:ascii="Times New Roman" w:hAnsi="Times New Roman" w:cs="Times New Roman"/>
                      <w:b/>
                      <w:bCs/>
                      <w:color w:val="auto"/>
                      <w:kern w:val="2"/>
                      <w:sz w:val="21"/>
                      <w:szCs w:val="21"/>
                      <w:lang w:eastAsia="zh-CN" w:bidi="zh-CN"/>
                    </w:rPr>
                    <w:t>/m</w:t>
                  </w:r>
                  <w:r>
                    <w:rPr>
                      <w:rFonts w:hint="default" w:ascii="Times New Roman" w:hAnsi="Times New Roman" w:cs="Times New Roman"/>
                      <w:b/>
                      <w:bCs/>
                      <w:color w:val="auto"/>
                      <w:kern w:val="2"/>
                      <w:sz w:val="21"/>
                      <w:szCs w:val="21"/>
                      <w:vertAlign w:val="superscript"/>
                      <w:lang w:eastAsia="zh-CN" w:bidi="zh-CN"/>
                    </w:rPr>
                    <w:t>3</w:t>
                  </w:r>
                </w:p>
              </w:tc>
              <w:tc>
                <w:tcPr>
                  <w:tcW w:w="688" w:type="pct"/>
                  <w:tcBorders>
                    <w:tl2br w:val="nil"/>
                    <w:tr2bl w:val="nil"/>
                  </w:tcBorders>
                  <w:vAlign w:val="center"/>
                </w:tcPr>
                <w:p w14:paraId="4A2AC7FF">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最大浓度占标率/%</w:t>
                  </w:r>
                </w:p>
              </w:tc>
              <w:tc>
                <w:tcPr>
                  <w:tcW w:w="405" w:type="pct"/>
                  <w:tcBorders>
                    <w:tl2br w:val="nil"/>
                    <w:tr2bl w:val="nil"/>
                  </w:tcBorders>
                  <w:vAlign w:val="center"/>
                </w:tcPr>
                <w:p w14:paraId="571C01CD">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超标</w:t>
                  </w:r>
                  <w:r>
                    <w:rPr>
                      <w:rFonts w:hint="default" w:ascii="Times New Roman" w:hAnsi="Times New Roman" w:cs="Times New Roman"/>
                      <w:b/>
                      <w:bCs/>
                      <w:color w:val="auto"/>
                      <w:kern w:val="2"/>
                      <w:sz w:val="21"/>
                      <w:szCs w:val="21"/>
                      <w:lang w:val="en-US" w:eastAsia="zh-CN" w:bidi="zh-CN"/>
                    </w:rPr>
                    <w:t>倍数</w:t>
                  </w:r>
                </w:p>
              </w:tc>
              <w:tc>
                <w:tcPr>
                  <w:tcW w:w="487" w:type="pct"/>
                  <w:tcBorders>
                    <w:tl2br w:val="nil"/>
                    <w:tr2bl w:val="nil"/>
                  </w:tcBorders>
                  <w:vAlign w:val="center"/>
                </w:tcPr>
                <w:p w14:paraId="026D00C5">
                  <w:pPr>
                    <w:pStyle w:val="115"/>
                    <w:pageBreakBefore w:val="0"/>
                    <w:wordWrap w:val="0"/>
                    <w:bidi w:val="0"/>
                    <w:spacing w:line="240" w:lineRule="auto"/>
                    <w:jc w:val="center"/>
                    <w:rPr>
                      <w:rFonts w:hint="default" w:ascii="Times New Roman" w:hAnsi="Times New Roman" w:cs="Times New Roman"/>
                      <w:b/>
                      <w:bCs/>
                      <w:color w:val="auto"/>
                      <w:kern w:val="2"/>
                      <w:sz w:val="21"/>
                      <w:szCs w:val="21"/>
                      <w:lang w:eastAsia="zh-CN" w:bidi="zh-CN"/>
                    </w:rPr>
                  </w:pPr>
                  <w:r>
                    <w:rPr>
                      <w:rFonts w:hint="default" w:ascii="Times New Roman" w:hAnsi="Times New Roman" w:cs="Times New Roman"/>
                      <w:b/>
                      <w:bCs/>
                      <w:color w:val="auto"/>
                      <w:kern w:val="2"/>
                      <w:sz w:val="21"/>
                      <w:szCs w:val="21"/>
                      <w:lang w:eastAsia="zh-CN" w:bidi="zh-CN"/>
                    </w:rPr>
                    <w:t>达标情况</w:t>
                  </w:r>
                </w:p>
              </w:tc>
            </w:tr>
            <w:tr w14:paraId="32DB48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vAlign w:val="center"/>
                </w:tcPr>
                <w:p w14:paraId="071B6209">
                  <w:pPr>
                    <w:pStyle w:val="115"/>
                    <w:pageBreakBefore w:val="0"/>
                    <w:wordWrap w:val="0"/>
                    <w:bidi w:val="0"/>
                    <w:spacing w:line="240" w:lineRule="auto"/>
                    <w:jc w:val="center"/>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555" w:type="pct"/>
                  <w:tcBorders>
                    <w:tl2br w:val="nil"/>
                    <w:tr2bl w:val="nil"/>
                  </w:tcBorders>
                  <w:vAlign w:val="center"/>
                </w:tcPr>
                <w:p w14:paraId="00C8B5FB">
                  <w:pPr>
                    <w:pStyle w:val="115"/>
                    <w:pageBreakBefore w:val="0"/>
                    <w:wordWrap w:val="0"/>
                    <w:bidi w:val="0"/>
                    <w:spacing w:line="240" w:lineRule="auto"/>
                    <w:jc w:val="center"/>
                    <w:rPr>
                      <w:rFonts w:hint="default" w:ascii="Times New Roman" w:hAnsi="Times New Roman" w:cs="Times New Roman"/>
                      <w:color w:val="auto"/>
                      <w:kern w:val="2"/>
                      <w:sz w:val="21"/>
                      <w:szCs w:val="21"/>
                      <w:lang w:val="en-US" w:eastAsia="zh-CN" w:bidi="zh-CN"/>
                    </w:rPr>
                  </w:pPr>
                  <w:r>
                    <w:rPr>
                      <w:rFonts w:hint="eastAsia" w:ascii="Times New Roman" w:hAnsi="Times New Roman" w:cs="Times New Roman"/>
                      <w:color w:val="auto"/>
                      <w:kern w:val="2"/>
                      <w:sz w:val="21"/>
                      <w:szCs w:val="21"/>
                      <w:lang w:val="en-US" w:eastAsia="zh-CN" w:bidi="zh-CN"/>
                    </w:rPr>
                    <w:t>TSP</w:t>
                  </w:r>
                </w:p>
              </w:tc>
              <w:tc>
                <w:tcPr>
                  <w:tcW w:w="565" w:type="pct"/>
                  <w:tcBorders>
                    <w:tl2br w:val="nil"/>
                    <w:tr2bl w:val="nil"/>
                  </w:tcBorders>
                  <w:vAlign w:val="center"/>
                </w:tcPr>
                <w:p w14:paraId="381DF212">
                  <w:pPr>
                    <w:pageBreakBefore w:val="0"/>
                    <w:wordWrap w:val="0"/>
                    <w:bidi w:val="0"/>
                    <w:spacing w:line="240" w:lineRule="auto"/>
                    <w:jc w:val="center"/>
                    <w:rPr>
                      <w:rFonts w:hint="default" w:ascii="Times New Roman" w:hAnsi="Times New Roman" w:cs="Times New Roman"/>
                      <w:color w:val="auto"/>
                      <w:sz w:val="21"/>
                      <w:szCs w:val="21"/>
                      <w:lang w:bidi="zh-CN"/>
                    </w:rPr>
                  </w:pPr>
                  <w:r>
                    <w:rPr>
                      <w:rFonts w:hint="eastAsia" w:ascii="Times New Roman" w:hAnsi="Times New Roman" w:cs="Times New Roman"/>
                      <w:color w:val="auto"/>
                      <w:sz w:val="21"/>
                      <w:szCs w:val="21"/>
                      <w:lang w:val="en-US" w:bidi="zh-CN"/>
                    </w:rPr>
                    <w:t>24</w:t>
                  </w:r>
                  <w:r>
                    <w:rPr>
                      <w:rFonts w:hint="default" w:ascii="Times New Roman" w:hAnsi="Times New Roman" w:cs="Times New Roman"/>
                      <w:color w:val="auto"/>
                      <w:sz w:val="21"/>
                      <w:szCs w:val="21"/>
                      <w:lang w:bidi="zh-CN"/>
                    </w:rPr>
                    <w:t>h平均</w:t>
                  </w:r>
                </w:p>
              </w:tc>
              <w:tc>
                <w:tcPr>
                  <w:tcW w:w="796" w:type="pct"/>
                  <w:tcBorders>
                    <w:tl2br w:val="nil"/>
                    <w:tr2bl w:val="nil"/>
                  </w:tcBorders>
                  <w:vAlign w:val="center"/>
                </w:tcPr>
                <w:p w14:paraId="34CA0EBC">
                  <w:pPr>
                    <w:pStyle w:val="115"/>
                    <w:pageBreakBefore w:val="0"/>
                    <w:wordWrap w:val="0"/>
                    <w:bidi w:val="0"/>
                    <w:spacing w:line="240" w:lineRule="auto"/>
                    <w:jc w:val="center"/>
                    <w:rPr>
                      <w:rFonts w:hint="default" w:ascii="Times New Roman" w:hAnsi="Times New Roman" w:cs="Times New Roman"/>
                      <w:color w:val="auto"/>
                      <w:kern w:val="2"/>
                      <w:sz w:val="21"/>
                      <w:szCs w:val="21"/>
                      <w:lang w:val="en-US" w:eastAsia="zh-CN" w:bidi="zh-CN"/>
                    </w:rPr>
                  </w:pPr>
                  <w:r>
                    <w:rPr>
                      <w:rFonts w:hint="eastAsia" w:ascii="Times New Roman" w:hAnsi="Times New Roman" w:cs="Times New Roman"/>
                      <w:color w:val="auto"/>
                      <w:kern w:val="2"/>
                      <w:sz w:val="21"/>
                      <w:szCs w:val="21"/>
                      <w:lang w:val="en-US" w:eastAsia="zh-CN" w:bidi="zh-CN"/>
                    </w:rPr>
                    <w:t>3</w:t>
                  </w:r>
                  <w:r>
                    <w:rPr>
                      <w:rFonts w:hint="default" w:ascii="Times New Roman" w:hAnsi="Times New Roman" w:cs="Times New Roman"/>
                      <w:color w:val="auto"/>
                      <w:kern w:val="2"/>
                      <w:sz w:val="21"/>
                      <w:szCs w:val="21"/>
                      <w:lang w:val="en-US" w:eastAsia="zh-CN" w:bidi="zh-CN"/>
                    </w:rPr>
                    <w:t>00</w:t>
                  </w:r>
                </w:p>
              </w:tc>
              <w:tc>
                <w:tcPr>
                  <w:tcW w:w="989" w:type="pct"/>
                  <w:tcBorders>
                    <w:tl2br w:val="nil"/>
                    <w:tr2bl w:val="nil"/>
                  </w:tcBorders>
                  <w:vAlign w:val="center"/>
                </w:tcPr>
                <w:p w14:paraId="749B7910">
                  <w:pPr>
                    <w:pStyle w:val="21"/>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zh-CN"/>
                    </w:rPr>
                  </w:pPr>
                  <w:r>
                    <w:rPr>
                      <w:rFonts w:hint="eastAsia" w:ascii="Times New Roman" w:hAnsi="Times New Roman" w:cs="Times New Roman"/>
                      <w:color w:val="auto"/>
                      <w:kern w:val="0"/>
                      <w:sz w:val="21"/>
                      <w:szCs w:val="21"/>
                      <w:highlight w:val="none"/>
                      <w:lang w:val="en-US" w:eastAsia="zh-CN"/>
                    </w:rPr>
                    <w:t>100~111</w:t>
                  </w:r>
                </w:p>
              </w:tc>
              <w:tc>
                <w:tcPr>
                  <w:tcW w:w="688" w:type="pct"/>
                  <w:tcBorders>
                    <w:tl2br w:val="nil"/>
                    <w:tr2bl w:val="nil"/>
                  </w:tcBorders>
                  <w:vAlign w:val="center"/>
                </w:tcPr>
                <w:p w14:paraId="059A5103">
                  <w:pPr>
                    <w:pStyle w:val="21"/>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zh-CN"/>
                    </w:rPr>
                  </w:pPr>
                  <w:r>
                    <w:rPr>
                      <w:rFonts w:hint="eastAsia" w:ascii="Times New Roman" w:hAnsi="Times New Roman" w:cs="Times New Roman"/>
                      <w:color w:val="auto"/>
                      <w:kern w:val="0"/>
                      <w:sz w:val="21"/>
                      <w:szCs w:val="21"/>
                      <w:highlight w:val="none"/>
                      <w:lang w:val="en-US" w:eastAsia="zh-CN"/>
                    </w:rPr>
                    <w:t>37.0</w:t>
                  </w:r>
                </w:p>
              </w:tc>
              <w:tc>
                <w:tcPr>
                  <w:tcW w:w="405" w:type="pct"/>
                  <w:tcBorders>
                    <w:tl2br w:val="nil"/>
                    <w:tr2bl w:val="nil"/>
                  </w:tcBorders>
                  <w:vAlign w:val="center"/>
                </w:tcPr>
                <w:p w14:paraId="7750735A">
                  <w:pPr>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0</w:t>
                  </w:r>
                </w:p>
              </w:tc>
              <w:tc>
                <w:tcPr>
                  <w:tcW w:w="487" w:type="pct"/>
                  <w:tcBorders>
                    <w:tl2br w:val="nil"/>
                    <w:tr2bl w:val="nil"/>
                  </w:tcBorders>
                  <w:vAlign w:val="center"/>
                </w:tcPr>
                <w:p w14:paraId="2F6AB705">
                  <w:pPr>
                    <w:keepNext w:val="0"/>
                    <w:keepLines w:val="0"/>
                    <w:pageBreakBefore w:val="0"/>
                    <w:widowControl w:val="0"/>
                    <w:suppressLineNumbers w:val="0"/>
                    <w:kinsoku/>
                    <w:wordWrap w:val="0"/>
                    <w:overflowPunct/>
                    <w:topLinePunct w:val="0"/>
                    <w:bidi w:val="0"/>
                    <w:spacing w:before="0" w:beforeAutospacing="0" w:after="0" w:afterAutospacing="0" w:line="240" w:lineRule="auto"/>
                    <w:ind w:left="0" w:leftChars="0" w:right="0" w:rightChars="0"/>
                    <w:jc w:val="center"/>
                    <w:textAlignment w:val="auto"/>
                    <w:outlineLvl w:val="9"/>
                    <w:rPr>
                      <w:rFonts w:hint="default" w:ascii="Times New Roman" w:hAnsi="Times New Roman" w:cs="Times New Roman"/>
                      <w:color w:val="auto"/>
                      <w:kern w:val="2"/>
                      <w:sz w:val="21"/>
                      <w:szCs w:val="21"/>
                      <w:lang w:eastAsia="zh-CN" w:bidi="zh-CN"/>
                    </w:rPr>
                  </w:pPr>
                  <w:r>
                    <w:rPr>
                      <w:rFonts w:hint="default" w:ascii="Times New Roman" w:hAnsi="Times New Roman" w:cs="Times New Roman"/>
                      <w:color w:val="auto"/>
                      <w:sz w:val="21"/>
                      <w:szCs w:val="21"/>
                      <w:highlight w:val="none"/>
                    </w:rPr>
                    <w:t>达标</w:t>
                  </w:r>
                </w:p>
              </w:tc>
            </w:tr>
          </w:tbl>
          <w:p w14:paraId="3DC8776F">
            <w:pPr>
              <w:pageBreakBefore w:val="0"/>
              <w:widowControl w:val="0"/>
              <w:kinsoku/>
              <w:overflowPunct/>
              <w:topLinePunct w:val="0"/>
              <w:bidi w:val="0"/>
              <w:ind w:firstLine="480" w:firstLineChars="200"/>
              <w:textAlignment w:val="auto"/>
              <w:outlineLvl w:val="9"/>
              <w:rPr>
                <w:rFonts w:hint="default" w:ascii="Times New Roman" w:hAnsi="Times New Roman" w:cs="Times New Roman"/>
                <w:color w:val="auto"/>
                <w:highlight w:val="none"/>
              </w:rPr>
            </w:pPr>
            <w:r>
              <w:rPr>
                <w:rFonts w:hint="default" w:ascii="Times New Roman" w:hAnsi="Times New Roman" w:cs="Times New Roman"/>
                <w:bCs/>
                <w:color w:val="auto"/>
                <w:szCs w:val="22"/>
                <w:highlight w:val="none"/>
              </w:rPr>
              <w:t>监测结果表明，项目周围区域空气中，特征污染物TSP24小时平均浓度可达到</w:t>
            </w:r>
            <w:r>
              <w:rPr>
                <w:rFonts w:hint="default" w:ascii="Times New Roman" w:hAnsi="Times New Roman" w:cs="Times New Roman"/>
                <w:color w:val="auto"/>
                <w:sz w:val="24"/>
                <w:highlight w:val="none"/>
                <w:lang w:val="en-US" w:eastAsia="zh-CN"/>
              </w:rPr>
              <w:t>《环境空气质量标准》</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GB3095-2026</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中二级标准</w:t>
            </w:r>
            <w:r>
              <w:rPr>
                <w:rFonts w:hint="eastAsia" w:ascii="Times New Roman" w:hAnsi="Times New Roman" w:cs="Times New Roman"/>
                <w:color w:val="auto"/>
                <w:sz w:val="24"/>
                <w:highlight w:val="none"/>
                <w:lang w:val="en-US" w:eastAsia="zh-CN"/>
              </w:rPr>
              <w:t>限值要求</w:t>
            </w:r>
            <w:r>
              <w:rPr>
                <w:rFonts w:hint="default" w:ascii="Times New Roman" w:hAnsi="Times New Roman" w:cs="Times New Roman"/>
                <w:bCs/>
                <w:color w:val="auto"/>
                <w:szCs w:val="22"/>
                <w:highlight w:val="none"/>
              </w:rPr>
              <w:t>。</w:t>
            </w:r>
          </w:p>
          <w:p w14:paraId="479622F7">
            <w:pPr>
              <w:pageBreakBefore w:val="0"/>
              <w:widowControl w:val="0"/>
              <w:numPr>
                <w:ilvl w:val="2"/>
                <w:numId w:val="0"/>
              </w:numPr>
              <w:tabs>
                <w:tab w:val="left" w:pos="420"/>
              </w:tabs>
              <w:kinsoku/>
              <w:overflowPunct/>
              <w:topLinePunct w:val="0"/>
              <w:bidi w:val="0"/>
              <w:ind w:left="-2" w:firstLine="482"/>
              <w:textAlignment w:val="auto"/>
              <w:outlineLvl w:val="9"/>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二、水环境质量现状</w:t>
            </w:r>
          </w:p>
          <w:p w14:paraId="7A8E2AE6">
            <w:pPr>
              <w:autoSpaceDE w:val="0"/>
              <w:autoSpaceDN w:val="0"/>
              <w:adjustRightInd w:val="0"/>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根据《广东省地表水环境功能区划》（粤环</w:t>
            </w:r>
            <w:r>
              <w:rPr>
                <w:rFonts w:hint="default" w:ascii="Times New Roman" w:hAnsi="Times New Roman" w:cs="Times New Roman"/>
                <w:color w:val="auto"/>
                <w:kern w:val="0"/>
                <w:highlight w:val="none"/>
              </w:rPr>
              <w:t>〔201</w:t>
            </w:r>
            <w:r>
              <w:rPr>
                <w:rFonts w:hint="default" w:ascii="Times New Roman" w:hAnsi="Times New Roman" w:cs="Times New Roman"/>
                <w:color w:val="auto"/>
                <w:kern w:val="0"/>
                <w:highlight w:val="none"/>
                <w:lang w:val="en-US" w:eastAsia="zh-CN"/>
              </w:rPr>
              <w:t>1</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rPr>
              <w:t>14号）</w:t>
            </w:r>
            <w:r>
              <w:rPr>
                <w:rFonts w:hint="default" w:ascii="Times New Roman" w:hAnsi="Times New Roman" w:cs="Times New Roman"/>
                <w:color w:val="auto"/>
                <w:highlight w:val="none"/>
                <w:lang w:eastAsia="zh-CN"/>
              </w:rPr>
              <w:t>和《</w:t>
            </w:r>
            <w:r>
              <w:rPr>
                <w:rFonts w:hint="eastAsia" w:cs="Times New Roman"/>
                <w:color w:val="auto"/>
                <w:highlight w:val="none"/>
                <w:lang w:val="en-US" w:eastAsia="zh-CN"/>
              </w:rPr>
              <w:t>广东省生态环境厅、</w:t>
            </w:r>
            <w:r>
              <w:rPr>
                <w:rFonts w:hint="default" w:ascii="Times New Roman" w:hAnsi="Times New Roman" w:cs="Times New Roman"/>
                <w:color w:val="auto"/>
                <w:highlight w:val="none"/>
                <w:lang w:eastAsia="zh-CN"/>
              </w:rPr>
              <w:t>广东省水利厅关于印发&lt;韶关市部分饮用水水源保护区调整方案&gt;的通知》（粤环函</w:t>
            </w:r>
            <w:r>
              <w:rPr>
                <w:rFonts w:hint="default" w:ascii="Times New Roman" w:hAnsi="Times New Roman" w:cs="Times New Roman"/>
                <w:color w:val="auto"/>
                <w:kern w:val="0"/>
                <w:highlight w:val="none"/>
              </w:rPr>
              <w:t>〔20</w:t>
            </w:r>
            <w:r>
              <w:rPr>
                <w:rFonts w:hint="default" w:ascii="Times New Roman" w:hAnsi="Times New Roman" w:cs="Times New Roman"/>
                <w:color w:val="auto"/>
                <w:kern w:val="0"/>
                <w:highlight w:val="none"/>
                <w:lang w:val="en-US" w:eastAsia="zh-CN"/>
              </w:rPr>
              <w:t>24</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lang w:eastAsia="zh-CN"/>
              </w:rPr>
              <w:t>146号）</w:t>
            </w:r>
            <w:r>
              <w:rPr>
                <w:rFonts w:hint="default" w:ascii="Times New Roman" w:hAnsi="Times New Roman" w:cs="Times New Roman"/>
                <w:color w:val="auto"/>
                <w:highlight w:val="none"/>
              </w:rPr>
              <w:t>，本项目所在区域主要地表水及纳污水体为武江（乐昌城-犁市），为III类水质功能区，执行《地表水环境质量标准》（GB3838-2002）中的III类标准。根据《202</w:t>
            </w:r>
            <w:r>
              <w:rPr>
                <w:rFonts w:hint="eastAsia" w:cs="Times New Roman"/>
                <w:color w:val="auto"/>
                <w:highlight w:val="none"/>
                <w:lang w:val="en-US" w:eastAsia="zh-CN"/>
              </w:rPr>
              <w:t>4</w:t>
            </w:r>
            <w:r>
              <w:rPr>
                <w:rFonts w:hint="default" w:ascii="Times New Roman" w:hAnsi="Times New Roman" w:cs="Times New Roman"/>
                <w:color w:val="auto"/>
                <w:highlight w:val="none"/>
              </w:rPr>
              <w:t>年韶关市生态环境状况公报》，2024 年，韶关市11条主要江河(北江、武江、浈江、南水河、墨江、锦江、马坝河、滃江、新丰江、横石水和大潭河)34个市考以上手工监测断面水质优良率为100%，故项目所在地地表水环境质量现状良好。</w:t>
            </w:r>
          </w:p>
          <w:p w14:paraId="0C8A41B2">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三、声环境质量现状</w:t>
            </w:r>
          </w:p>
          <w:p w14:paraId="78D7BE71">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项目所在地为工业园区内，执行《声环境质量标准》（GB3096—2008）3类标准（昼间65dB(A)；夜间55dB(A)）。</w:t>
            </w:r>
          </w:p>
          <w:p w14:paraId="1E31279C">
            <w:pPr>
              <w:ind w:firstLine="480" w:firstLineChars="200"/>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根据《建设项目环境影响报告表编制技术指南（污染影响类）（试行）》，</w:t>
            </w:r>
            <w:r>
              <w:rPr>
                <w:rFonts w:hint="default" w:ascii="Times New Roman" w:hAnsi="Times New Roman" w:cs="Times New Roman"/>
                <w:color w:val="auto"/>
                <w:kern w:val="0"/>
                <w:highlight w:val="none"/>
              </w:rPr>
              <w:t>本项目周边50米范围内无敏感点，故无需进行声环境质量现状监测与评价。</w:t>
            </w:r>
          </w:p>
          <w:p w14:paraId="63DF99EA">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四、地下水、土壤环境质量现状</w:t>
            </w:r>
          </w:p>
          <w:p w14:paraId="0907BCDF">
            <w:pPr>
              <w:autoSpaceDE w:val="0"/>
              <w:autoSpaceDN w:val="0"/>
              <w:adjustRightInd w:val="0"/>
              <w:ind w:firstLine="480" w:firstLineChars="200"/>
              <w:jc w:val="left"/>
              <w:rPr>
                <w:rFonts w:hint="default" w:ascii="Times New Roman" w:hAnsi="Times New Roman" w:cs="Times New Roman"/>
                <w:bCs/>
                <w:color w:val="auto"/>
                <w:kern w:val="28"/>
                <w:sz w:val="24"/>
                <w:highlight w:val="none"/>
                <w:lang w:eastAsia="zh-CN"/>
              </w:rPr>
            </w:pPr>
            <w:r>
              <w:rPr>
                <w:rFonts w:hint="default" w:ascii="Times New Roman" w:hAnsi="Times New Roman" w:cs="Times New Roman"/>
                <w:color w:val="auto"/>
                <w:sz w:val="24"/>
                <w:szCs w:val="32"/>
                <w:highlight w:val="none"/>
                <w:lang w:val="en-US" w:eastAsia="zh-CN"/>
              </w:rPr>
              <w:t>根据《建设项目环境影响报告表编制技术指南（污染影响类）（试行）》，原则上不开展地下水、土壤环境质量现状调查。本项目不存在地下水污染途径，无需开展地下水环境影响评价，因此不进行地下水质量现状监测与评价；同时项目也不存在土壤污染途径，无需开展土壤环境影响评价，故不进行土壤环境质量现状调查。</w:t>
            </w:r>
          </w:p>
          <w:p w14:paraId="7E969F53">
            <w:pPr>
              <w:pStyle w:val="9"/>
              <w:numPr>
                <w:ilvl w:val="2"/>
                <w:numId w:val="0"/>
              </w:numPr>
              <w:ind w:left="-2"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五、生态环境质量现状</w:t>
            </w:r>
          </w:p>
          <w:p w14:paraId="1283FAA1">
            <w:pPr>
              <w:pStyle w:val="9"/>
              <w:numPr>
                <w:ilvl w:val="2"/>
                <w:numId w:val="0"/>
              </w:numPr>
              <w:ind w:firstLine="480" w:firstLineChars="200"/>
              <w:rPr>
                <w:color w:val="auto"/>
              </w:rPr>
            </w:pPr>
            <w:r>
              <w:rPr>
                <w:rFonts w:hint="default" w:ascii="Times New Roman" w:hAnsi="Times New Roman" w:cs="Times New Roman"/>
                <w:b w:val="0"/>
                <w:bCs w:val="0"/>
                <w:color w:val="auto"/>
                <w:szCs w:val="32"/>
                <w:highlight w:val="none"/>
              </w:rPr>
              <w:t>本项目位于乐昌市乐昌产业转移工业园内，根据现场勘踏和调查，项目用地范围内不含生态环境保护目标，不需进行生态环境调查。</w:t>
            </w:r>
          </w:p>
          <w:p w14:paraId="0557CB63">
            <w:pPr>
              <w:pStyle w:val="9"/>
              <w:numPr>
                <w:ilvl w:val="0"/>
                <w:numId w:val="0"/>
              </w:numPr>
              <w:ind w:left="-2" w:leftChars="0" w:firstLine="480" w:firstLineChars="200"/>
              <w:rPr>
                <w:rFonts w:hint="default" w:ascii="Times New Roman" w:hAnsi="Times New Roman" w:cs="Times New Roman"/>
                <w:color w:val="auto"/>
                <w:highlight w:val="none"/>
              </w:rPr>
            </w:pPr>
            <w:r>
              <w:rPr>
                <w:rFonts w:hint="eastAsia" w:ascii="Times New Roman" w:hAnsi="Times New Roman" w:eastAsia="宋体" w:cs="Times New Roman"/>
                <w:b/>
                <w:bCs/>
                <w:color w:val="auto"/>
                <w:kern w:val="2"/>
                <w:sz w:val="24"/>
                <w:szCs w:val="24"/>
                <w:lang w:val="en-US" w:eastAsia="zh-CN" w:bidi="ar-SA"/>
              </w:rPr>
              <w:t>六、</w:t>
            </w:r>
            <w:r>
              <w:rPr>
                <w:rFonts w:hint="eastAsia" w:cs="Times New Roman"/>
                <w:color w:val="auto"/>
                <w:highlight w:val="none"/>
                <w:lang w:val="en-US" w:eastAsia="zh-CN"/>
              </w:rPr>
              <w:t>电磁辐射</w:t>
            </w:r>
            <w:r>
              <w:rPr>
                <w:rFonts w:hint="default" w:ascii="Times New Roman" w:hAnsi="Times New Roman" w:cs="Times New Roman"/>
                <w:color w:val="auto"/>
                <w:highlight w:val="none"/>
              </w:rPr>
              <w:t>质量现状</w:t>
            </w:r>
          </w:p>
          <w:p w14:paraId="644A112B">
            <w:pPr>
              <w:numPr>
                <w:ilvl w:val="0"/>
                <w:numId w:val="0"/>
              </w:numPr>
              <w:ind w:firstLine="480" w:firstLineChars="200"/>
              <w:rPr>
                <w:rFonts w:hint="default"/>
                <w:color w:val="auto"/>
              </w:rPr>
            </w:pPr>
            <w:r>
              <w:rPr>
                <w:rFonts w:hint="eastAsia"/>
                <w:color w:val="auto"/>
                <w:lang w:val="en-US" w:eastAsia="zh-CN"/>
              </w:rPr>
              <w:t>无。</w:t>
            </w:r>
          </w:p>
        </w:tc>
      </w:tr>
      <w:tr w14:paraId="630D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10F637A4">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57" w:name="_Toc461"/>
            <w:bookmarkStart w:id="58" w:name="_Toc28210"/>
            <w:bookmarkStart w:id="59" w:name="_Toc28582"/>
            <w:bookmarkStart w:id="60" w:name="_Toc28375"/>
            <w:bookmarkStart w:id="61" w:name="_Toc728"/>
            <w:bookmarkStart w:id="62" w:name="_Toc7031"/>
            <w:bookmarkStart w:id="63" w:name="_Toc241"/>
            <w:bookmarkStart w:id="64" w:name="_Toc24022"/>
            <w:bookmarkStart w:id="65" w:name="_Toc31357"/>
            <w:bookmarkStart w:id="66" w:name="_Toc14552"/>
            <w:r>
              <w:rPr>
                <w:rFonts w:hint="default" w:ascii="Times New Roman" w:hAnsi="Times New Roman" w:cs="Times New Roman"/>
                <w:color w:val="auto"/>
                <w:highlight w:val="none"/>
              </w:rPr>
              <w:t>环境保护目标</w:t>
            </w:r>
            <w:bookmarkEnd w:id="57"/>
            <w:bookmarkEnd w:id="58"/>
            <w:bookmarkEnd w:id="59"/>
            <w:bookmarkEnd w:id="60"/>
            <w:bookmarkEnd w:id="61"/>
            <w:bookmarkEnd w:id="62"/>
            <w:bookmarkEnd w:id="63"/>
            <w:bookmarkEnd w:id="64"/>
            <w:bookmarkEnd w:id="65"/>
            <w:bookmarkEnd w:id="66"/>
          </w:p>
        </w:tc>
        <w:tc>
          <w:tcPr>
            <w:tcW w:w="4732" w:type="pct"/>
          </w:tcPr>
          <w:p w14:paraId="490E2BA2">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一、环境空气保护目标</w:t>
            </w:r>
          </w:p>
          <w:p w14:paraId="2749E666">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eastAsia"/>
                <w:color w:val="auto"/>
              </w:rPr>
            </w:pPr>
            <w:r>
              <w:rPr>
                <w:rFonts w:hint="default" w:ascii="Times New Roman" w:hAnsi="Times New Roman" w:eastAsia="宋体" w:cs="Times New Roman"/>
                <w:color w:val="auto"/>
                <w:szCs w:val="32"/>
                <w:highlight w:val="none"/>
              </w:rPr>
              <w:t>根据现场调查</w:t>
            </w:r>
            <w:r>
              <w:rPr>
                <w:rFonts w:hint="default" w:ascii="Times New Roman" w:hAnsi="Times New Roman" w:eastAsia="宋体" w:cs="Times New Roman"/>
                <w:color w:val="auto"/>
                <w:szCs w:val="32"/>
                <w:highlight w:val="none"/>
                <w:lang w:val="en-US" w:eastAsia="zh-CN"/>
              </w:rPr>
              <w:t>，</w:t>
            </w:r>
            <w:r>
              <w:rPr>
                <w:rFonts w:hint="default" w:ascii="Times New Roman" w:hAnsi="Times New Roman" w:eastAsia="宋体" w:cs="Times New Roman"/>
                <w:color w:val="auto"/>
                <w:kern w:val="2"/>
                <w:szCs w:val="32"/>
                <w:highlight w:val="none"/>
              </w:rPr>
              <w:t>本</w:t>
            </w:r>
            <w:r>
              <w:rPr>
                <w:rFonts w:hint="eastAsia"/>
                <w:color w:val="auto"/>
              </w:rPr>
              <w:t>项目厂界外周边 500 米范围内自然保护区、风景名胜区、居住区、文化区和农村区中人群较集中的区域等保护目标的名称及项目厂界位置关系见下表</w:t>
            </w:r>
          </w:p>
          <w:p w14:paraId="56CFD53D">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auto"/>
              </w:rPr>
            </w:pPr>
            <w:r>
              <w:rPr>
                <w:rFonts w:hint="default" w:ascii="Times New Roman" w:hAnsi="Times New Roman" w:cs="Times New Roman"/>
                <w:color w:val="auto"/>
                <w:sz w:val="21"/>
                <w:szCs w:val="21"/>
                <w:highlight w:val="none"/>
              </w:rPr>
              <w:t>表3-</w:t>
            </w:r>
            <w:r>
              <w:rPr>
                <w:rFonts w:hint="eastAsia" w:cs="Times New Roman"/>
                <w:color w:val="auto"/>
                <w:sz w:val="21"/>
                <w:szCs w:val="21"/>
                <w:highlight w:val="none"/>
                <w:lang w:val="en-US" w:eastAsia="zh-CN"/>
              </w:rPr>
              <w:t xml:space="preserve">4 </w:t>
            </w:r>
            <w:r>
              <w:rPr>
                <w:rFonts w:hint="eastAsia"/>
                <w:color w:val="auto"/>
                <w:sz w:val="21"/>
                <w:szCs w:val="21"/>
                <w:highlight w:val="none"/>
              </w:rPr>
              <w:t>本项目500m范围内大气环境敏感保护目标</w:t>
            </w:r>
          </w:p>
          <w:tbl>
            <w:tblPr>
              <w:tblStyle w:val="45"/>
              <w:tblW w:w="5000"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899"/>
              <w:gridCol w:w="900"/>
              <w:gridCol w:w="636"/>
              <w:gridCol w:w="726"/>
              <w:gridCol w:w="636"/>
              <w:gridCol w:w="846"/>
              <w:gridCol w:w="777"/>
              <w:gridCol w:w="1092"/>
            </w:tblGrid>
            <w:tr w14:paraId="6305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Merge w:val="restart"/>
                  <w:vAlign w:val="center"/>
                </w:tcPr>
                <w:p w14:paraId="54FC42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名称</w:t>
                  </w:r>
                </w:p>
              </w:tc>
              <w:tc>
                <w:tcPr>
                  <w:tcW w:w="1135" w:type="pct"/>
                  <w:gridSpan w:val="2"/>
                  <w:vAlign w:val="center"/>
                </w:tcPr>
                <w:p w14:paraId="2146FB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r>
                    <w:rPr>
                      <w:rFonts w:hint="eastAsia"/>
                      <w:color w:val="auto"/>
                      <w:sz w:val="21"/>
                      <w:szCs w:val="21"/>
                      <w:vertAlign w:val="baseline"/>
                      <w:lang w:val="en-US" w:eastAsia="zh-CN"/>
                    </w:rPr>
                    <w:t>坐标/m</w:t>
                  </w:r>
                </w:p>
              </w:tc>
              <w:tc>
                <w:tcPr>
                  <w:tcW w:w="401" w:type="pct"/>
                  <w:vMerge w:val="restart"/>
                  <w:vAlign w:val="center"/>
                </w:tcPr>
                <w:p w14:paraId="6A0C7F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保护对象</w:t>
                  </w:r>
                </w:p>
              </w:tc>
              <w:tc>
                <w:tcPr>
                  <w:tcW w:w="458" w:type="pct"/>
                  <w:vMerge w:val="restart"/>
                  <w:vAlign w:val="center"/>
                </w:tcPr>
                <w:p w14:paraId="1B1BA7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规模/人</w:t>
                  </w:r>
                </w:p>
              </w:tc>
              <w:tc>
                <w:tcPr>
                  <w:tcW w:w="401" w:type="pct"/>
                  <w:vMerge w:val="restart"/>
                  <w:vAlign w:val="center"/>
                </w:tcPr>
                <w:p w14:paraId="710996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保护内容</w:t>
                  </w:r>
                </w:p>
              </w:tc>
              <w:tc>
                <w:tcPr>
                  <w:tcW w:w="534" w:type="pct"/>
                  <w:vMerge w:val="restart"/>
                  <w:vAlign w:val="center"/>
                </w:tcPr>
                <w:p w14:paraId="59530D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环境功能区</w:t>
                  </w:r>
                </w:p>
              </w:tc>
              <w:tc>
                <w:tcPr>
                  <w:tcW w:w="490" w:type="pct"/>
                  <w:vMerge w:val="restart"/>
                  <w:vAlign w:val="center"/>
                </w:tcPr>
                <w:p w14:paraId="28A585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相对厂址方位</w:t>
                  </w:r>
                </w:p>
              </w:tc>
              <w:tc>
                <w:tcPr>
                  <w:tcW w:w="689" w:type="pct"/>
                  <w:vMerge w:val="restart"/>
                  <w:vAlign w:val="center"/>
                </w:tcPr>
                <w:p w14:paraId="6EA982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相对厂界距离/m</w:t>
                  </w:r>
                </w:p>
              </w:tc>
            </w:tr>
            <w:tr w14:paraId="3F5E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Merge w:val="continue"/>
                  <w:vAlign w:val="center"/>
                </w:tcPr>
                <w:p w14:paraId="329EDE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567" w:type="pct"/>
                  <w:vAlign w:val="center"/>
                </w:tcPr>
                <w:p w14:paraId="3D8178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X</w:t>
                  </w:r>
                </w:p>
              </w:tc>
              <w:tc>
                <w:tcPr>
                  <w:tcW w:w="567" w:type="pct"/>
                  <w:vAlign w:val="center"/>
                </w:tcPr>
                <w:p w14:paraId="760D7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Y</w:t>
                  </w:r>
                </w:p>
              </w:tc>
              <w:tc>
                <w:tcPr>
                  <w:tcW w:w="401" w:type="pct"/>
                  <w:vMerge w:val="continue"/>
                  <w:vAlign w:val="center"/>
                </w:tcPr>
                <w:p w14:paraId="5956F3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58" w:type="pct"/>
                  <w:vMerge w:val="continue"/>
                  <w:vAlign w:val="center"/>
                </w:tcPr>
                <w:p w14:paraId="746F1EF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01" w:type="pct"/>
                  <w:vMerge w:val="continue"/>
                  <w:vAlign w:val="center"/>
                </w:tcPr>
                <w:p w14:paraId="7D047A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534" w:type="pct"/>
                  <w:vMerge w:val="continue"/>
                  <w:vAlign w:val="center"/>
                </w:tcPr>
                <w:p w14:paraId="24A2F8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490" w:type="pct"/>
                  <w:vMerge w:val="continue"/>
                  <w:vAlign w:val="center"/>
                </w:tcPr>
                <w:p w14:paraId="471958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c>
                <w:tcPr>
                  <w:tcW w:w="689" w:type="pct"/>
                  <w:vMerge w:val="continue"/>
                  <w:vAlign w:val="center"/>
                </w:tcPr>
                <w:p w14:paraId="7F65CC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sz w:val="21"/>
                      <w:szCs w:val="21"/>
                      <w:vertAlign w:val="baseline"/>
                      <w:lang w:eastAsia="zh-CN"/>
                    </w:rPr>
                  </w:pPr>
                </w:p>
              </w:tc>
            </w:tr>
            <w:tr w14:paraId="43AD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 w:type="pct"/>
                  <w:vAlign w:val="center"/>
                </w:tcPr>
                <w:p w14:paraId="7E1F4A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尚都新城（含乐昌湘华医院）</w:t>
                  </w:r>
                </w:p>
              </w:tc>
              <w:tc>
                <w:tcPr>
                  <w:tcW w:w="567" w:type="pct"/>
                  <w:vAlign w:val="center"/>
                </w:tcPr>
                <w:p w14:paraId="4266D62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162</w:t>
                  </w:r>
                </w:p>
              </w:tc>
              <w:tc>
                <w:tcPr>
                  <w:tcW w:w="567" w:type="pct"/>
                  <w:vAlign w:val="center"/>
                </w:tcPr>
                <w:p w14:paraId="6B22A9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196</w:t>
                  </w:r>
                </w:p>
              </w:tc>
              <w:tc>
                <w:tcPr>
                  <w:tcW w:w="401" w:type="pct"/>
                  <w:vAlign w:val="center"/>
                </w:tcPr>
                <w:p w14:paraId="36339F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大气环境</w:t>
                  </w:r>
                </w:p>
              </w:tc>
              <w:tc>
                <w:tcPr>
                  <w:tcW w:w="458" w:type="pct"/>
                  <w:vAlign w:val="center"/>
                </w:tcPr>
                <w:p w14:paraId="1042D4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2000</w:t>
                  </w:r>
                </w:p>
              </w:tc>
              <w:tc>
                <w:tcPr>
                  <w:tcW w:w="401" w:type="pct"/>
                  <w:vAlign w:val="center"/>
                </w:tcPr>
                <w:p w14:paraId="149AFF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大气环境</w:t>
                  </w:r>
                </w:p>
              </w:tc>
              <w:tc>
                <w:tcPr>
                  <w:tcW w:w="534" w:type="pct"/>
                  <w:vAlign w:val="center"/>
                </w:tcPr>
                <w:p w14:paraId="487605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环境空气二类区</w:t>
                  </w:r>
                </w:p>
              </w:tc>
              <w:tc>
                <w:tcPr>
                  <w:tcW w:w="490" w:type="pct"/>
                  <w:vAlign w:val="center"/>
                </w:tcPr>
                <w:p w14:paraId="0A6180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东北</w:t>
                  </w:r>
                </w:p>
              </w:tc>
              <w:tc>
                <w:tcPr>
                  <w:tcW w:w="689" w:type="pct"/>
                  <w:vAlign w:val="center"/>
                </w:tcPr>
                <w:p w14:paraId="0F6E06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1"/>
                      <w:szCs w:val="21"/>
                      <w:vertAlign w:val="baseline"/>
                      <w:lang w:eastAsia="zh-CN"/>
                    </w:rPr>
                  </w:pPr>
                  <w:r>
                    <w:rPr>
                      <w:rFonts w:hint="eastAsia"/>
                      <w:color w:val="auto"/>
                      <w:sz w:val="21"/>
                      <w:szCs w:val="21"/>
                      <w:vertAlign w:val="baseline"/>
                      <w:lang w:val="en-US" w:eastAsia="zh-CN"/>
                    </w:rPr>
                    <w:t>253</w:t>
                  </w:r>
                </w:p>
              </w:tc>
            </w:tr>
          </w:tbl>
          <w:p w14:paraId="111163BF">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二、声环境保护目标</w:t>
            </w:r>
          </w:p>
          <w:p w14:paraId="71768F3F">
            <w:pPr>
              <w:ind w:firstLine="480"/>
              <w:rPr>
                <w:rFonts w:hint="default" w:ascii="Times New Roman" w:hAnsi="Times New Roman" w:cs="Times New Roman"/>
                <w:color w:val="auto"/>
                <w:highlight w:val="none"/>
              </w:rPr>
            </w:pPr>
            <w:r>
              <w:rPr>
                <w:rFonts w:hint="default" w:ascii="Times New Roman" w:hAnsi="Times New Roman" w:cs="Times New Roman"/>
                <w:color w:val="auto"/>
                <w:szCs w:val="32"/>
                <w:highlight w:val="none"/>
              </w:rPr>
              <w:t>本项目</w:t>
            </w:r>
            <w:r>
              <w:rPr>
                <w:rFonts w:hint="default" w:ascii="Times New Roman" w:hAnsi="Times New Roman" w:cs="Times New Roman"/>
                <w:color w:val="auto"/>
                <w:highlight w:val="none"/>
              </w:rPr>
              <w:t>厂界外50米范围内无声环境保护目标。</w:t>
            </w:r>
          </w:p>
          <w:p w14:paraId="1481AAF6">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三、地下水环境保护目标</w:t>
            </w:r>
          </w:p>
          <w:p w14:paraId="0770F9DB">
            <w:pPr>
              <w:ind w:firstLine="480"/>
              <w:rPr>
                <w:rFonts w:hint="default" w:ascii="Times New Roman" w:hAnsi="Times New Roman" w:cs="Times New Roman"/>
                <w:color w:val="auto"/>
                <w:highlight w:val="none"/>
              </w:rPr>
            </w:pPr>
            <w:r>
              <w:rPr>
                <w:rFonts w:hint="default" w:ascii="Times New Roman" w:hAnsi="Times New Roman" w:cs="Times New Roman"/>
                <w:color w:val="auto"/>
                <w:szCs w:val="32"/>
                <w:highlight w:val="none"/>
              </w:rPr>
              <w:t>本</w:t>
            </w:r>
            <w:r>
              <w:rPr>
                <w:rFonts w:hint="default" w:ascii="Times New Roman" w:hAnsi="Times New Roman" w:cs="Times New Roman"/>
                <w:color w:val="auto"/>
                <w:highlight w:val="none"/>
              </w:rPr>
              <w:t>项目厂界外500米范围内无地下水集中式饮用水水源和热水、矿泉水、温泉等特殊地下水资源。</w:t>
            </w:r>
          </w:p>
          <w:p w14:paraId="389C54EA">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四、生态环境保护目标</w:t>
            </w:r>
          </w:p>
          <w:p w14:paraId="34F0D43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保护本项目建设地块的生态环境，防止水土流失，使其能实现生态环境的良性循环，</w:t>
            </w:r>
            <w:r>
              <w:rPr>
                <w:rFonts w:hint="default" w:ascii="Times New Roman" w:hAnsi="Times New Roman" w:cs="Times New Roman"/>
                <w:color w:val="auto"/>
                <w:szCs w:val="32"/>
                <w:highlight w:val="none"/>
              </w:rPr>
              <w:t>不对现有的生态环境造成大面积的破坏。本项目所在区域</w:t>
            </w:r>
            <w:r>
              <w:rPr>
                <w:rFonts w:hint="default" w:ascii="Times New Roman" w:hAnsi="Times New Roman" w:cs="Times New Roman"/>
                <w:color w:val="auto"/>
                <w:highlight w:val="none"/>
              </w:rPr>
              <w:t>无生态环境保护目标。</w:t>
            </w:r>
          </w:p>
        </w:tc>
      </w:tr>
      <w:tr w14:paraId="0073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4" w:hRule="atLeast"/>
        </w:trPr>
        <w:tc>
          <w:tcPr>
            <w:tcW w:w="267" w:type="pct"/>
            <w:vAlign w:val="center"/>
          </w:tcPr>
          <w:p w14:paraId="6B11D2DB">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default" w:ascii="Times New Roman" w:hAnsi="Times New Roman" w:cs="Times New Roman"/>
                <w:color w:val="auto"/>
                <w:highlight w:val="none"/>
              </w:rPr>
            </w:pPr>
            <w:bookmarkStart w:id="67" w:name="_Toc2437"/>
            <w:bookmarkStart w:id="68" w:name="_Toc27828"/>
            <w:bookmarkStart w:id="69" w:name="_Toc21959"/>
            <w:bookmarkStart w:id="70" w:name="_Toc10187"/>
            <w:bookmarkStart w:id="71" w:name="_Toc24161"/>
            <w:bookmarkStart w:id="72" w:name="_Toc8874"/>
            <w:bookmarkStart w:id="73" w:name="_Toc29246"/>
            <w:bookmarkStart w:id="74" w:name="_Toc14344"/>
            <w:bookmarkStart w:id="75" w:name="_Toc4596"/>
            <w:bookmarkStart w:id="76" w:name="_Toc32736"/>
            <w:r>
              <w:rPr>
                <w:rFonts w:hint="default" w:ascii="Times New Roman" w:hAnsi="Times New Roman" w:eastAsia="宋体" w:cs="Times New Roman"/>
                <w:color w:val="auto"/>
                <w:kern w:val="2"/>
                <w:sz w:val="24"/>
                <w:szCs w:val="24"/>
                <w:highlight w:val="none"/>
                <w:lang w:val="en-US" w:eastAsia="zh-CN" w:bidi="ar-SA"/>
              </w:rPr>
              <w:t>污染物排放控制标准</w:t>
            </w:r>
            <w:bookmarkEnd w:id="67"/>
            <w:bookmarkEnd w:id="68"/>
            <w:bookmarkEnd w:id="69"/>
            <w:bookmarkEnd w:id="70"/>
            <w:bookmarkEnd w:id="71"/>
            <w:bookmarkEnd w:id="72"/>
            <w:bookmarkEnd w:id="73"/>
            <w:bookmarkEnd w:id="74"/>
            <w:bookmarkEnd w:id="75"/>
            <w:bookmarkEnd w:id="76"/>
          </w:p>
        </w:tc>
        <w:tc>
          <w:tcPr>
            <w:tcW w:w="4732" w:type="pct"/>
          </w:tcPr>
          <w:p w14:paraId="55C66EA9">
            <w:pPr>
              <w:pStyle w:val="9"/>
              <w:ind w:firstLine="482"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废气排放标准</w:t>
            </w:r>
          </w:p>
          <w:p w14:paraId="5C3AB3D9">
            <w:pPr>
              <w:pStyle w:val="12"/>
              <w:keepNext/>
              <w:keepLines/>
              <w:pageBreakBefore w:val="0"/>
              <w:widowControl w:val="0"/>
              <w:numPr>
                <w:ilvl w:val="5"/>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color w:val="auto"/>
                <w:highlight w:val="none"/>
                <w:lang w:val="en-US" w:eastAsia="zh-CN"/>
              </w:rPr>
            </w:pPr>
            <w:bookmarkStart w:id="77" w:name="_Toc7167"/>
            <w:bookmarkStart w:id="78" w:name="_Toc2680"/>
            <w:bookmarkStart w:id="79" w:name="_Ref5700"/>
            <w:bookmarkStart w:id="80" w:name="_Ref26359"/>
            <w:bookmarkStart w:id="81" w:name="_Ref26342"/>
            <w:r>
              <w:rPr>
                <w:rFonts w:hint="eastAsia" w:cs="Times New Roman"/>
                <w:color w:val="auto"/>
                <w:highlight w:val="none"/>
                <w:lang w:val="en-US" w:eastAsia="zh-CN"/>
              </w:rPr>
              <w:t>本项目卸料、分拣、压实工序产生的臭气浓度无组织排放执行《恶臭污染物排放标准》（GB14554-93）中表1恶臭污染物厂界标准值二级新扩改建标准要求。分拣工序产生的颗粒物无组织排放执行广东省《大气污染物排放限值》（DB44/27-2001）第二时段排放限值。</w:t>
            </w:r>
          </w:p>
          <w:bookmarkEnd w:id="77"/>
          <w:bookmarkEnd w:id="78"/>
          <w:p w14:paraId="00F1182C">
            <w:pPr>
              <w:pStyle w:val="17"/>
              <w:spacing w:line="240" w:lineRule="auto"/>
              <w:rPr>
                <w:rFonts w:hint="eastAsia" w:ascii="Times New Roman" w:hAnsi="Times New Roman" w:eastAsia="宋体" w:cs="Times New Roman"/>
                <w:color w:val="auto"/>
                <w:highlight w:val="none"/>
                <w:lang w:val="en-US" w:eastAsia="zh-CN"/>
              </w:rPr>
            </w:pPr>
            <w:bookmarkStart w:id="82" w:name="_Toc10235"/>
            <w:bookmarkStart w:id="83" w:name="_Toc28296"/>
            <w:r>
              <w:rPr>
                <w:rFonts w:hint="default" w:ascii="Times New Roman" w:hAnsi="Times New Roman" w:cs="Times New Roman"/>
                <w:color w:val="auto"/>
                <w:highlight w:val="none"/>
              </w:rPr>
              <w:t>表3-</w:t>
            </w:r>
            <w:r>
              <w:rPr>
                <w:rFonts w:hint="eastAsia" w:cs="Times New Roman"/>
                <w:color w:val="auto"/>
                <w:highlight w:val="none"/>
                <w:lang w:val="en-US" w:eastAsia="zh-CN"/>
              </w:rPr>
              <w:t>5无组织废气排放</w:t>
            </w:r>
            <w:r>
              <w:rPr>
                <w:rFonts w:hint="default" w:ascii="Times New Roman" w:hAnsi="Times New Roman" w:cs="Times New Roman"/>
                <w:color w:val="auto"/>
                <w:highlight w:val="none"/>
              </w:rPr>
              <w:t>标准</w:t>
            </w:r>
            <w:r>
              <w:rPr>
                <w:rFonts w:hint="eastAsia" w:cs="Times New Roman"/>
                <w:color w:val="auto"/>
                <w:highlight w:val="none"/>
                <w:lang w:val="en-US" w:eastAsia="zh-CN"/>
              </w:rPr>
              <w:t>一览表</w:t>
            </w:r>
          </w:p>
          <w:bookmarkEnd w:id="82"/>
          <w:bookmarkEnd w:id="83"/>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1375"/>
              <w:gridCol w:w="1394"/>
              <w:gridCol w:w="4010"/>
            </w:tblGrid>
            <w:tr w14:paraId="0107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pct"/>
                  <w:vAlign w:val="center"/>
                </w:tcPr>
                <w:p w14:paraId="7ACEE54F">
                  <w:pPr>
                    <w:pStyle w:val="12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无组织排放监控点</w:t>
                  </w:r>
                </w:p>
              </w:tc>
              <w:tc>
                <w:tcPr>
                  <w:tcW w:w="868" w:type="pct"/>
                  <w:vAlign w:val="center"/>
                </w:tcPr>
                <w:p w14:paraId="3590DC47">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污染物项目</w:t>
                  </w:r>
                </w:p>
              </w:tc>
              <w:tc>
                <w:tcPr>
                  <w:tcW w:w="880" w:type="pct"/>
                  <w:vAlign w:val="center"/>
                </w:tcPr>
                <w:p w14:paraId="4D1609B6">
                  <w:pPr>
                    <w:pStyle w:val="124"/>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排放限值</w:t>
                  </w:r>
                </w:p>
              </w:tc>
              <w:tc>
                <w:tcPr>
                  <w:tcW w:w="2531" w:type="pct"/>
                  <w:vAlign w:val="center"/>
                </w:tcPr>
                <w:p w14:paraId="1DC98D0A">
                  <w:pPr>
                    <w:pStyle w:val="12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执行标准</w:t>
                  </w:r>
                </w:p>
              </w:tc>
            </w:tr>
            <w:tr w14:paraId="7FF3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719" w:type="pct"/>
                  <w:vMerge w:val="restart"/>
                  <w:vAlign w:val="center"/>
                </w:tcPr>
                <w:p w14:paraId="3033BF58">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厂界</w:t>
                  </w:r>
                </w:p>
              </w:tc>
              <w:tc>
                <w:tcPr>
                  <w:tcW w:w="868" w:type="pct"/>
                  <w:shd w:val="clear" w:color="auto" w:fill="auto"/>
                  <w:vAlign w:val="center"/>
                </w:tcPr>
                <w:p w14:paraId="02CEC349">
                  <w:pPr>
                    <w:pStyle w:val="124"/>
                    <w:bidi w:val="0"/>
                    <w:ind w:firstLine="0" w:firstLineChars="0"/>
                    <w:rPr>
                      <w:rFonts w:hint="eastAsia"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臭气浓度</w:t>
                  </w:r>
                </w:p>
              </w:tc>
              <w:tc>
                <w:tcPr>
                  <w:tcW w:w="880" w:type="pct"/>
                  <w:shd w:val="clear" w:color="auto" w:fill="auto"/>
                  <w:vAlign w:val="center"/>
                </w:tcPr>
                <w:p w14:paraId="78DB76E1">
                  <w:pPr>
                    <w:pStyle w:val="124"/>
                    <w:bidi w:val="0"/>
                    <w:ind w:firstLine="0" w:firstLineChars="0"/>
                    <w:rPr>
                      <w:rFonts w:hint="default" w:ascii="Times New Roman" w:hAnsi="Times New Roman" w:eastAsia="宋体" w:cs="Times New Roman"/>
                      <w:color w:val="auto"/>
                      <w:sz w:val="21"/>
                      <w:szCs w:val="21"/>
                      <w:highlight w:val="none"/>
                      <w:lang w:val="en-US" w:eastAsia="zh-CN"/>
                    </w:rPr>
                  </w:pPr>
                  <w:r>
                    <w:rPr>
                      <w:rFonts w:hint="eastAsia" w:cs="Times New Roman"/>
                      <w:color w:val="auto"/>
                      <w:highlight w:val="none"/>
                      <w:lang w:val="en-US" w:eastAsia="zh-CN"/>
                    </w:rPr>
                    <w:t>20（无量纲）</w:t>
                  </w:r>
                </w:p>
              </w:tc>
              <w:tc>
                <w:tcPr>
                  <w:tcW w:w="2531" w:type="pct"/>
                  <w:vAlign w:val="center"/>
                </w:tcPr>
                <w:p w14:paraId="017CEC6B">
                  <w:pPr>
                    <w:pStyle w:val="124"/>
                    <w:bidi w:val="0"/>
                    <w:rPr>
                      <w:rFonts w:hint="default" w:ascii="Times New Roman" w:hAnsi="Times New Roman" w:eastAsia="宋体" w:cs="Times New Roman"/>
                      <w:color w:val="auto"/>
                      <w:highlight w:val="none"/>
                      <w:lang w:eastAsia="zh-CN"/>
                    </w:rPr>
                  </w:pPr>
                  <w:r>
                    <w:rPr>
                      <w:rFonts w:hint="eastAsia" w:cs="Times New Roman"/>
                      <w:color w:val="auto"/>
                      <w:highlight w:val="none"/>
                      <w:lang w:val="en-US" w:eastAsia="zh-CN"/>
                    </w:rPr>
                    <w:t>《恶臭污染物排放标准》（GB14554-93）表1恶臭污染物厂界标准值二级新扩改建标准</w:t>
                  </w:r>
                </w:p>
              </w:tc>
            </w:tr>
            <w:tr w14:paraId="7FE2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19" w:type="pct"/>
                  <w:vMerge w:val="continue"/>
                  <w:vAlign w:val="center"/>
                </w:tcPr>
                <w:p w14:paraId="180F881C">
                  <w:pPr>
                    <w:pStyle w:val="124"/>
                    <w:bidi w:val="0"/>
                    <w:rPr>
                      <w:rFonts w:hint="eastAsia" w:cs="Times New Roman"/>
                      <w:color w:val="auto"/>
                      <w:highlight w:val="none"/>
                      <w:lang w:val="en-US" w:eastAsia="zh-CN"/>
                    </w:rPr>
                  </w:pPr>
                </w:p>
              </w:tc>
              <w:tc>
                <w:tcPr>
                  <w:tcW w:w="868" w:type="pct"/>
                  <w:vAlign w:val="center"/>
                </w:tcPr>
                <w:p w14:paraId="30A7CE26">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颗粒物</w:t>
                  </w:r>
                </w:p>
              </w:tc>
              <w:tc>
                <w:tcPr>
                  <w:tcW w:w="880" w:type="pct"/>
                  <w:vAlign w:val="center"/>
                </w:tcPr>
                <w:p w14:paraId="19CBDEB3">
                  <w:pPr>
                    <w:pStyle w:val="124"/>
                    <w:bidi w:val="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mg/</w:t>
                  </w:r>
                  <w:r>
                    <w:rPr>
                      <w:rFonts w:hint="default" w:ascii="Times New Roman" w:hAnsi="Times New Roman" w:eastAsia="Times New Roman" w:cs="Times New Roman"/>
                      <w:b w:val="0"/>
                      <w:bCs w:val="0"/>
                      <w:color w:val="auto"/>
                      <w:highlight w:val="none"/>
                      <w:lang w:eastAsia="zh-CN"/>
                    </w:rPr>
                    <w:t>m³</w:t>
                  </w:r>
                  <w:r>
                    <w:rPr>
                      <w:rFonts w:hint="default" w:ascii="Times New Roman" w:hAnsi="Times New Roman" w:cs="Times New Roman"/>
                      <w:b w:val="0"/>
                      <w:bCs w:val="0"/>
                      <w:color w:val="auto"/>
                      <w:highlight w:val="none"/>
                      <w:lang w:eastAsia="zh-CN"/>
                    </w:rPr>
                    <w:t>）</w:t>
                  </w:r>
                </w:p>
              </w:tc>
              <w:tc>
                <w:tcPr>
                  <w:tcW w:w="2531" w:type="pct"/>
                  <w:vAlign w:val="center"/>
                </w:tcPr>
                <w:p w14:paraId="273658F6">
                  <w:pPr>
                    <w:pStyle w:val="124"/>
                    <w:bidi w:val="0"/>
                    <w:rPr>
                      <w:rFonts w:hint="default" w:ascii="Times New Roman" w:hAnsi="Times New Roman" w:cs="Times New Roman"/>
                      <w:color w:val="auto"/>
                      <w:highlight w:val="none"/>
                      <w:lang w:eastAsia="zh-CN"/>
                    </w:rPr>
                  </w:pPr>
                  <w:r>
                    <w:rPr>
                      <w:rFonts w:hint="eastAsia" w:cs="Times New Roman"/>
                      <w:color w:val="auto"/>
                      <w:highlight w:val="none"/>
                      <w:lang w:val="en-US" w:eastAsia="zh-CN"/>
                    </w:rPr>
                    <w:t>广东省《大气污染物排放限值》（DB44/27-2001）第二时段排放限值</w:t>
                  </w:r>
                </w:p>
              </w:tc>
            </w:tr>
            <w:bookmarkEnd w:id="79"/>
            <w:bookmarkEnd w:id="80"/>
            <w:bookmarkEnd w:id="81"/>
          </w:tbl>
          <w:p w14:paraId="55A339D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p>
          <w:p w14:paraId="1AEFEFAE">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二、废水排放标准</w:t>
            </w:r>
          </w:p>
          <w:p w14:paraId="5E872A3A">
            <w:pPr>
              <w:snapToGri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本项目运营期废水主要为员工生活污水。</w:t>
            </w:r>
          </w:p>
          <w:p w14:paraId="47F5637B">
            <w:pPr>
              <w:snapToGri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生活污水经三级化粪池处理达到</w:t>
            </w:r>
            <w:r>
              <w:rPr>
                <w:rFonts w:hint="default" w:ascii="Times New Roman" w:hAnsi="Times New Roman" w:eastAsia="宋体" w:cs="Times New Roman"/>
                <w:color w:val="auto"/>
                <w:highlight w:val="none"/>
                <w:lang w:eastAsia="zh-CN"/>
              </w:rPr>
              <w:t>园区污水处理厂接管水质</w:t>
            </w:r>
            <w:r>
              <w:rPr>
                <w:rFonts w:hint="default" w:ascii="Times New Roman" w:hAnsi="Times New Roman" w:eastAsia="宋体" w:cs="Times New Roman"/>
                <w:color w:val="auto"/>
                <w:highlight w:val="none"/>
                <w:lang w:val="en-US" w:eastAsia="zh-CN"/>
              </w:rPr>
              <w:t>要求及广东省《水污染</w:t>
            </w:r>
            <w:r>
              <w:rPr>
                <w:rFonts w:hint="default" w:ascii="Times New Roman" w:hAnsi="Times New Roman" w:cs="Times New Roman"/>
                <w:color w:val="auto"/>
                <w:highlight w:val="none"/>
                <w:lang w:val="en-US" w:eastAsia="zh-CN"/>
              </w:rPr>
              <w:t>物</w:t>
            </w:r>
            <w:r>
              <w:rPr>
                <w:rFonts w:hint="default" w:ascii="Times New Roman" w:hAnsi="Times New Roman" w:eastAsia="宋体" w:cs="Times New Roman"/>
                <w:color w:val="auto"/>
                <w:highlight w:val="none"/>
                <w:lang w:val="en-US" w:eastAsia="zh-CN"/>
              </w:rPr>
              <w:t>排放限值》（DB44/26-2001）第二时段三级标准两者较严值要求</w:t>
            </w:r>
            <w:r>
              <w:rPr>
                <w:rFonts w:hint="default" w:ascii="Times New Roman" w:hAnsi="Times New Roman" w:eastAsia="宋体" w:cs="Times New Roman"/>
                <w:color w:val="auto"/>
                <w:highlight w:val="none"/>
              </w:rPr>
              <w:t>后</w:t>
            </w:r>
            <w:r>
              <w:rPr>
                <w:rFonts w:hint="default"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通过园区污水管网</w:t>
            </w:r>
            <w:r>
              <w:rPr>
                <w:rFonts w:hint="default" w:ascii="Times New Roman" w:hAnsi="Times New Roman" w:eastAsia="宋体" w:cs="Times New Roman"/>
                <w:color w:val="auto"/>
                <w:highlight w:val="none"/>
                <w:lang w:eastAsia="zh-CN"/>
              </w:rPr>
              <w:t>排入园区污水处理厂处理</w:t>
            </w:r>
            <w:r>
              <w:rPr>
                <w:rFonts w:hint="default" w:ascii="Times New Roman" w:hAnsi="Times New Roman" w:eastAsia="宋体" w:cs="Times New Roman"/>
                <w:color w:val="auto"/>
                <w:highlight w:val="none"/>
              </w:rPr>
              <w:t>。</w:t>
            </w:r>
          </w:p>
          <w:p w14:paraId="260720F7">
            <w:pPr>
              <w:snapToGrid w:val="0"/>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园区</w:t>
            </w:r>
            <w:r>
              <w:rPr>
                <w:rFonts w:hint="default" w:ascii="Times New Roman" w:hAnsi="Times New Roman" w:eastAsia="宋体" w:cs="Times New Roman"/>
                <w:color w:val="auto"/>
                <w:highlight w:val="none"/>
                <w:lang w:eastAsia="zh-CN"/>
              </w:rPr>
              <w:t>污水</w:t>
            </w:r>
            <w:r>
              <w:rPr>
                <w:rFonts w:hint="default" w:ascii="Times New Roman" w:hAnsi="Times New Roman" w:eastAsia="宋体" w:cs="Times New Roman"/>
                <w:color w:val="auto"/>
                <w:highlight w:val="none"/>
              </w:rPr>
              <w:t>处理</w:t>
            </w:r>
            <w:r>
              <w:rPr>
                <w:rFonts w:hint="default" w:ascii="Times New Roman" w:hAnsi="Times New Roman" w:eastAsia="宋体" w:cs="Times New Roman"/>
                <w:color w:val="auto"/>
                <w:highlight w:val="none"/>
                <w:lang w:val="en-US" w:eastAsia="zh-CN"/>
              </w:rPr>
              <w:t>厂</w:t>
            </w:r>
            <w:r>
              <w:rPr>
                <w:rFonts w:hint="default" w:ascii="Times New Roman" w:hAnsi="Times New Roman" w:eastAsia="宋体" w:cs="Times New Roman"/>
                <w:color w:val="auto"/>
                <w:highlight w:val="none"/>
              </w:rPr>
              <w:t>出水水质标准执行广东省《水污染</w:t>
            </w:r>
            <w:r>
              <w:rPr>
                <w:rFonts w:hint="eastAsia" w:cs="Times New Roman"/>
                <w:color w:val="auto"/>
                <w:highlight w:val="none"/>
                <w:lang w:val="en-US" w:eastAsia="zh-CN"/>
              </w:rPr>
              <w:t>物</w:t>
            </w:r>
            <w:r>
              <w:rPr>
                <w:rFonts w:hint="default" w:ascii="Times New Roman" w:hAnsi="Times New Roman" w:eastAsia="宋体" w:cs="Times New Roman"/>
                <w:color w:val="auto"/>
                <w:highlight w:val="none"/>
              </w:rPr>
              <w:t>排放限值》（DB44/26-2001）第二时段一级标准和《城镇污水处理厂污染物排放标准》（GB</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1891</w:t>
            </w:r>
            <w:r>
              <w:rPr>
                <w:rFonts w:hint="eastAsia" w:cs="Times New Roman"/>
                <w:color w:val="auto"/>
                <w:highlight w:val="none"/>
                <w:lang w:val="en-US" w:eastAsia="zh-CN"/>
              </w:rPr>
              <w:t>8</w:t>
            </w:r>
            <w:r>
              <w:rPr>
                <w:rFonts w:hint="default" w:ascii="Times New Roman" w:hAnsi="Times New Roman" w:eastAsia="宋体" w:cs="Times New Roman"/>
                <w:color w:val="auto"/>
                <w:highlight w:val="none"/>
              </w:rPr>
              <w:t>-2002）一级</w:t>
            </w:r>
            <w:r>
              <w:rPr>
                <w:rFonts w:hint="default" w:ascii="Times New Roman" w:hAnsi="Times New Roman" w:cs="Times New Roman"/>
                <w:color w:val="auto"/>
                <w:highlight w:val="none"/>
                <w:lang w:val="en-US" w:eastAsia="zh-CN"/>
              </w:rPr>
              <w:t>A</w:t>
            </w:r>
            <w:r>
              <w:rPr>
                <w:rFonts w:hint="default" w:ascii="Times New Roman" w:hAnsi="Times New Roman" w:eastAsia="宋体" w:cs="Times New Roman"/>
                <w:color w:val="auto"/>
                <w:highlight w:val="none"/>
              </w:rPr>
              <w:t>标准中严者。</w:t>
            </w:r>
            <w:r>
              <w:rPr>
                <w:rFonts w:hint="default" w:ascii="Times New Roman" w:hAnsi="Times New Roman" w:eastAsia="宋体" w:cs="Times New Roman"/>
                <w:color w:val="auto"/>
                <w:highlight w:val="none"/>
                <w:lang w:val="zh-CN"/>
              </w:rPr>
              <w:t>相关排放标准情况</w:t>
            </w:r>
            <w:r>
              <w:rPr>
                <w:rFonts w:hint="default" w:ascii="Times New Roman" w:hAnsi="Times New Roman" w:eastAsia="宋体" w:cs="Times New Roman"/>
                <w:color w:val="auto"/>
                <w:highlight w:val="none"/>
              </w:rPr>
              <w:t>见下表</w:t>
            </w:r>
            <w:r>
              <w:rPr>
                <w:rFonts w:hint="default" w:ascii="Times New Roman" w:hAnsi="Times New Roman" w:cs="Times New Roman"/>
                <w:color w:val="auto"/>
                <w:highlight w:val="none"/>
                <w:lang w:eastAsia="zh-CN"/>
              </w:rPr>
              <w:t>。</w:t>
            </w:r>
          </w:p>
          <w:p w14:paraId="45F5FD19">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w:t>
            </w:r>
            <w:r>
              <w:rPr>
                <w:rFonts w:hint="eastAsia"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lang w:eastAsia="zh-CN"/>
              </w:rPr>
              <w:t>园区污水处理厂接管水质</w:t>
            </w:r>
            <w:r>
              <w:rPr>
                <w:rFonts w:hint="default" w:ascii="Times New Roman" w:hAnsi="Times New Roman" w:eastAsia="宋体" w:cs="Times New Roman"/>
                <w:b/>
                <w:bCs/>
                <w:color w:val="auto"/>
                <w:sz w:val="21"/>
                <w:szCs w:val="21"/>
                <w:highlight w:val="none"/>
                <w:lang w:val="en-US" w:eastAsia="zh-CN"/>
              </w:rPr>
              <w:t>要求及广东省《水污染</w:t>
            </w:r>
            <w:r>
              <w:rPr>
                <w:rFonts w:hint="default" w:ascii="Times New Roman" w:hAnsi="Times New Roman" w:cs="Times New Roman"/>
                <w:b/>
                <w:bCs/>
                <w:color w:val="auto"/>
                <w:sz w:val="21"/>
                <w:szCs w:val="21"/>
                <w:highlight w:val="none"/>
                <w:lang w:val="en-US" w:eastAsia="zh-CN"/>
              </w:rPr>
              <w:t>物</w:t>
            </w:r>
            <w:r>
              <w:rPr>
                <w:rFonts w:hint="default" w:ascii="Times New Roman" w:hAnsi="Times New Roman" w:eastAsia="宋体" w:cs="Times New Roman"/>
                <w:b/>
                <w:bCs/>
                <w:color w:val="auto"/>
                <w:sz w:val="21"/>
                <w:szCs w:val="21"/>
                <w:highlight w:val="none"/>
                <w:lang w:val="en-US" w:eastAsia="zh-CN"/>
              </w:rPr>
              <w:t>排放限值》（DB44/26-2001）第二时段三级标准两者较严值</w:t>
            </w:r>
            <w:r>
              <w:rPr>
                <w:rFonts w:hint="default" w:ascii="Times New Roman" w:hAnsi="Times New Roman" w:eastAsia="宋体" w:cs="Times New Roman"/>
                <w:b/>
                <w:bCs/>
                <w:color w:val="auto"/>
                <w:sz w:val="21"/>
                <w:szCs w:val="21"/>
                <w:highlight w:val="none"/>
              </w:rPr>
              <w:t>要求mg/L，pH为无量纲</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8"/>
              <w:gridCol w:w="923"/>
              <w:gridCol w:w="985"/>
              <w:gridCol w:w="1194"/>
              <w:gridCol w:w="735"/>
              <w:gridCol w:w="838"/>
            </w:tblGrid>
            <w:tr w14:paraId="0B2F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4AD0C58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583" w:type="pct"/>
                  <w:tcBorders>
                    <w:tl2br w:val="nil"/>
                    <w:tr2bl w:val="nil"/>
                  </w:tcBorders>
                  <w:noWrap/>
                  <w:tcMar>
                    <w:left w:w="0" w:type="dxa"/>
                    <w:right w:w="0" w:type="dxa"/>
                  </w:tcMar>
                  <w:vAlign w:val="center"/>
                </w:tcPr>
                <w:p w14:paraId="377529B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622" w:type="pct"/>
                  <w:tcBorders>
                    <w:tl2br w:val="nil"/>
                    <w:tr2bl w:val="nil"/>
                  </w:tcBorders>
                  <w:noWrap/>
                  <w:tcMar>
                    <w:left w:w="0" w:type="dxa"/>
                    <w:right w:w="0" w:type="dxa"/>
                  </w:tcMar>
                  <w:vAlign w:val="center"/>
                </w:tcPr>
                <w:p w14:paraId="4C60957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754" w:type="pct"/>
                  <w:tcBorders>
                    <w:tl2br w:val="nil"/>
                    <w:tr2bl w:val="nil"/>
                  </w:tcBorders>
                  <w:noWrap/>
                  <w:vAlign w:val="center"/>
                </w:tcPr>
                <w:p w14:paraId="748E25BE">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464" w:type="pct"/>
                  <w:tcBorders>
                    <w:tl2br w:val="nil"/>
                    <w:tr2bl w:val="nil"/>
                  </w:tcBorders>
                  <w:noWrap/>
                  <w:vAlign w:val="center"/>
                </w:tcPr>
                <w:p w14:paraId="5345C31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529" w:type="pct"/>
                  <w:tcBorders>
                    <w:tl2br w:val="nil"/>
                    <w:tr2bl w:val="nil"/>
                  </w:tcBorders>
                  <w:noWrap/>
                  <w:vAlign w:val="center"/>
                </w:tcPr>
                <w:p w14:paraId="6F591C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r>
            <w:tr w14:paraId="554E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1A714C9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园区污水处理厂接管水质要求</w:t>
                  </w:r>
                </w:p>
              </w:tc>
              <w:tc>
                <w:tcPr>
                  <w:tcW w:w="583" w:type="pct"/>
                  <w:tcBorders>
                    <w:tl2br w:val="nil"/>
                    <w:tr2bl w:val="nil"/>
                  </w:tcBorders>
                  <w:noWrap/>
                  <w:tcMar>
                    <w:left w:w="0" w:type="dxa"/>
                    <w:right w:w="0" w:type="dxa"/>
                  </w:tcMar>
                  <w:vAlign w:val="center"/>
                </w:tcPr>
                <w:p w14:paraId="6FAA6B3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709E9FA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754" w:type="pct"/>
                  <w:tcBorders>
                    <w:tl2br w:val="nil"/>
                    <w:tr2bl w:val="nil"/>
                  </w:tcBorders>
                  <w:noWrap/>
                  <w:vAlign w:val="center"/>
                </w:tcPr>
                <w:p w14:paraId="17EEB8B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464" w:type="pct"/>
                  <w:tcBorders>
                    <w:tl2br w:val="nil"/>
                    <w:tr2bl w:val="nil"/>
                  </w:tcBorders>
                  <w:noWrap/>
                  <w:vAlign w:val="center"/>
                </w:tcPr>
                <w:p w14:paraId="16D8A69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529" w:type="pct"/>
                  <w:tcBorders>
                    <w:tl2br w:val="nil"/>
                    <w:tr2bl w:val="nil"/>
                  </w:tcBorders>
                  <w:noWrap/>
                  <w:vAlign w:val="center"/>
                </w:tcPr>
                <w:p w14:paraId="1BEF747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r>
            <w:tr w14:paraId="776A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79F076BB">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DB44/26-2001第二时段三级标准</w:t>
                  </w:r>
                </w:p>
              </w:tc>
              <w:tc>
                <w:tcPr>
                  <w:tcW w:w="583" w:type="pct"/>
                  <w:tcBorders>
                    <w:tl2br w:val="nil"/>
                    <w:tr2bl w:val="nil"/>
                  </w:tcBorders>
                  <w:noWrap/>
                  <w:tcMar>
                    <w:left w:w="0" w:type="dxa"/>
                    <w:right w:w="0" w:type="dxa"/>
                  </w:tcMar>
                  <w:vAlign w:val="center"/>
                </w:tcPr>
                <w:p w14:paraId="481B0E2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1B5554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754" w:type="pct"/>
                  <w:tcBorders>
                    <w:tl2br w:val="nil"/>
                    <w:tr2bl w:val="nil"/>
                  </w:tcBorders>
                  <w:noWrap/>
                  <w:vAlign w:val="center"/>
                </w:tcPr>
                <w:p w14:paraId="5E16437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464" w:type="pct"/>
                  <w:tcBorders>
                    <w:tl2br w:val="nil"/>
                    <w:tr2bl w:val="nil"/>
                  </w:tcBorders>
                  <w:noWrap/>
                  <w:vAlign w:val="center"/>
                </w:tcPr>
                <w:p w14:paraId="7156398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529" w:type="pct"/>
                  <w:tcBorders>
                    <w:tl2br w:val="nil"/>
                    <w:tr2bl w:val="nil"/>
                  </w:tcBorders>
                  <w:noWrap/>
                  <w:vAlign w:val="center"/>
                </w:tcPr>
                <w:p w14:paraId="54F42AB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2857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045" w:type="pct"/>
                  <w:tcBorders>
                    <w:tl2br w:val="nil"/>
                    <w:tr2bl w:val="nil"/>
                  </w:tcBorders>
                  <w:noWrap/>
                  <w:tcMar>
                    <w:left w:w="0" w:type="dxa"/>
                    <w:right w:w="0" w:type="dxa"/>
                  </w:tcMar>
                  <w:vAlign w:val="center"/>
                </w:tcPr>
                <w:p w14:paraId="41C2D2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本项目</w:t>
                  </w:r>
                  <w:r>
                    <w:rPr>
                      <w:rFonts w:hint="default" w:ascii="Times New Roman" w:hAnsi="Times New Roman" w:cs="Times New Roman"/>
                      <w:color w:val="auto"/>
                      <w:sz w:val="21"/>
                      <w:szCs w:val="21"/>
                      <w:highlight w:val="none"/>
                    </w:rPr>
                    <w:t>执行限值</w:t>
                  </w:r>
                </w:p>
              </w:tc>
              <w:tc>
                <w:tcPr>
                  <w:tcW w:w="583" w:type="pct"/>
                  <w:tcBorders>
                    <w:tl2br w:val="nil"/>
                    <w:tr2bl w:val="nil"/>
                  </w:tcBorders>
                  <w:noWrap/>
                  <w:tcMar>
                    <w:left w:w="0" w:type="dxa"/>
                    <w:right w:w="0" w:type="dxa"/>
                  </w:tcMar>
                  <w:vAlign w:val="center"/>
                </w:tcPr>
                <w:p w14:paraId="16553905">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622" w:type="pct"/>
                  <w:tcBorders>
                    <w:tl2br w:val="nil"/>
                    <w:tr2bl w:val="nil"/>
                  </w:tcBorders>
                  <w:noWrap/>
                  <w:tcMar>
                    <w:left w:w="0" w:type="dxa"/>
                    <w:right w:w="0" w:type="dxa"/>
                  </w:tcMar>
                  <w:vAlign w:val="center"/>
                </w:tcPr>
                <w:p w14:paraId="1A43105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754" w:type="pct"/>
                  <w:tcBorders>
                    <w:tl2br w:val="nil"/>
                    <w:tr2bl w:val="nil"/>
                  </w:tcBorders>
                  <w:noWrap/>
                  <w:vAlign w:val="center"/>
                </w:tcPr>
                <w:p w14:paraId="15FFBD1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464" w:type="pct"/>
                  <w:tcBorders>
                    <w:tl2br w:val="nil"/>
                    <w:tr2bl w:val="nil"/>
                  </w:tcBorders>
                  <w:noWrap/>
                  <w:vAlign w:val="center"/>
                </w:tcPr>
                <w:p w14:paraId="7CBD058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529" w:type="pct"/>
                  <w:tcBorders>
                    <w:tl2br w:val="nil"/>
                    <w:tr2bl w:val="nil"/>
                  </w:tcBorders>
                  <w:noWrap/>
                  <w:vAlign w:val="center"/>
                </w:tcPr>
                <w:p w14:paraId="3ABA1D9D">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r>
          </w:tbl>
          <w:p w14:paraId="0A3819A7">
            <w:pPr>
              <w:spacing w:line="360" w:lineRule="auto"/>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表3</w:t>
            </w:r>
            <w:r>
              <w:rPr>
                <w:rFonts w:hint="eastAsia"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rPr>
              <w:t>园区污水处理厂水污染物排放限值（摘录）mg/L</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pH为无量纲</w:t>
            </w:r>
          </w:p>
          <w:tbl>
            <w:tblPr>
              <w:tblStyle w:val="44"/>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1"/>
              <w:gridCol w:w="869"/>
              <w:gridCol w:w="772"/>
              <w:gridCol w:w="692"/>
              <w:gridCol w:w="860"/>
              <w:gridCol w:w="1339"/>
              <w:gridCol w:w="1105"/>
            </w:tblGrid>
            <w:tr w14:paraId="2D92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C3DD3CF">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600" w:type="pct"/>
                  <w:tcBorders>
                    <w:tl2br w:val="nil"/>
                    <w:tr2bl w:val="nil"/>
                  </w:tcBorders>
                  <w:noWrap/>
                  <w:tcMar>
                    <w:left w:w="0" w:type="dxa"/>
                    <w:right w:w="0" w:type="dxa"/>
                  </w:tcMar>
                  <w:vAlign w:val="center"/>
                </w:tcPr>
                <w:p w14:paraId="1A3ED3D9">
                  <w:pPr>
                    <w:snapToGrid w:val="0"/>
                    <w:spacing w:line="240" w:lineRule="auto"/>
                    <w:jc w:val="center"/>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490" w:type="pct"/>
                  <w:tcBorders>
                    <w:tl2br w:val="nil"/>
                    <w:tr2bl w:val="nil"/>
                  </w:tcBorders>
                  <w:noWrap/>
                  <w:vAlign w:val="center"/>
                </w:tcPr>
                <w:p w14:paraId="78D97AD4">
                  <w:pPr>
                    <w:snapToGrid w:val="0"/>
                    <w:spacing w:line="240" w:lineRule="auto"/>
                    <w:jc w:val="center"/>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434" w:type="pct"/>
                  <w:tcBorders>
                    <w:tl2br w:val="nil"/>
                    <w:tr2bl w:val="nil"/>
                  </w:tcBorders>
                  <w:noWrap/>
                  <w:vAlign w:val="center"/>
                </w:tcPr>
                <w:p w14:paraId="5EA2834B">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552" w:type="pct"/>
                  <w:tcBorders>
                    <w:tl2br w:val="nil"/>
                    <w:tr2bl w:val="nil"/>
                  </w:tcBorders>
                  <w:noWrap/>
                  <w:vAlign w:val="center"/>
                </w:tcPr>
                <w:p w14:paraId="1A706784">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c>
                <w:tcPr>
                  <w:tcW w:w="816" w:type="pct"/>
                  <w:tcBorders>
                    <w:tl2br w:val="nil"/>
                    <w:tr2bl w:val="nil"/>
                  </w:tcBorders>
                  <w:noWrap/>
                  <w:vAlign w:val="center"/>
                </w:tcPr>
                <w:p w14:paraId="5B746712">
                  <w:pPr>
                    <w:snapToGrid w:val="0"/>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LAS</w:t>
                  </w:r>
                </w:p>
              </w:tc>
              <w:tc>
                <w:tcPr>
                  <w:tcW w:w="719" w:type="pct"/>
                  <w:tcBorders>
                    <w:tl2br w:val="nil"/>
                    <w:tr2bl w:val="nil"/>
                  </w:tcBorders>
                  <w:noWrap/>
                  <w:vAlign w:val="center"/>
                </w:tcPr>
                <w:p w14:paraId="194F25CD">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动植物油</w:t>
                  </w:r>
                </w:p>
              </w:tc>
            </w:tr>
            <w:tr w14:paraId="4BD5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7EF812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DB44/26-2001第二时段一级排放标准</w:t>
                  </w:r>
                </w:p>
              </w:tc>
              <w:tc>
                <w:tcPr>
                  <w:tcW w:w="600" w:type="pct"/>
                  <w:tcBorders>
                    <w:tl2br w:val="nil"/>
                    <w:tr2bl w:val="nil"/>
                  </w:tcBorders>
                  <w:noWrap/>
                  <w:tcMar>
                    <w:left w:w="0" w:type="dxa"/>
                    <w:right w:w="0" w:type="dxa"/>
                  </w:tcMar>
                  <w:vAlign w:val="center"/>
                </w:tcPr>
                <w:p w14:paraId="00F1B69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490" w:type="pct"/>
                  <w:tcBorders>
                    <w:tl2br w:val="nil"/>
                    <w:tr2bl w:val="nil"/>
                  </w:tcBorders>
                  <w:noWrap/>
                  <w:vAlign w:val="center"/>
                </w:tcPr>
                <w:p w14:paraId="2C7C6A6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434" w:type="pct"/>
                  <w:tcBorders>
                    <w:tl2br w:val="nil"/>
                    <w:tr2bl w:val="nil"/>
                  </w:tcBorders>
                  <w:noWrap/>
                  <w:vAlign w:val="center"/>
                </w:tcPr>
                <w:p w14:paraId="72FB13D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552" w:type="pct"/>
                  <w:tcBorders>
                    <w:tl2br w:val="nil"/>
                    <w:tr2bl w:val="nil"/>
                  </w:tcBorders>
                  <w:noWrap/>
                  <w:vAlign w:val="center"/>
                </w:tcPr>
                <w:p w14:paraId="2F0D928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816" w:type="pct"/>
                  <w:tcBorders>
                    <w:tl2br w:val="nil"/>
                    <w:tr2bl w:val="nil"/>
                  </w:tcBorders>
                  <w:noWrap/>
                  <w:vAlign w:val="center"/>
                </w:tcPr>
                <w:p w14:paraId="4FBD8F2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719" w:type="pct"/>
                  <w:tcBorders>
                    <w:tl2br w:val="nil"/>
                    <w:tr2bl w:val="nil"/>
                  </w:tcBorders>
                  <w:noWrap/>
                  <w:vAlign w:val="center"/>
                </w:tcPr>
                <w:p w14:paraId="79FC6AB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r w14:paraId="374A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7B7E81B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GB18918-2002一级</w:t>
                  </w: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标准</w:t>
                  </w:r>
                </w:p>
              </w:tc>
              <w:tc>
                <w:tcPr>
                  <w:tcW w:w="600" w:type="pct"/>
                  <w:tcBorders>
                    <w:tl2br w:val="nil"/>
                    <w:tr2bl w:val="nil"/>
                  </w:tcBorders>
                  <w:noWrap/>
                  <w:tcMar>
                    <w:left w:w="0" w:type="dxa"/>
                    <w:right w:w="0" w:type="dxa"/>
                  </w:tcMar>
                  <w:vAlign w:val="center"/>
                </w:tcPr>
                <w:p w14:paraId="666EAFA2">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0</w:t>
                  </w:r>
                </w:p>
              </w:tc>
              <w:tc>
                <w:tcPr>
                  <w:tcW w:w="490" w:type="pct"/>
                  <w:tcBorders>
                    <w:tl2br w:val="nil"/>
                    <w:tr2bl w:val="nil"/>
                  </w:tcBorders>
                  <w:noWrap/>
                  <w:vAlign w:val="center"/>
                </w:tcPr>
                <w:p w14:paraId="606B64E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434" w:type="pct"/>
                  <w:tcBorders>
                    <w:tl2br w:val="nil"/>
                    <w:tr2bl w:val="nil"/>
                  </w:tcBorders>
                  <w:noWrap/>
                  <w:vAlign w:val="center"/>
                </w:tcPr>
                <w:p w14:paraId="55F1E98C">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552" w:type="pct"/>
                  <w:tcBorders>
                    <w:tl2br w:val="nil"/>
                    <w:tr2bl w:val="nil"/>
                  </w:tcBorders>
                  <w:noWrap/>
                  <w:vAlign w:val="center"/>
                </w:tcPr>
                <w:p w14:paraId="7EF864F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vertAlign w:val="superscript"/>
                    </w:rPr>
                    <w:t>①</w:t>
                  </w:r>
                  <w:r>
                    <w:rPr>
                      <w:rFonts w:hint="default" w:ascii="Times New Roman" w:hAnsi="Times New Roman" w:cs="Times New Roman"/>
                      <w:color w:val="auto"/>
                      <w:sz w:val="21"/>
                      <w:szCs w:val="21"/>
                      <w:highlight w:val="none"/>
                    </w:rPr>
                    <w:t>)</w:t>
                  </w:r>
                </w:p>
              </w:tc>
              <w:tc>
                <w:tcPr>
                  <w:tcW w:w="816" w:type="pct"/>
                  <w:tcBorders>
                    <w:tl2br w:val="nil"/>
                    <w:tr2bl w:val="nil"/>
                  </w:tcBorders>
                  <w:noWrap/>
                  <w:vAlign w:val="center"/>
                </w:tcPr>
                <w:p w14:paraId="28A72F77">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719" w:type="pct"/>
                  <w:tcBorders>
                    <w:tl2br w:val="nil"/>
                    <w:tr2bl w:val="nil"/>
                  </w:tcBorders>
                  <w:noWrap/>
                  <w:vAlign w:val="center"/>
                </w:tcPr>
                <w:p w14:paraId="64CEB141">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r>
            <w:tr w14:paraId="41FC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3080DC6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执行限值</w:t>
                  </w:r>
                </w:p>
              </w:tc>
              <w:tc>
                <w:tcPr>
                  <w:tcW w:w="600" w:type="pct"/>
                  <w:tcBorders>
                    <w:tl2br w:val="nil"/>
                    <w:tr2bl w:val="nil"/>
                  </w:tcBorders>
                  <w:noWrap/>
                  <w:tcMar>
                    <w:left w:w="0" w:type="dxa"/>
                    <w:right w:w="0" w:type="dxa"/>
                  </w:tcMar>
                  <w:vAlign w:val="center"/>
                </w:tcPr>
                <w:p w14:paraId="6579F4F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0</w:t>
                  </w:r>
                </w:p>
              </w:tc>
              <w:tc>
                <w:tcPr>
                  <w:tcW w:w="490" w:type="pct"/>
                  <w:tcBorders>
                    <w:tl2br w:val="nil"/>
                    <w:tr2bl w:val="nil"/>
                  </w:tcBorders>
                  <w:noWrap/>
                  <w:vAlign w:val="center"/>
                </w:tcPr>
                <w:p w14:paraId="3AFA729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434" w:type="pct"/>
                  <w:tcBorders>
                    <w:tl2br w:val="nil"/>
                    <w:tr2bl w:val="nil"/>
                  </w:tcBorders>
                  <w:noWrap/>
                  <w:vAlign w:val="center"/>
                </w:tcPr>
                <w:p w14:paraId="283F162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10</w:t>
                  </w:r>
                </w:p>
              </w:tc>
              <w:tc>
                <w:tcPr>
                  <w:tcW w:w="552" w:type="pct"/>
                  <w:tcBorders>
                    <w:tl2br w:val="nil"/>
                    <w:tr2bl w:val="nil"/>
                  </w:tcBorders>
                  <w:noWrap/>
                  <w:vAlign w:val="center"/>
                </w:tcPr>
                <w:p w14:paraId="1152DB44">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5</w:t>
                  </w:r>
                </w:p>
              </w:tc>
              <w:tc>
                <w:tcPr>
                  <w:tcW w:w="816" w:type="pct"/>
                  <w:tcBorders>
                    <w:tl2br w:val="nil"/>
                    <w:tr2bl w:val="nil"/>
                  </w:tcBorders>
                  <w:noWrap/>
                  <w:vAlign w:val="center"/>
                </w:tcPr>
                <w:p w14:paraId="3A5526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719" w:type="pct"/>
                  <w:tcBorders>
                    <w:tl2br w:val="nil"/>
                    <w:tr2bl w:val="nil"/>
                  </w:tcBorders>
                  <w:noWrap/>
                  <w:vAlign w:val="center"/>
                </w:tcPr>
                <w:p w14:paraId="2D2210AC">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r>
            <w:tr w14:paraId="1563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1CD980F2">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600" w:type="pct"/>
                  <w:tcBorders>
                    <w:tl2br w:val="nil"/>
                    <w:tr2bl w:val="nil"/>
                  </w:tcBorders>
                  <w:noWrap/>
                  <w:tcMar>
                    <w:left w:w="0" w:type="dxa"/>
                    <w:right w:w="0" w:type="dxa"/>
                  </w:tcMar>
                  <w:vAlign w:val="center"/>
                </w:tcPr>
                <w:p w14:paraId="6A3078EE">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总氮</w:t>
                  </w:r>
                </w:p>
              </w:tc>
              <w:tc>
                <w:tcPr>
                  <w:tcW w:w="490" w:type="pct"/>
                  <w:tcBorders>
                    <w:tl2br w:val="nil"/>
                    <w:tr2bl w:val="nil"/>
                  </w:tcBorders>
                  <w:noWrap/>
                  <w:vAlign w:val="center"/>
                </w:tcPr>
                <w:p w14:paraId="5986F29F">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总磷</w:t>
                  </w:r>
                </w:p>
              </w:tc>
              <w:tc>
                <w:tcPr>
                  <w:tcW w:w="434" w:type="pct"/>
                  <w:tcBorders>
                    <w:tl2br w:val="nil"/>
                    <w:tr2bl w:val="nil"/>
                  </w:tcBorders>
                  <w:noWrap/>
                  <w:vAlign w:val="center"/>
                </w:tcPr>
                <w:p w14:paraId="474032A0">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552" w:type="pct"/>
                  <w:tcBorders>
                    <w:tl2br w:val="nil"/>
                    <w:tr2bl w:val="nil"/>
                  </w:tcBorders>
                  <w:noWrap/>
                  <w:vAlign w:val="center"/>
                </w:tcPr>
                <w:p w14:paraId="42B40864">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石油类</w:t>
                  </w:r>
                </w:p>
              </w:tc>
              <w:tc>
                <w:tcPr>
                  <w:tcW w:w="816" w:type="pct"/>
                  <w:tcBorders>
                    <w:tl2br w:val="nil"/>
                    <w:tr2bl w:val="nil"/>
                  </w:tcBorders>
                  <w:noWrap/>
                  <w:vAlign w:val="center"/>
                </w:tcPr>
                <w:p w14:paraId="5832C7EB">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色度（稀释倍数）</w:t>
                  </w:r>
                </w:p>
              </w:tc>
              <w:tc>
                <w:tcPr>
                  <w:tcW w:w="719" w:type="pct"/>
                  <w:tcBorders>
                    <w:tl2br w:val="nil"/>
                    <w:tr2bl w:val="nil"/>
                  </w:tcBorders>
                  <w:noWrap/>
                  <w:vAlign w:val="center"/>
                </w:tcPr>
                <w:p w14:paraId="019628F0">
                  <w:pPr>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粪大肠菌群</w:t>
                  </w:r>
                </w:p>
              </w:tc>
            </w:tr>
            <w:tr w14:paraId="4CAF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6CA9D04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DB44/26-2001第二时段一级排放标准</w:t>
                  </w:r>
                </w:p>
              </w:tc>
              <w:tc>
                <w:tcPr>
                  <w:tcW w:w="600" w:type="pct"/>
                  <w:tcBorders>
                    <w:tl2br w:val="nil"/>
                    <w:tr2bl w:val="nil"/>
                  </w:tcBorders>
                  <w:noWrap/>
                  <w:tcMar>
                    <w:left w:w="0" w:type="dxa"/>
                    <w:right w:w="0" w:type="dxa"/>
                  </w:tcMar>
                  <w:vAlign w:val="center"/>
                </w:tcPr>
                <w:p w14:paraId="2BC1C51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490" w:type="pct"/>
                  <w:tcBorders>
                    <w:tl2br w:val="nil"/>
                    <w:tr2bl w:val="nil"/>
                  </w:tcBorders>
                  <w:noWrap/>
                  <w:vAlign w:val="center"/>
                </w:tcPr>
                <w:p w14:paraId="7399690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434" w:type="pct"/>
                  <w:tcBorders>
                    <w:tl2br w:val="nil"/>
                    <w:tr2bl w:val="nil"/>
                  </w:tcBorders>
                  <w:noWrap/>
                  <w:vAlign w:val="center"/>
                </w:tcPr>
                <w:p w14:paraId="622D605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0E36F3F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816" w:type="pct"/>
                  <w:tcBorders>
                    <w:tl2br w:val="nil"/>
                    <w:tr2bl w:val="nil"/>
                  </w:tcBorders>
                  <w:noWrap/>
                  <w:vAlign w:val="center"/>
                </w:tcPr>
                <w:p w14:paraId="42FA94E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719" w:type="pct"/>
                  <w:tcBorders>
                    <w:tl2br w:val="nil"/>
                    <w:tr2bl w:val="nil"/>
                  </w:tcBorders>
                  <w:noWrap/>
                  <w:vAlign w:val="center"/>
                </w:tcPr>
                <w:p w14:paraId="433CEED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52ED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4462DE3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GB18918-2002一级</w:t>
                  </w: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标准</w:t>
                  </w:r>
                </w:p>
              </w:tc>
              <w:tc>
                <w:tcPr>
                  <w:tcW w:w="600" w:type="pct"/>
                  <w:tcBorders>
                    <w:tl2br w:val="nil"/>
                    <w:tr2bl w:val="nil"/>
                  </w:tcBorders>
                  <w:noWrap/>
                  <w:tcMar>
                    <w:left w:w="0" w:type="dxa"/>
                    <w:right w:w="0" w:type="dxa"/>
                  </w:tcMar>
                  <w:vAlign w:val="center"/>
                </w:tcPr>
                <w:p w14:paraId="2AE3CE8C">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490" w:type="pct"/>
                  <w:tcBorders>
                    <w:tl2br w:val="nil"/>
                    <w:tr2bl w:val="nil"/>
                  </w:tcBorders>
                  <w:noWrap/>
                  <w:vAlign w:val="center"/>
                </w:tcPr>
                <w:p w14:paraId="031CF48F">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0.5</w:t>
                  </w:r>
                </w:p>
              </w:tc>
              <w:tc>
                <w:tcPr>
                  <w:tcW w:w="434" w:type="pct"/>
                  <w:tcBorders>
                    <w:tl2br w:val="nil"/>
                    <w:tr2bl w:val="nil"/>
                  </w:tcBorders>
                  <w:noWrap/>
                  <w:vAlign w:val="center"/>
                </w:tcPr>
                <w:p w14:paraId="213B673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4C425D38">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816" w:type="pct"/>
                  <w:tcBorders>
                    <w:tl2br w:val="nil"/>
                    <w:tr2bl w:val="nil"/>
                  </w:tcBorders>
                  <w:noWrap/>
                  <w:vAlign w:val="center"/>
                </w:tcPr>
                <w:p w14:paraId="2BBDCDDF">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w:t>
                  </w:r>
                </w:p>
              </w:tc>
              <w:tc>
                <w:tcPr>
                  <w:tcW w:w="719" w:type="pct"/>
                  <w:tcBorders>
                    <w:tl2br w:val="nil"/>
                    <w:tr2bl w:val="nil"/>
                  </w:tcBorders>
                  <w:noWrap/>
                  <w:vAlign w:val="center"/>
                </w:tcPr>
                <w:p w14:paraId="490AD87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1000个/L</w:t>
                  </w:r>
                </w:p>
              </w:tc>
            </w:tr>
            <w:tr w14:paraId="75D1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742A2D3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执行限值</w:t>
                  </w:r>
                </w:p>
              </w:tc>
              <w:tc>
                <w:tcPr>
                  <w:tcW w:w="600" w:type="pct"/>
                  <w:tcBorders>
                    <w:tl2br w:val="nil"/>
                    <w:tr2bl w:val="nil"/>
                  </w:tcBorders>
                  <w:noWrap/>
                  <w:tcMar>
                    <w:left w:w="0" w:type="dxa"/>
                    <w:right w:w="0" w:type="dxa"/>
                  </w:tcMar>
                  <w:vAlign w:val="center"/>
                </w:tcPr>
                <w:p w14:paraId="07D5F8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w:t>
                  </w:r>
                </w:p>
              </w:tc>
              <w:tc>
                <w:tcPr>
                  <w:tcW w:w="490" w:type="pct"/>
                  <w:tcBorders>
                    <w:tl2br w:val="nil"/>
                    <w:tr2bl w:val="nil"/>
                  </w:tcBorders>
                  <w:noWrap/>
                  <w:vAlign w:val="center"/>
                </w:tcPr>
                <w:p w14:paraId="0EC9495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w:t>
                  </w:r>
                </w:p>
              </w:tc>
              <w:tc>
                <w:tcPr>
                  <w:tcW w:w="434" w:type="pct"/>
                  <w:tcBorders>
                    <w:tl2br w:val="nil"/>
                    <w:tr2bl w:val="nil"/>
                  </w:tcBorders>
                  <w:noWrap/>
                  <w:vAlign w:val="center"/>
                </w:tcPr>
                <w:p w14:paraId="34ED4C0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552" w:type="pct"/>
                  <w:tcBorders>
                    <w:tl2br w:val="nil"/>
                    <w:tr2bl w:val="nil"/>
                  </w:tcBorders>
                  <w:noWrap/>
                  <w:vAlign w:val="center"/>
                </w:tcPr>
                <w:p w14:paraId="6CE19B29">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w:t>
                  </w:r>
                </w:p>
              </w:tc>
              <w:tc>
                <w:tcPr>
                  <w:tcW w:w="816" w:type="pct"/>
                  <w:tcBorders>
                    <w:tl2br w:val="nil"/>
                    <w:tr2bl w:val="nil"/>
                  </w:tcBorders>
                  <w:noWrap/>
                  <w:vAlign w:val="center"/>
                </w:tcPr>
                <w:p w14:paraId="6FCA063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w:t>
                  </w:r>
                </w:p>
              </w:tc>
              <w:tc>
                <w:tcPr>
                  <w:tcW w:w="719" w:type="pct"/>
                  <w:tcBorders>
                    <w:tl2br w:val="nil"/>
                    <w:tr2bl w:val="nil"/>
                  </w:tcBorders>
                  <w:noWrap/>
                  <w:vAlign w:val="center"/>
                </w:tcPr>
                <w:p w14:paraId="69583AB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1000个/L</w:t>
                  </w:r>
                </w:p>
              </w:tc>
            </w:tr>
            <w:tr w14:paraId="2126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384" w:type="pct"/>
                  <w:tcBorders>
                    <w:tl2br w:val="nil"/>
                    <w:tr2bl w:val="nil"/>
                  </w:tcBorders>
                  <w:noWrap/>
                  <w:tcMar>
                    <w:left w:w="0" w:type="dxa"/>
                    <w:right w:w="0" w:type="dxa"/>
                  </w:tcMar>
                  <w:vAlign w:val="center"/>
                </w:tcPr>
                <w:p w14:paraId="0AE98BD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w:t>
                  </w:r>
                </w:p>
              </w:tc>
              <w:tc>
                <w:tcPr>
                  <w:tcW w:w="3615" w:type="pct"/>
                  <w:gridSpan w:val="6"/>
                  <w:tcBorders>
                    <w:tl2br w:val="nil"/>
                    <w:tr2bl w:val="nil"/>
                  </w:tcBorders>
                  <w:noWrap/>
                  <w:vAlign w:val="center"/>
                </w:tcPr>
                <w:p w14:paraId="4E7DA137">
                  <w:pPr>
                    <w:widowControl/>
                    <w:spacing w:line="240" w:lineRule="auto"/>
                    <w:jc w:val="center"/>
                    <w:rPr>
                      <w:rFonts w:hint="default" w:ascii="Times New Roman" w:hAnsi="Times New Roman" w:cs="Times New Roman"/>
                      <w:color w:val="auto"/>
                      <w:sz w:val="21"/>
                      <w:szCs w:val="21"/>
                      <w:highlight w:val="none"/>
                      <w:lang w:eastAsia="ja-JP"/>
                    </w:rPr>
                  </w:pPr>
                  <w:r>
                    <w:rPr>
                      <w:rFonts w:hint="default" w:ascii="Times New Roman" w:hAnsi="Times New Roman" w:cs="Times New Roman"/>
                      <w:color w:val="auto"/>
                      <w:sz w:val="21"/>
                      <w:szCs w:val="21"/>
                      <w:highlight w:val="none"/>
                      <w:lang w:eastAsia="ja-JP"/>
                    </w:rPr>
                    <w:t>①</w:t>
                  </w:r>
                  <w:r>
                    <w:rPr>
                      <w:rFonts w:hint="default" w:ascii="Times New Roman" w:hAnsi="Times New Roman" w:eastAsia="宋体" w:cs="Times New Roman"/>
                      <w:color w:val="auto"/>
                      <w:spacing w:val="-2"/>
                      <w:kern w:val="0"/>
                      <w:sz w:val="21"/>
                      <w:szCs w:val="21"/>
                      <w:highlight w:val="none"/>
                      <w:lang w:val="en-US" w:eastAsia="zh-CN"/>
                    </w:rPr>
                    <w:t>括号外数值为水温</w:t>
                  </w:r>
                  <w:r>
                    <w:rPr>
                      <w:rFonts w:hint="default" w:ascii="Times New Roman" w:hAnsi="Times New Roman" w:cs="Times New Roman"/>
                      <w:color w:val="auto"/>
                      <w:spacing w:val="-2"/>
                      <w:kern w:val="0"/>
                      <w:sz w:val="21"/>
                      <w:szCs w:val="21"/>
                      <w:highlight w:val="none"/>
                      <w:lang w:val="en-US" w:eastAsia="zh-CN"/>
                    </w:rPr>
                    <w:t>＞</w:t>
                  </w:r>
                  <w:r>
                    <w:rPr>
                      <w:rFonts w:hint="default" w:ascii="Times New Roman" w:hAnsi="Times New Roman" w:eastAsia="宋体" w:cs="Times New Roman"/>
                      <w:color w:val="auto"/>
                      <w:spacing w:val="-2"/>
                      <w:kern w:val="0"/>
                      <w:sz w:val="21"/>
                      <w:szCs w:val="21"/>
                      <w:highlight w:val="none"/>
                      <w:lang w:val="en-US" w:eastAsia="zh-CN"/>
                    </w:rPr>
                    <w:t>12℃时的控制指标，括号内数值为水温≤12℃时的控制指标。</w:t>
                  </w:r>
                </w:p>
              </w:tc>
            </w:tr>
          </w:tbl>
          <w:p w14:paraId="5DC5D58D">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三、噪声排放标准</w:t>
            </w:r>
          </w:p>
          <w:p w14:paraId="73F7603C">
            <w:pPr>
              <w:wordWrap w:val="0"/>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本项目厂界噪声排放执行《工业企业厂界环境噪声排放标准》（GB</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12348-2008）3类标准。</w:t>
            </w:r>
          </w:p>
          <w:p w14:paraId="312ED3A7">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工业企业厂界环境噪声排放标准</w:t>
            </w:r>
          </w:p>
          <w:tbl>
            <w:tblPr>
              <w:tblStyle w:val="4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78"/>
              <w:gridCol w:w="1978"/>
              <w:gridCol w:w="1978"/>
              <w:gridCol w:w="1981"/>
            </w:tblGrid>
            <w:tr w14:paraId="7882A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78B2C4F1">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w:t>
                  </w:r>
                </w:p>
              </w:tc>
              <w:tc>
                <w:tcPr>
                  <w:tcW w:w="1249" w:type="pct"/>
                  <w:tcBorders>
                    <w:right w:val="single" w:color="auto" w:sz="4" w:space="0"/>
                  </w:tcBorders>
                  <w:noWrap/>
                  <w:vAlign w:val="center"/>
                </w:tcPr>
                <w:p w14:paraId="2B48776C">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昼间</w:t>
                  </w:r>
                </w:p>
              </w:tc>
              <w:tc>
                <w:tcPr>
                  <w:tcW w:w="1249" w:type="pct"/>
                  <w:tcBorders>
                    <w:left w:val="single" w:color="auto" w:sz="4" w:space="0"/>
                  </w:tcBorders>
                  <w:noWrap/>
                  <w:vAlign w:val="center"/>
                </w:tcPr>
                <w:p w14:paraId="5140567B">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夜间</w:t>
                  </w:r>
                </w:p>
              </w:tc>
              <w:tc>
                <w:tcPr>
                  <w:tcW w:w="1250" w:type="pct"/>
                  <w:tcBorders>
                    <w:left w:val="single" w:color="auto" w:sz="4" w:space="0"/>
                  </w:tcBorders>
                  <w:noWrap/>
                  <w:vAlign w:val="center"/>
                </w:tcPr>
                <w:p w14:paraId="40E9975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单位</w:t>
                  </w:r>
                </w:p>
              </w:tc>
            </w:tr>
            <w:tr w14:paraId="658C6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249" w:type="pct"/>
                  <w:noWrap/>
                  <w:vAlign w:val="center"/>
                </w:tcPr>
                <w:p w14:paraId="684CE63A">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厂界噪声</w:t>
                  </w:r>
                </w:p>
              </w:tc>
              <w:tc>
                <w:tcPr>
                  <w:tcW w:w="1249" w:type="pct"/>
                  <w:noWrap/>
                  <w:vAlign w:val="center"/>
                </w:tcPr>
                <w:p w14:paraId="4844B036">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65</w:t>
                  </w:r>
                </w:p>
              </w:tc>
              <w:tc>
                <w:tcPr>
                  <w:tcW w:w="1249" w:type="pct"/>
                  <w:noWrap/>
                  <w:vAlign w:val="center"/>
                </w:tcPr>
                <w:p w14:paraId="0442681D">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55</w:t>
                  </w:r>
                </w:p>
              </w:tc>
              <w:tc>
                <w:tcPr>
                  <w:tcW w:w="1250" w:type="pct"/>
                  <w:noWrap/>
                  <w:vAlign w:val="center"/>
                </w:tcPr>
                <w:p w14:paraId="78BE6F6F">
                  <w:pPr>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dB（A）</w:t>
                  </w:r>
                </w:p>
              </w:tc>
            </w:tr>
          </w:tbl>
          <w:p w14:paraId="5EBE003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p>
          <w:p w14:paraId="42640C08">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四、固体废物污染控制标准</w:t>
            </w:r>
          </w:p>
          <w:p w14:paraId="790614B4">
            <w:pPr>
              <w:keepNext w:val="0"/>
              <w:keepLines w:val="0"/>
              <w:pageBreakBefore w:val="0"/>
              <w:widowControl/>
              <w:suppressLineNumbers w:val="0"/>
              <w:kinsoku/>
              <w:wordWrap/>
              <w:overflowPunct/>
              <w:topLinePunct w:val="0"/>
              <w:autoSpaceDE/>
              <w:autoSpaceDN/>
              <w:bidi w:val="0"/>
              <w:adjustRightInd/>
              <w:snapToGrid/>
              <w:ind w:firstLine="456" w:firstLineChars="200"/>
              <w:jc w:val="both"/>
              <w:textAlignment w:val="auto"/>
              <w:rPr>
                <w:rFonts w:hint="default" w:ascii="Times New Roman" w:hAnsi="Times New Roman" w:eastAsia="宋体" w:cs="Times New Roman"/>
                <w:color w:val="auto"/>
                <w:spacing w:val="-6"/>
                <w:highlight w:val="none"/>
              </w:rPr>
            </w:pPr>
            <w:r>
              <w:rPr>
                <w:rFonts w:hint="default" w:ascii="Times New Roman" w:hAnsi="Times New Roman" w:eastAsia="宋体" w:cs="Times New Roman"/>
                <w:color w:val="auto"/>
                <w:spacing w:val="-6"/>
                <w:highlight w:val="none"/>
              </w:rPr>
              <w:t>一般工业固体废物在厂内采用库房或包装工具贮存，贮存过程应满足相应防渗漏、防雨淋、防扬尘等环境保护要求；危险废物贮存过程执行《危险废物贮存污染控制标准》（GB</w:t>
            </w:r>
            <w:r>
              <w:rPr>
                <w:rFonts w:hint="eastAsia" w:cs="Times New Roman"/>
                <w:color w:val="auto"/>
                <w:spacing w:val="-6"/>
                <w:highlight w:val="none"/>
                <w:lang w:val="en-US" w:eastAsia="zh-CN"/>
              </w:rPr>
              <w:t xml:space="preserve"> </w:t>
            </w:r>
            <w:r>
              <w:rPr>
                <w:rFonts w:hint="default" w:ascii="Times New Roman" w:hAnsi="Times New Roman" w:eastAsia="宋体" w:cs="Times New Roman"/>
                <w:color w:val="auto"/>
                <w:spacing w:val="-6"/>
                <w:highlight w:val="none"/>
              </w:rPr>
              <w:t>18597-2023）</w:t>
            </w:r>
            <w:r>
              <w:rPr>
                <w:rFonts w:hint="default" w:ascii="Times New Roman" w:hAnsi="Times New Roman" w:eastAsia="宋体" w:cs="Times New Roman"/>
                <w:color w:val="auto"/>
                <w:spacing w:val="-6"/>
                <w:highlight w:val="none"/>
                <w:lang w:eastAsia="zh-CN"/>
              </w:rPr>
              <w:t>和《危险废物收集贮存运输技术规范》（HJ</w:t>
            </w:r>
            <w:r>
              <w:rPr>
                <w:rFonts w:hint="eastAsia" w:cs="Times New Roman"/>
                <w:color w:val="auto"/>
                <w:spacing w:val="-6"/>
                <w:highlight w:val="none"/>
                <w:lang w:val="en-US" w:eastAsia="zh-CN"/>
              </w:rPr>
              <w:t xml:space="preserve"> </w:t>
            </w:r>
            <w:r>
              <w:rPr>
                <w:rFonts w:hint="default" w:ascii="Times New Roman" w:hAnsi="Times New Roman" w:eastAsia="宋体" w:cs="Times New Roman"/>
                <w:color w:val="auto"/>
                <w:spacing w:val="-6"/>
                <w:highlight w:val="none"/>
                <w:lang w:eastAsia="zh-CN"/>
              </w:rPr>
              <w:t>2025-2012）</w:t>
            </w:r>
            <w:r>
              <w:rPr>
                <w:rFonts w:hint="default" w:ascii="Times New Roman" w:hAnsi="Times New Roman" w:eastAsia="宋体" w:cs="Times New Roman"/>
                <w:color w:val="auto"/>
                <w:spacing w:val="-6"/>
                <w:highlight w:val="none"/>
              </w:rPr>
              <w:t>。</w:t>
            </w:r>
          </w:p>
          <w:p w14:paraId="6B3229BC">
            <w:pPr>
              <w:keepNext w:val="0"/>
              <w:keepLines w:val="0"/>
              <w:pageBreakBefore w:val="0"/>
              <w:widowControl/>
              <w:suppressLineNumbers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cs="Times New Roman"/>
                <w:color w:val="auto"/>
                <w:spacing w:val="-6"/>
                <w:highlight w:val="none"/>
              </w:rPr>
            </w:pPr>
          </w:p>
        </w:tc>
      </w:tr>
      <w:tr w14:paraId="7A3E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67" w:type="pct"/>
            <w:vAlign w:val="center"/>
          </w:tcPr>
          <w:p w14:paraId="73588DC2">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auto"/>
              <w:textAlignment w:val="auto"/>
              <w:outlineLvl w:val="9"/>
              <w:rPr>
                <w:rFonts w:hint="eastAsia" w:ascii="Times New Roman" w:hAnsi="Times New Roman" w:eastAsia="宋体" w:cs="Times New Roman"/>
                <w:color w:val="auto"/>
                <w:kern w:val="2"/>
                <w:sz w:val="24"/>
                <w:szCs w:val="24"/>
                <w:highlight w:val="none"/>
                <w:lang w:val="en-US" w:eastAsia="zh-CN" w:bidi="ar-SA"/>
              </w:rPr>
            </w:pPr>
            <w:bookmarkStart w:id="84" w:name="_Toc7590"/>
            <w:bookmarkStart w:id="85" w:name="_Toc23450"/>
            <w:bookmarkStart w:id="86" w:name="_Toc9431"/>
            <w:bookmarkStart w:id="87" w:name="_Toc10891"/>
            <w:bookmarkStart w:id="88" w:name="_Toc8540"/>
            <w:bookmarkStart w:id="89" w:name="_Toc8863"/>
            <w:bookmarkStart w:id="90" w:name="_Toc3077"/>
            <w:bookmarkStart w:id="91" w:name="_Toc4557"/>
            <w:bookmarkStart w:id="92" w:name="_Toc18024"/>
            <w:bookmarkStart w:id="93" w:name="_Toc31892"/>
            <w:r>
              <w:rPr>
                <w:rFonts w:hint="default" w:ascii="Times New Roman" w:hAnsi="Times New Roman" w:cs="Times New Roman"/>
                <w:color w:val="auto"/>
                <w:highlight w:val="none"/>
              </w:rPr>
              <w:t>总量控制</w:t>
            </w:r>
            <w:r>
              <w:rPr>
                <w:rFonts w:hint="eastAsia" w:cs="Times New Roman"/>
                <w:color w:val="auto"/>
                <w:highlight w:val="none"/>
                <w:lang w:val="en-US" w:eastAsia="zh-CN"/>
              </w:rPr>
              <w:t>指标</w:t>
            </w:r>
          </w:p>
        </w:tc>
        <w:tc>
          <w:tcPr>
            <w:tcW w:w="4732" w:type="pct"/>
          </w:tcPr>
          <w:p w14:paraId="09CF30F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建设单位应根据本项目的废水和废气等污染物的排放量，向上级主管部门和</w:t>
            </w:r>
            <w:r>
              <w:rPr>
                <w:rFonts w:hint="eastAsia" w:cs="Times New Roman"/>
                <w:color w:val="auto"/>
                <w:highlight w:val="none"/>
                <w:lang w:val="en-US" w:eastAsia="zh-CN"/>
              </w:rPr>
              <w:t>生态环境</w:t>
            </w:r>
            <w:r>
              <w:rPr>
                <w:rFonts w:hint="default" w:ascii="Times New Roman" w:hAnsi="Times New Roman" w:cs="Times New Roman"/>
                <w:color w:val="auto"/>
                <w:highlight w:val="none"/>
              </w:rPr>
              <w:t>部门申请各项目污染物排放总量控制指标。</w:t>
            </w:r>
          </w:p>
          <w:p w14:paraId="743E4B82">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一、水污染物排放总量控制指标</w:t>
            </w:r>
          </w:p>
          <w:p w14:paraId="432D083D">
            <w:pPr>
              <w:pStyle w:val="94"/>
              <w:widowControl/>
              <w:rPr>
                <w:rFonts w:hint="default" w:ascii="Times New Roman" w:hAnsi="Times New Roman" w:cs="Times New Roman"/>
                <w:color w:val="auto"/>
                <w:highlight w:val="none"/>
              </w:rPr>
            </w:pPr>
            <w:r>
              <w:rPr>
                <w:rFonts w:hint="eastAsia" w:cs="Times New Roman"/>
                <w:color w:val="auto"/>
                <w:highlight w:val="none"/>
                <w:lang w:val="en-US" w:eastAsia="zh-CN"/>
              </w:rPr>
              <w:t>项目</w:t>
            </w:r>
            <w:r>
              <w:rPr>
                <w:rFonts w:hint="default" w:ascii="Times New Roman" w:hAnsi="Times New Roman" w:cs="Times New Roman"/>
                <w:color w:val="auto"/>
                <w:highlight w:val="none"/>
              </w:rPr>
              <w:t>生活污水</w:t>
            </w:r>
            <w:r>
              <w:rPr>
                <w:rFonts w:hint="eastAsia" w:cs="Times New Roman"/>
                <w:color w:val="auto"/>
                <w:highlight w:val="none"/>
                <w:lang w:val="en-US" w:eastAsia="zh-CN"/>
              </w:rPr>
              <w:t>总</w:t>
            </w:r>
            <w:r>
              <w:rPr>
                <w:rFonts w:hint="default" w:ascii="Times New Roman" w:hAnsi="Times New Roman" w:cs="Times New Roman"/>
                <w:color w:val="auto"/>
                <w:highlight w:val="none"/>
              </w:rPr>
              <w:t>排放量为</w:t>
            </w:r>
            <w:r>
              <w:rPr>
                <w:rFonts w:hint="eastAsia" w:ascii="Times New Roman" w:hAnsi="Times New Roman" w:cs="Times New Roman"/>
                <w:color w:val="auto"/>
                <w:highlight w:val="none"/>
                <w:lang w:val="en-US" w:eastAsia="zh-CN"/>
              </w:rPr>
              <w:t>50.4</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rPr>
              <w:t>/a，经</w:t>
            </w:r>
            <w:r>
              <w:rPr>
                <w:rFonts w:hint="default" w:ascii="Times New Roman" w:hAnsi="Times New Roman" w:cs="Times New Roman"/>
                <w:color w:val="auto"/>
                <w:highlight w:val="none"/>
                <w:lang w:eastAsia="zh-CN"/>
              </w:rPr>
              <w:t>三级化粪池</w:t>
            </w:r>
            <w:r>
              <w:rPr>
                <w:rFonts w:hint="default" w:ascii="Times New Roman" w:hAnsi="Times New Roman" w:cs="Times New Roman"/>
                <w:color w:val="auto"/>
                <w:highlight w:val="none"/>
              </w:rPr>
              <w:t>预处理后排入园区污水处理厂进行处理，</w:t>
            </w:r>
            <w:r>
              <w:rPr>
                <w:rFonts w:hint="default" w:ascii="Times New Roman" w:hAnsi="Times New Roman" w:cs="Times New Roman"/>
                <w:color w:val="auto"/>
                <w:kern w:val="0"/>
                <w:highlight w:val="none"/>
              </w:rPr>
              <w:t>因此，CODcr</w:t>
            </w:r>
            <w:r>
              <w:rPr>
                <w:rFonts w:hint="default" w:ascii="Times New Roman" w:hAnsi="Times New Roman" w:cs="Times New Roman"/>
                <w:color w:val="auto"/>
                <w:kern w:val="0"/>
                <w:highlight w:val="none"/>
                <w:lang w:eastAsia="zh-CN"/>
              </w:rPr>
              <w:t>（</w:t>
            </w:r>
            <w:r>
              <w:rPr>
                <w:rFonts w:hint="default" w:ascii="Times New Roman" w:hAnsi="Times New Roman" w:cs="Times New Roman"/>
                <w:color w:val="auto"/>
                <w:kern w:val="0"/>
                <w:highlight w:val="none"/>
                <w:lang w:val="en-US" w:eastAsia="zh-CN"/>
              </w:rPr>
              <w:t>0.</w:t>
            </w:r>
            <w:r>
              <w:rPr>
                <w:rFonts w:hint="eastAsia" w:cs="Times New Roman"/>
                <w:color w:val="auto"/>
                <w:kern w:val="0"/>
                <w:highlight w:val="none"/>
                <w:lang w:val="en-US" w:eastAsia="zh-CN"/>
              </w:rPr>
              <w:t>01008</w:t>
            </w:r>
            <w:r>
              <w:rPr>
                <w:rFonts w:hint="default" w:ascii="Times New Roman" w:hAnsi="Times New Roman" w:cs="Times New Roman"/>
                <w:color w:val="auto"/>
                <w:kern w:val="0"/>
                <w:highlight w:val="none"/>
                <w:lang w:val="en-US" w:eastAsia="zh-CN"/>
              </w:rPr>
              <w:t>t/a）</w:t>
            </w:r>
            <w:r>
              <w:rPr>
                <w:rFonts w:hint="default" w:ascii="Times New Roman" w:hAnsi="Times New Roman" w:cs="Times New Roman"/>
                <w:color w:val="auto"/>
                <w:kern w:val="0"/>
                <w:highlight w:val="none"/>
              </w:rPr>
              <w:t>、NH</w:t>
            </w:r>
            <w:r>
              <w:rPr>
                <w:rFonts w:hint="default" w:ascii="Times New Roman" w:hAnsi="Times New Roman" w:cs="Times New Roman"/>
                <w:color w:val="auto"/>
                <w:kern w:val="0"/>
                <w:highlight w:val="none"/>
                <w:vertAlign w:val="subscript"/>
                <w:lang w:val="en-US" w:eastAsia="zh-CN"/>
              </w:rPr>
              <w:t>3</w:t>
            </w:r>
            <w:r>
              <w:rPr>
                <w:rFonts w:hint="default" w:ascii="Times New Roman" w:hAnsi="Times New Roman" w:cs="Times New Roman"/>
                <w:color w:val="auto"/>
                <w:kern w:val="0"/>
                <w:highlight w:val="none"/>
                <w:lang w:val="en-US" w:eastAsia="zh-CN"/>
              </w:rPr>
              <w:t>-</w:t>
            </w:r>
            <w:r>
              <w:rPr>
                <w:rFonts w:hint="default" w:ascii="Times New Roman" w:hAnsi="Times New Roman" w:cs="Times New Roman"/>
                <w:color w:val="auto"/>
                <w:kern w:val="0"/>
                <w:highlight w:val="none"/>
              </w:rPr>
              <w:t>N</w:t>
            </w:r>
            <w:r>
              <w:rPr>
                <w:rFonts w:hint="default" w:ascii="Times New Roman" w:hAnsi="Times New Roman" w:cs="Times New Roman"/>
                <w:color w:val="auto"/>
                <w:kern w:val="0"/>
                <w:highlight w:val="none"/>
                <w:lang w:eastAsia="zh-CN"/>
              </w:rPr>
              <w:t>（</w:t>
            </w:r>
            <w:r>
              <w:rPr>
                <w:rFonts w:hint="default" w:ascii="Times New Roman" w:hAnsi="Times New Roman" w:cs="Times New Roman"/>
                <w:i w:val="0"/>
                <w:iCs w:val="0"/>
                <w:color w:val="auto"/>
                <w:kern w:val="0"/>
                <w:sz w:val="24"/>
                <w:szCs w:val="24"/>
                <w:highlight w:val="none"/>
                <w:u w:val="none"/>
                <w:lang w:val="en-US" w:eastAsia="zh-CN"/>
              </w:rPr>
              <w:t>0.00</w:t>
            </w:r>
            <w:r>
              <w:rPr>
                <w:rFonts w:hint="eastAsia" w:cs="Times New Roman"/>
                <w:i w:val="0"/>
                <w:iCs w:val="0"/>
                <w:color w:val="auto"/>
                <w:kern w:val="0"/>
                <w:sz w:val="24"/>
                <w:szCs w:val="24"/>
                <w:highlight w:val="none"/>
                <w:u w:val="none"/>
                <w:lang w:val="en-US" w:eastAsia="zh-CN"/>
              </w:rPr>
              <w:t>096</w:t>
            </w:r>
            <w:r>
              <w:rPr>
                <w:rFonts w:hint="default" w:ascii="Times New Roman" w:hAnsi="Times New Roman" w:cs="Times New Roman"/>
                <w:color w:val="auto"/>
                <w:kern w:val="0"/>
                <w:highlight w:val="none"/>
                <w:lang w:val="en-US" w:eastAsia="zh-CN"/>
              </w:rPr>
              <w:t>t/a）</w:t>
            </w:r>
            <w:r>
              <w:rPr>
                <w:rFonts w:hint="default" w:ascii="Times New Roman" w:hAnsi="Times New Roman" w:cs="Times New Roman"/>
                <w:color w:val="auto"/>
                <w:kern w:val="0"/>
                <w:highlight w:val="none"/>
              </w:rPr>
              <w:t>纳入园区污水处理厂的总量控制指标，不需再增加新的总量分配指标</w:t>
            </w:r>
            <w:r>
              <w:rPr>
                <w:rFonts w:hint="default" w:ascii="Times New Roman" w:hAnsi="Times New Roman" w:cs="Times New Roman"/>
                <w:color w:val="auto"/>
                <w:highlight w:val="none"/>
              </w:rPr>
              <w:t>。</w:t>
            </w:r>
          </w:p>
          <w:p w14:paraId="7010EF0E">
            <w:pPr>
              <w:widowControl/>
              <w:numPr>
                <w:ilvl w:val="0"/>
                <w:numId w:val="0"/>
              </w:numPr>
              <w:ind w:firstLine="480" w:firstLineChars="200"/>
              <w:jc w:val="both"/>
              <w:rPr>
                <w:rFonts w:hint="eastAsia"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kern w:val="2"/>
                <w:sz w:val="24"/>
                <w:szCs w:val="24"/>
                <w:lang w:val="en-US" w:eastAsia="zh-CN" w:bidi="ar-SA"/>
              </w:rPr>
              <w:t>二</w:t>
            </w:r>
            <w:r>
              <w:rPr>
                <w:rFonts w:hint="eastAsia" w:ascii="Times New Roman" w:hAnsi="Times New Roman" w:eastAsia="宋体" w:cs="Times New Roman"/>
                <w:b/>
                <w:bCs/>
                <w:color w:val="auto"/>
                <w:kern w:val="2"/>
                <w:sz w:val="24"/>
                <w:szCs w:val="24"/>
                <w:lang w:val="en-US" w:eastAsia="zh-CN" w:bidi="ar-SA"/>
              </w:rPr>
              <w:t>、</w:t>
            </w:r>
            <w:r>
              <w:rPr>
                <w:rFonts w:hint="eastAsia" w:ascii="Times New Roman" w:hAnsi="Times New Roman" w:cs="Times New Roman"/>
                <w:b/>
                <w:bCs/>
                <w:color w:val="auto"/>
                <w:highlight w:val="none"/>
                <w:lang w:val="en-US" w:eastAsia="zh-CN"/>
              </w:rPr>
              <w:t>大气</w:t>
            </w:r>
            <w:r>
              <w:rPr>
                <w:rFonts w:hint="default" w:ascii="Times New Roman" w:hAnsi="Times New Roman" w:cs="Times New Roman"/>
                <w:b/>
                <w:bCs/>
                <w:color w:val="auto"/>
                <w:highlight w:val="none"/>
              </w:rPr>
              <w:t>污染物排放总量控制</w:t>
            </w:r>
            <w:r>
              <w:rPr>
                <w:rFonts w:hint="eastAsia" w:ascii="Times New Roman" w:hAnsi="Times New Roman" w:cs="Times New Roman"/>
                <w:b/>
                <w:bCs/>
                <w:color w:val="auto"/>
                <w:highlight w:val="none"/>
                <w:lang w:val="en-US" w:eastAsia="zh-CN"/>
              </w:rPr>
              <w:t>指标</w:t>
            </w:r>
          </w:p>
          <w:p w14:paraId="53ED3646">
            <w:pPr>
              <w:widowControl/>
              <w:numPr>
                <w:ilvl w:val="0"/>
                <w:numId w:val="0"/>
              </w:numPr>
              <w:ind w:firstLine="480" w:firstLineChars="200"/>
              <w:jc w:val="both"/>
              <w:rPr>
                <w:rFonts w:hint="default" w:ascii="Times New Roman" w:hAnsi="Times New Roman" w:eastAsia="宋体" w:cs="Times New Roman"/>
                <w:color w:val="auto"/>
                <w:highlight w:val="none"/>
                <w:lang w:eastAsia="zh-CN"/>
              </w:rPr>
            </w:pPr>
            <w:r>
              <w:rPr>
                <w:rFonts w:hint="eastAsia" w:ascii="Times New Roman" w:hAnsi="Times New Roman" w:cs="Times New Roman"/>
                <w:color w:val="auto"/>
                <w:kern w:val="0"/>
                <w:highlight w:val="none"/>
                <w:lang w:val="en-US" w:eastAsia="zh-CN"/>
              </w:rPr>
              <w:t>本项目主要废气污染物为颗粒物和臭气浓度，</w:t>
            </w: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生态环境部“十四五”主要污染物总量减排有关文件以及</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广东省人民政府关于印发</w:t>
            </w:r>
            <w:r>
              <w:rPr>
                <w:rFonts w:hint="eastAsia" w:ascii="Times New Roman" w:hAnsi="Times New Roman" w:cs="Times New Roman"/>
                <w:color w:val="auto"/>
                <w:sz w:val="24"/>
                <w:highlight w:val="none"/>
                <w:lang w:val="en-US" w:eastAsia="zh-CN"/>
              </w:rPr>
              <w:t>&lt;</w:t>
            </w:r>
            <w:r>
              <w:rPr>
                <w:rFonts w:hint="default" w:ascii="Times New Roman" w:hAnsi="Times New Roman" w:cs="Times New Roman"/>
                <w:color w:val="auto"/>
                <w:sz w:val="24"/>
                <w:highlight w:val="none"/>
              </w:rPr>
              <w:t>广东省“三线一单”生态环境分区管控方案</w:t>
            </w:r>
            <w:r>
              <w:rPr>
                <w:rFonts w:hint="eastAsia" w:ascii="Times New Roman" w:hAnsi="Times New Roman" w:cs="Times New Roman"/>
                <w:color w:val="auto"/>
                <w:sz w:val="24"/>
                <w:highlight w:val="none"/>
                <w:lang w:val="en-US" w:eastAsia="zh-CN"/>
              </w:rPr>
              <w:t>&gt;</w:t>
            </w:r>
            <w:r>
              <w:rPr>
                <w:rFonts w:hint="default" w:ascii="Times New Roman" w:hAnsi="Times New Roman" w:cs="Times New Roman"/>
                <w:color w:val="auto"/>
                <w:sz w:val="24"/>
                <w:highlight w:val="none"/>
              </w:rPr>
              <w:t>的通知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粤府〔2020〕71号</w:t>
            </w:r>
            <w:r>
              <w:rPr>
                <w:rFonts w:hint="default" w:ascii="Times New Roman" w:hAnsi="Times New Roman" w:cs="Times New Roman"/>
                <w:color w:val="auto"/>
                <w:sz w:val="24"/>
                <w:highlight w:val="none"/>
                <w:lang w:eastAsia="zh-CN"/>
              </w:rPr>
              <w:t>），重点污染物排放总量指标包括化学需氧量、氨氮、氮氧化物及挥发性有机物等</w:t>
            </w:r>
            <w:r>
              <w:rPr>
                <w:rFonts w:hint="default" w:ascii="Times New Roman" w:hAnsi="Times New Roman" w:cs="Times New Roman"/>
                <w:color w:val="auto"/>
                <w:sz w:val="24"/>
                <w:highlight w:val="none"/>
                <w:lang w:val="en-US" w:eastAsia="zh-CN"/>
              </w:rPr>
              <w:t>四项</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color w:val="auto"/>
                <w:kern w:val="0"/>
                <w:sz w:val="24"/>
                <w:szCs w:val="24"/>
                <w:highlight w:val="none"/>
                <w:lang w:val="en-US" w:eastAsia="zh-CN"/>
              </w:rPr>
              <w:t>颗粒物</w:t>
            </w:r>
            <w:r>
              <w:rPr>
                <w:rFonts w:hint="eastAsia" w:eastAsia="宋体" w:cs="Times New Roman"/>
                <w:color w:val="auto"/>
                <w:kern w:val="0"/>
                <w:sz w:val="24"/>
                <w:szCs w:val="24"/>
                <w:highlight w:val="none"/>
                <w:lang w:val="en-US" w:eastAsia="zh-CN"/>
              </w:rPr>
              <w:t>和臭气浓度</w:t>
            </w:r>
            <w:r>
              <w:rPr>
                <w:rFonts w:hint="default" w:ascii="Times New Roman" w:hAnsi="Times New Roman" w:eastAsia="宋体" w:cs="Times New Roman"/>
                <w:color w:val="auto"/>
                <w:kern w:val="0"/>
                <w:sz w:val="24"/>
                <w:szCs w:val="24"/>
                <w:highlight w:val="none"/>
                <w:lang w:val="en-US" w:eastAsia="zh-CN"/>
              </w:rPr>
              <w:t>无需设置大气污染物总量控制指标</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因此本项目无需申请总量</w:t>
            </w:r>
            <w:r>
              <w:rPr>
                <w:rFonts w:hint="default" w:ascii="Times New Roman" w:hAnsi="Times New Roman" w:cs="Times New Roman"/>
                <w:color w:val="auto"/>
                <w:kern w:val="0"/>
                <w:highlight w:val="none"/>
                <w:lang w:eastAsia="zh-CN"/>
              </w:rPr>
              <w:t>。</w:t>
            </w:r>
          </w:p>
          <w:p w14:paraId="0308BD29">
            <w:pPr>
              <w:pStyle w:val="9"/>
              <w:numPr>
                <w:ilvl w:val="2"/>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三、固体废物排放总量控制指标</w:t>
            </w:r>
          </w:p>
          <w:p w14:paraId="68F2E29C">
            <w:pPr>
              <w:pStyle w:val="9"/>
              <w:numPr>
                <w:ilvl w:val="2"/>
                <w:numId w:val="0"/>
              </w:numPr>
              <w:ind w:firstLine="480" w:firstLineChars="20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本项目固体废物不自行处理排放，不设置固体废物总量控制指标。</w:t>
            </w:r>
          </w:p>
          <w:p w14:paraId="3E73F97D">
            <w:pPr>
              <w:keepNext w:val="0"/>
              <w:keepLines w:val="0"/>
              <w:pageBreakBefore w:val="0"/>
              <w:widowControl/>
              <w:suppressLineNumbers w:val="0"/>
              <w:kinsoku/>
              <w:wordWrap/>
              <w:overflowPunct/>
              <w:topLinePunct w:val="0"/>
              <w:autoSpaceDE/>
              <w:autoSpaceDN/>
              <w:bidi w:val="0"/>
              <w:adjustRightInd/>
              <w:snapToGrid/>
              <w:ind w:firstLine="456" w:firstLineChars="200"/>
              <w:jc w:val="both"/>
              <w:textAlignment w:val="auto"/>
              <w:rPr>
                <w:rFonts w:hint="default" w:ascii="Times New Roman" w:hAnsi="Times New Roman" w:eastAsia="宋体" w:cs="Times New Roman"/>
                <w:color w:val="auto"/>
                <w:spacing w:val="-6"/>
                <w:highlight w:val="none"/>
              </w:rPr>
            </w:pPr>
          </w:p>
        </w:tc>
      </w:tr>
      <w:bookmarkEnd w:id="84"/>
      <w:bookmarkEnd w:id="85"/>
      <w:bookmarkEnd w:id="86"/>
      <w:bookmarkEnd w:id="87"/>
      <w:bookmarkEnd w:id="88"/>
      <w:bookmarkEnd w:id="89"/>
      <w:bookmarkEnd w:id="90"/>
      <w:bookmarkEnd w:id="91"/>
      <w:bookmarkEnd w:id="92"/>
      <w:bookmarkEnd w:id="93"/>
    </w:tbl>
    <w:p w14:paraId="09D4B0D3">
      <w:pPr>
        <w:bidi w:val="0"/>
        <w:rPr>
          <w:rFonts w:hint="default"/>
          <w:color w:val="auto"/>
          <w:highlight w:val="none"/>
        </w:rPr>
        <w:sectPr>
          <w:footerReference r:id="rId6" w:type="default"/>
          <w:pgSz w:w="11906" w:h="16838"/>
          <w:pgMar w:top="1440" w:right="1797" w:bottom="1440" w:left="1797" w:header="851" w:footer="680" w:gutter="0"/>
          <w:pgBorders>
            <w:top w:val="none" w:sz="0" w:space="0"/>
            <w:left w:val="none" w:sz="0" w:space="0"/>
            <w:bottom w:val="none" w:sz="0" w:space="0"/>
            <w:right w:val="none" w:sz="0" w:space="0"/>
          </w:pgBorders>
          <w:pgNumType w:fmt="decimal" w:start="1"/>
          <w:cols w:space="720" w:num="1"/>
          <w:docGrid w:type="linesAndChars" w:linePitch="312" w:charSpace="0"/>
        </w:sectPr>
      </w:pPr>
    </w:p>
    <w:p w14:paraId="68F7E799">
      <w:pPr>
        <w:pStyle w:val="7"/>
        <w:numPr>
          <w:ilvl w:val="0"/>
          <w:numId w:val="0"/>
        </w:numPr>
        <w:rPr>
          <w:rFonts w:hint="default" w:ascii="Times New Roman" w:hAnsi="Times New Roman" w:cs="Times New Roman"/>
          <w:color w:val="auto"/>
          <w:highlight w:val="none"/>
        </w:rPr>
      </w:pPr>
      <w:bookmarkStart w:id="94" w:name="_Toc27519"/>
      <w:bookmarkStart w:id="95" w:name="_Toc22008"/>
      <w:bookmarkStart w:id="96" w:name="_Toc32008"/>
      <w:r>
        <w:rPr>
          <w:rFonts w:hint="default" w:ascii="Times New Roman" w:hAnsi="Times New Roman" w:cs="Times New Roman"/>
          <w:color w:val="auto"/>
          <w:highlight w:val="none"/>
        </w:rPr>
        <w:t>四、主要环境影响和保护措施</w:t>
      </w:r>
      <w:bookmarkEnd w:id="94"/>
      <w:bookmarkEnd w:id="95"/>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8046"/>
      </w:tblGrid>
      <w:tr w14:paraId="25C2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0" w:hRule="atLeast"/>
        </w:trPr>
        <w:tc>
          <w:tcPr>
            <w:tcW w:w="482" w:type="dxa"/>
            <w:vAlign w:val="center"/>
          </w:tcPr>
          <w:p w14:paraId="5AB375AC">
            <w:pPr>
              <w:numPr>
                <w:ilvl w:val="1"/>
                <w:numId w:val="0"/>
              </w:numPr>
              <w:tabs>
                <w:tab w:val="left" w:pos="420"/>
              </w:tabs>
              <w:outlineLvl w:val="9"/>
              <w:rPr>
                <w:rFonts w:hint="default" w:ascii="Times New Roman" w:hAnsi="Times New Roman" w:cs="Times New Roman"/>
                <w:color w:val="auto"/>
                <w:highlight w:val="none"/>
              </w:rPr>
            </w:pPr>
            <w:bookmarkStart w:id="97" w:name="_Toc7895"/>
            <w:bookmarkStart w:id="98" w:name="_Toc30266"/>
            <w:bookmarkStart w:id="99" w:name="_Toc18588"/>
            <w:bookmarkStart w:id="100" w:name="_Toc25142"/>
            <w:bookmarkStart w:id="101" w:name="_Toc3227"/>
            <w:bookmarkStart w:id="102" w:name="_Toc22339"/>
            <w:bookmarkStart w:id="103" w:name="_Toc25331"/>
            <w:r>
              <w:rPr>
                <w:rFonts w:hint="default" w:ascii="Times New Roman" w:hAnsi="Times New Roman" w:cs="Times New Roman"/>
                <w:color w:val="auto"/>
                <w:highlight w:val="none"/>
              </w:rPr>
              <w:t>施工期环境保护措施</w:t>
            </w:r>
            <w:bookmarkEnd w:id="97"/>
            <w:bookmarkEnd w:id="98"/>
            <w:bookmarkEnd w:id="99"/>
            <w:bookmarkEnd w:id="100"/>
            <w:bookmarkEnd w:id="101"/>
            <w:bookmarkEnd w:id="102"/>
            <w:bookmarkEnd w:id="103"/>
          </w:p>
        </w:tc>
        <w:tc>
          <w:tcPr>
            <w:tcW w:w="8046" w:type="dxa"/>
            <w:vAlign w:val="center"/>
          </w:tcPr>
          <w:p w14:paraId="4467FED7">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本项目租赁已建成的工业厂房进行生产，不涉及土建工程，只需在原有厂房内进行简单的装修及设备安装，施工期间施工人员食宿等生活问题依托周边设施解决。故施工期产生的污染源主要为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施工过</w:t>
            </w:r>
            <w:r>
              <w:rPr>
                <w:rFonts w:hint="eastAsia" w:cs="Times New Roman"/>
                <w:color w:val="auto"/>
                <w:highlight w:val="none"/>
                <w:lang w:eastAsia="zh-CN"/>
              </w:rPr>
              <w:t>程中</w:t>
            </w:r>
            <w:r>
              <w:rPr>
                <w:rFonts w:hint="default" w:ascii="Times New Roman" w:hAnsi="Times New Roman" w:cs="Times New Roman"/>
                <w:color w:val="auto"/>
                <w:highlight w:val="none"/>
              </w:rPr>
              <w:t>产生的少量装修废气</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车间装修、设备安装施工时产生的少量建筑垃圾、包装垃圾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装修设备和设备调试产生的噪声等。施工过程对环境会带来短暂性的影响，其影响在施工结束后消除。因此，只需要加强施工期间的管理，本项目施工期产生的污染对周围环境的影响在可接受的范围内。</w:t>
            </w:r>
          </w:p>
        </w:tc>
      </w:tr>
    </w:tbl>
    <w:p w14:paraId="46E9E338">
      <w:pPr>
        <w:rPr>
          <w:rFonts w:hint="default" w:ascii="Times New Roman" w:hAnsi="Times New Roman" w:eastAsia="宋体" w:cs="Times New Roman"/>
          <w:color w:val="auto"/>
          <w:highlight w:val="none"/>
        </w:rPr>
      </w:pPr>
    </w:p>
    <w:p w14:paraId="363ABA24">
      <w:pPr>
        <w:rPr>
          <w:rFonts w:hint="default" w:ascii="Times New Roman" w:hAnsi="Times New Roman" w:eastAsia="宋体" w:cs="Times New Roman"/>
          <w:color w:val="auto"/>
          <w:highlight w:val="none"/>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3712"/>
      </w:tblGrid>
      <w:tr w14:paraId="6A1D0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2" w:hRule="atLeast"/>
        </w:trPr>
        <w:tc>
          <w:tcPr>
            <w:tcW w:w="133" w:type="pct"/>
            <w:vAlign w:val="center"/>
          </w:tcPr>
          <w:p w14:paraId="0AD5EABB">
            <w:pPr>
              <w:numPr>
                <w:ilvl w:val="1"/>
                <w:numId w:val="0"/>
              </w:numPr>
              <w:tabs>
                <w:tab w:val="left" w:pos="420"/>
              </w:tabs>
              <w:outlineLvl w:val="9"/>
              <w:rPr>
                <w:rFonts w:hint="default" w:ascii="Times New Roman" w:hAnsi="Times New Roman" w:cs="Times New Roman"/>
                <w:color w:val="auto"/>
                <w:highlight w:val="none"/>
              </w:rPr>
            </w:pPr>
            <w:bookmarkStart w:id="104" w:name="_Toc15252"/>
            <w:bookmarkStart w:id="105" w:name="_Toc12228"/>
            <w:bookmarkStart w:id="106" w:name="_Toc8375"/>
            <w:bookmarkStart w:id="107" w:name="_Toc665"/>
            <w:bookmarkStart w:id="108" w:name="_Toc14651"/>
            <w:bookmarkStart w:id="109" w:name="_Toc20905"/>
            <w:bookmarkStart w:id="110" w:name="_Toc29600"/>
            <w:r>
              <w:rPr>
                <w:rFonts w:hint="default" w:ascii="Times New Roman" w:hAnsi="Times New Roman" w:cs="Times New Roman"/>
                <w:color w:val="auto"/>
                <w:highlight w:val="none"/>
              </w:rPr>
              <w:t>运营期环境影响和保护措施</w:t>
            </w:r>
            <w:bookmarkEnd w:id="104"/>
            <w:bookmarkEnd w:id="105"/>
            <w:bookmarkEnd w:id="106"/>
            <w:bookmarkEnd w:id="107"/>
            <w:bookmarkEnd w:id="108"/>
            <w:bookmarkEnd w:id="109"/>
            <w:bookmarkEnd w:id="110"/>
          </w:p>
        </w:tc>
        <w:tc>
          <w:tcPr>
            <w:tcW w:w="4866" w:type="pct"/>
            <w:vAlign w:val="center"/>
          </w:tcPr>
          <w:p w14:paraId="21D70578">
            <w:pPr>
              <w:pStyle w:val="10"/>
              <w:numPr>
                <w:ilvl w:val="3"/>
                <w:numId w:val="0"/>
              </w:num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一、废气</w:t>
            </w:r>
          </w:p>
          <w:p w14:paraId="0CD1855B">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1、污染源排放汇总</w:t>
            </w:r>
          </w:p>
          <w:p w14:paraId="6F72238B">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项目废气污染物排放情况、污染源源强核算结果及相关参数见下列一览表</w:t>
            </w:r>
            <w:r>
              <w:rPr>
                <w:rFonts w:hint="default" w:ascii="Times New Roman" w:hAnsi="Times New Roman" w:cs="Times New Roman"/>
                <w:b w:val="0"/>
                <w:bCs w:val="0"/>
                <w:color w:val="auto"/>
                <w:kern w:val="2"/>
                <w:sz w:val="24"/>
                <w:szCs w:val="24"/>
                <w:highlight w:val="none"/>
                <w:lang w:val="en-US" w:eastAsia="zh-CN" w:bidi="ar-SA"/>
              </w:rPr>
              <w:t>。</w:t>
            </w:r>
          </w:p>
          <w:p w14:paraId="4C8446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1</w:t>
            </w:r>
            <w:r>
              <w:rPr>
                <w:rFonts w:hint="default" w:ascii="Times New Roman" w:hAnsi="Times New Roman" w:cs="Times New Roman"/>
                <w:b/>
                <w:color w:val="auto"/>
                <w:sz w:val="21"/>
                <w:szCs w:val="21"/>
                <w:highlight w:val="none"/>
              </w:rPr>
              <w:t>废气污染源源强核算结果及相关参数一览表</w:t>
            </w:r>
          </w:p>
          <w:tbl>
            <w:tblPr>
              <w:tblStyle w:val="44"/>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
              <w:gridCol w:w="642"/>
              <w:gridCol w:w="734"/>
              <w:gridCol w:w="858"/>
              <w:gridCol w:w="648"/>
              <w:gridCol w:w="710"/>
              <w:gridCol w:w="856"/>
              <w:gridCol w:w="839"/>
              <w:gridCol w:w="777"/>
              <w:gridCol w:w="664"/>
              <w:gridCol w:w="785"/>
              <w:gridCol w:w="499"/>
              <w:gridCol w:w="499"/>
              <w:gridCol w:w="710"/>
              <w:gridCol w:w="715"/>
              <w:gridCol w:w="839"/>
              <w:gridCol w:w="777"/>
              <w:gridCol w:w="662"/>
              <w:gridCol w:w="705"/>
            </w:tblGrid>
            <w:tr w14:paraId="62CE2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2" w:hRule="atLeast"/>
                <w:jc w:val="center"/>
              </w:trPr>
              <w:tc>
                <w:tcPr>
                  <w:tcW w:w="210" w:type="pct"/>
                  <w:vMerge w:val="restart"/>
                  <w:tcBorders>
                    <w:left w:val="single" w:color="auto" w:sz="4" w:space="0"/>
                  </w:tcBorders>
                  <w:vAlign w:val="center"/>
                </w:tcPr>
                <w:p w14:paraId="4BA9F8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238" w:type="pct"/>
                  <w:vMerge w:val="restart"/>
                  <w:tcBorders>
                    <w:left w:val="single" w:color="auto" w:sz="4" w:space="0"/>
                  </w:tcBorders>
                  <w:vAlign w:val="center"/>
                </w:tcPr>
                <w:p w14:paraId="149625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272" w:type="pct"/>
                  <w:vMerge w:val="restart"/>
                  <w:tcBorders>
                    <w:left w:val="single" w:color="auto" w:sz="4" w:space="0"/>
                  </w:tcBorders>
                  <w:vAlign w:val="center"/>
                </w:tcPr>
                <w:p w14:paraId="410000D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工序/生产线</w:t>
                  </w:r>
                </w:p>
              </w:tc>
              <w:tc>
                <w:tcPr>
                  <w:tcW w:w="318" w:type="pct"/>
                  <w:vMerge w:val="restart"/>
                  <w:tcBorders>
                    <w:left w:val="single" w:color="auto" w:sz="4" w:space="0"/>
                  </w:tcBorders>
                  <w:vAlign w:val="center"/>
                </w:tcPr>
                <w:p w14:paraId="58B809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装置</w:t>
                  </w:r>
                </w:p>
              </w:tc>
              <w:tc>
                <w:tcPr>
                  <w:tcW w:w="240" w:type="pct"/>
                  <w:vMerge w:val="restart"/>
                  <w:tcBorders>
                    <w:right w:val="single" w:color="auto" w:sz="4" w:space="0"/>
                  </w:tcBorders>
                  <w:vAlign w:val="center"/>
                </w:tcPr>
                <w:p w14:paraId="62E62AB6">
                  <w:pPr>
                    <w:pStyle w:val="61"/>
                    <w:keepNext w:val="0"/>
                    <w:keepLines w:val="0"/>
                    <w:suppressLineNumbers w:val="0"/>
                    <w:spacing w:before="0" w:beforeAutospacing="0" w:after="0" w:afterAutospacing="0"/>
                    <w:ind w:left="0" w:right="0"/>
                    <w:jc w:val="center"/>
                    <w:rPr>
                      <w:rFonts w:hint="eastAsia"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产生量</w:t>
                  </w:r>
                  <w:r>
                    <w:rPr>
                      <w:rFonts w:hint="default" w:ascii="Times New Roman" w:hAnsi="Times New Roman" w:eastAsia="宋体" w:cs="Times New Roman"/>
                      <w:b/>
                      <w:bCs/>
                      <w:color w:val="auto"/>
                      <w:sz w:val="21"/>
                      <w:szCs w:val="21"/>
                      <w:highlight w:val="none"/>
                      <w:lang w:val="en-US" w:eastAsia="zh-CN"/>
                    </w:rPr>
                    <w:t>t/a</w:t>
                  </w:r>
                </w:p>
              </w:tc>
              <w:tc>
                <w:tcPr>
                  <w:tcW w:w="1425" w:type="pct"/>
                  <w:gridSpan w:val="5"/>
                  <w:tcBorders>
                    <w:bottom w:val="single" w:color="auto" w:sz="4" w:space="0"/>
                    <w:right w:val="single" w:color="auto" w:sz="4" w:space="0"/>
                  </w:tcBorders>
                  <w:vAlign w:val="center"/>
                </w:tcPr>
                <w:p w14:paraId="461CF4A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污染物产生</w:t>
                  </w:r>
                </w:p>
              </w:tc>
              <w:tc>
                <w:tcPr>
                  <w:tcW w:w="661" w:type="pct"/>
                  <w:gridSpan w:val="3"/>
                  <w:tcBorders>
                    <w:right w:val="single" w:color="auto" w:sz="4" w:space="0"/>
                  </w:tcBorders>
                  <w:vAlign w:val="center"/>
                </w:tcPr>
                <w:p w14:paraId="14ACC87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治理措施</w:t>
                  </w:r>
                </w:p>
              </w:tc>
              <w:tc>
                <w:tcPr>
                  <w:tcW w:w="1372" w:type="pct"/>
                  <w:gridSpan w:val="5"/>
                  <w:tcBorders>
                    <w:left w:val="single" w:color="auto" w:sz="4" w:space="0"/>
                  </w:tcBorders>
                  <w:vAlign w:val="center"/>
                </w:tcPr>
                <w:p w14:paraId="405C564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污染物排放</w:t>
                  </w:r>
                </w:p>
              </w:tc>
              <w:tc>
                <w:tcPr>
                  <w:tcW w:w="261" w:type="pct"/>
                  <w:vMerge w:val="restart"/>
                  <w:tcBorders>
                    <w:left w:val="single" w:color="auto" w:sz="4" w:space="0"/>
                  </w:tcBorders>
                  <w:vAlign w:val="center"/>
                </w:tcPr>
                <w:p w14:paraId="602BC49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eastAsia="zh-CN"/>
                    </w:rPr>
                    <w:t>排放时间</w:t>
                  </w:r>
                  <w:r>
                    <w:rPr>
                      <w:rFonts w:hint="default" w:ascii="Times New Roman" w:hAnsi="Times New Roman" w:eastAsia="宋体" w:cs="Times New Roman"/>
                      <w:b/>
                      <w:bCs/>
                      <w:color w:val="auto"/>
                      <w:sz w:val="21"/>
                      <w:szCs w:val="21"/>
                      <w:highlight w:val="none"/>
                      <w:lang w:val="en-US" w:eastAsia="zh-CN"/>
                    </w:rPr>
                    <w:t>/h</w:t>
                  </w:r>
                </w:p>
              </w:tc>
            </w:tr>
            <w:tr w14:paraId="63F03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7" w:hRule="atLeast"/>
                <w:jc w:val="center"/>
              </w:trPr>
              <w:tc>
                <w:tcPr>
                  <w:tcW w:w="210" w:type="pct"/>
                  <w:vMerge w:val="continue"/>
                  <w:tcBorders>
                    <w:left w:val="single" w:color="auto" w:sz="4" w:space="0"/>
                  </w:tcBorders>
                  <w:vAlign w:val="center"/>
                </w:tcPr>
                <w:p w14:paraId="758C7B5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38" w:type="pct"/>
                  <w:vMerge w:val="continue"/>
                  <w:tcBorders>
                    <w:left w:val="single" w:color="auto" w:sz="4" w:space="0"/>
                  </w:tcBorders>
                  <w:vAlign w:val="center"/>
                </w:tcPr>
                <w:p w14:paraId="6BDEFB0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72" w:type="pct"/>
                  <w:vMerge w:val="continue"/>
                  <w:tcBorders>
                    <w:left w:val="single" w:color="auto" w:sz="4" w:space="0"/>
                  </w:tcBorders>
                  <w:vAlign w:val="center"/>
                </w:tcPr>
                <w:p w14:paraId="018962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318" w:type="pct"/>
                  <w:vMerge w:val="continue"/>
                  <w:tcBorders>
                    <w:left w:val="single" w:color="auto" w:sz="4" w:space="0"/>
                  </w:tcBorders>
                  <w:vAlign w:val="center"/>
                </w:tcPr>
                <w:p w14:paraId="748ECC6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40" w:type="pct"/>
                  <w:vMerge w:val="continue"/>
                  <w:tcBorders>
                    <w:right w:val="single" w:color="auto" w:sz="4" w:space="0"/>
                  </w:tcBorders>
                  <w:vAlign w:val="center"/>
                </w:tcPr>
                <w:p w14:paraId="60BE6D1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p>
              </w:tc>
              <w:tc>
                <w:tcPr>
                  <w:tcW w:w="263" w:type="pct"/>
                  <w:tcBorders>
                    <w:top w:val="single" w:color="auto" w:sz="4" w:space="0"/>
                    <w:right w:val="single" w:color="auto" w:sz="4" w:space="0"/>
                  </w:tcBorders>
                  <w:vAlign w:val="center"/>
                </w:tcPr>
                <w:p w14:paraId="3BBEA9B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核算方法</w:t>
                  </w:r>
                </w:p>
              </w:tc>
              <w:tc>
                <w:tcPr>
                  <w:tcW w:w="317" w:type="pct"/>
                  <w:tcBorders>
                    <w:top w:val="single" w:color="auto" w:sz="4" w:space="0"/>
                    <w:left w:val="single" w:color="auto" w:sz="4" w:space="0"/>
                    <w:right w:val="single" w:color="auto" w:sz="4" w:space="0"/>
                  </w:tcBorders>
                  <w:vAlign w:val="center"/>
                </w:tcPr>
                <w:p w14:paraId="1C6BE1E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废气产生量m³/h</w:t>
                  </w:r>
                </w:p>
              </w:tc>
              <w:tc>
                <w:tcPr>
                  <w:tcW w:w="311" w:type="pct"/>
                  <w:tcBorders>
                    <w:top w:val="single" w:color="auto" w:sz="4" w:space="0"/>
                    <w:left w:val="single" w:color="auto" w:sz="4" w:space="0"/>
                    <w:right w:val="single" w:color="auto" w:sz="4" w:space="0"/>
                  </w:tcBorders>
                  <w:vAlign w:val="center"/>
                </w:tcPr>
                <w:p w14:paraId="5F07694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产生浓度mg/m³</w:t>
                  </w:r>
                </w:p>
              </w:tc>
              <w:tc>
                <w:tcPr>
                  <w:tcW w:w="288" w:type="pct"/>
                  <w:tcBorders>
                    <w:top w:val="single" w:color="auto" w:sz="4" w:space="0"/>
                    <w:left w:val="single" w:color="auto" w:sz="4" w:space="0"/>
                  </w:tcBorders>
                  <w:vAlign w:val="center"/>
                </w:tcPr>
                <w:p w14:paraId="37BBD1E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产生速率kg/h</w:t>
                  </w:r>
                </w:p>
              </w:tc>
              <w:tc>
                <w:tcPr>
                  <w:tcW w:w="246" w:type="pct"/>
                  <w:tcBorders>
                    <w:right w:val="single" w:color="auto" w:sz="4" w:space="0"/>
                  </w:tcBorders>
                  <w:vAlign w:val="center"/>
                </w:tcPr>
                <w:p w14:paraId="432E125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产生量t/a</w:t>
                  </w:r>
                </w:p>
              </w:tc>
              <w:tc>
                <w:tcPr>
                  <w:tcW w:w="291" w:type="pct"/>
                  <w:tcBorders>
                    <w:right w:val="single" w:color="auto" w:sz="4" w:space="0"/>
                  </w:tcBorders>
                  <w:vAlign w:val="center"/>
                </w:tcPr>
                <w:p w14:paraId="4733ED6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工艺</w:t>
                  </w:r>
                </w:p>
              </w:tc>
              <w:tc>
                <w:tcPr>
                  <w:tcW w:w="185" w:type="pct"/>
                  <w:tcBorders>
                    <w:left w:val="single" w:color="auto" w:sz="4" w:space="0"/>
                  </w:tcBorders>
                  <w:vAlign w:val="center"/>
                </w:tcPr>
                <w:p w14:paraId="5F83F05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w:t>
                  </w:r>
                </w:p>
                <w:p w14:paraId="3F71A95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效率</w:t>
                  </w:r>
                </w:p>
              </w:tc>
              <w:tc>
                <w:tcPr>
                  <w:tcW w:w="185" w:type="pct"/>
                  <w:tcBorders>
                    <w:right w:val="single" w:color="auto" w:sz="4" w:space="0"/>
                  </w:tcBorders>
                  <w:vAlign w:val="center"/>
                </w:tcPr>
                <w:p w14:paraId="47DD3DB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处理</w:t>
                  </w:r>
                </w:p>
                <w:p w14:paraId="6FBDCBB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效率</w:t>
                  </w:r>
                </w:p>
              </w:tc>
              <w:tc>
                <w:tcPr>
                  <w:tcW w:w="263" w:type="pct"/>
                  <w:tcBorders>
                    <w:left w:val="single" w:color="auto" w:sz="4" w:space="0"/>
                    <w:right w:val="single" w:color="auto" w:sz="4" w:space="0"/>
                  </w:tcBorders>
                  <w:vAlign w:val="center"/>
                </w:tcPr>
                <w:p w14:paraId="6102D6E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核算方法</w:t>
                  </w:r>
                </w:p>
              </w:tc>
              <w:tc>
                <w:tcPr>
                  <w:tcW w:w="265" w:type="pct"/>
                  <w:tcBorders>
                    <w:left w:val="single" w:color="auto" w:sz="4" w:space="0"/>
                    <w:right w:val="single" w:color="auto" w:sz="4" w:space="0"/>
                  </w:tcBorders>
                  <w:vAlign w:val="center"/>
                </w:tcPr>
                <w:p w14:paraId="17527A6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废气排放量</w:t>
                  </w:r>
                </w:p>
                <w:p w14:paraId="15C51F4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m³/h</w:t>
                  </w:r>
                </w:p>
              </w:tc>
              <w:tc>
                <w:tcPr>
                  <w:tcW w:w="311" w:type="pct"/>
                  <w:tcBorders>
                    <w:left w:val="single" w:color="auto" w:sz="4" w:space="0"/>
                    <w:right w:val="single" w:color="auto" w:sz="4" w:space="0"/>
                  </w:tcBorders>
                  <w:vAlign w:val="center"/>
                </w:tcPr>
                <w:p w14:paraId="5FCC132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浓度mg/m³</w:t>
                  </w:r>
                </w:p>
              </w:tc>
              <w:tc>
                <w:tcPr>
                  <w:tcW w:w="288" w:type="pct"/>
                  <w:tcBorders>
                    <w:left w:val="single" w:color="auto" w:sz="4" w:space="0"/>
                  </w:tcBorders>
                  <w:vAlign w:val="center"/>
                </w:tcPr>
                <w:p w14:paraId="58A9CDD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速率kg/h</w:t>
                  </w:r>
                </w:p>
              </w:tc>
              <w:tc>
                <w:tcPr>
                  <w:tcW w:w="245" w:type="pct"/>
                  <w:tcBorders>
                    <w:left w:val="single" w:color="auto" w:sz="4" w:space="0"/>
                  </w:tcBorders>
                  <w:vAlign w:val="center"/>
                </w:tcPr>
                <w:p w14:paraId="5F81954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lang w:val="en-US" w:eastAsia="zh-CN"/>
                    </w:rPr>
                    <w:t>量t/a</w:t>
                  </w:r>
                </w:p>
              </w:tc>
              <w:tc>
                <w:tcPr>
                  <w:tcW w:w="261" w:type="pct"/>
                  <w:vMerge w:val="continue"/>
                  <w:tcBorders>
                    <w:left w:val="single" w:color="auto" w:sz="4" w:space="0"/>
                  </w:tcBorders>
                  <w:vAlign w:val="center"/>
                </w:tcPr>
                <w:p w14:paraId="0551CA69">
                  <w:pPr>
                    <w:pStyle w:val="61"/>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1"/>
                      <w:szCs w:val="21"/>
                      <w:highlight w:val="none"/>
                      <w:lang w:eastAsia="zh-CN"/>
                    </w:rPr>
                  </w:pPr>
                </w:p>
              </w:tc>
            </w:tr>
            <w:tr w14:paraId="0B8F9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restart"/>
                  <w:tcBorders>
                    <w:left w:val="single" w:color="auto" w:sz="4" w:space="0"/>
                  </w:tcBorders>
                  <w:vAlign w:val="center"/>
                </w:tcPr>
                <w:p w14:paraId="3256D09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无组织</w:t>
                  </w:r>
                </w:p>
              </w:tc>
              <w:tc>
                <w:tcPr>
                  <w:tcW w:w="238" w:type="pct"/>
                  <w:vMerge w:val="restart"/>
                  <w:tcBorders>
                    <w:left w:val="single" w:color="auto" w:sz="4" w:space="0"/>
                  </w:tcBorders>
                  <w:vAlign w:val="center"/>
                </w:tcPr>
                <w:p w14:paraId="312E391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颗粒物</w:t>
                  </w:r>
                </w:p>
              </w:tc>
              <w:tc>
                <w:tcPr>
                  <w:tcW w:w="272" w:type="pct"/>
                  <w:tcBorders>
                    <w:left w:val="single" w:color="auto" w:sz="4" w:space="0"/>
                  </w:tcBorders>
                  <w:vAlign w:val="center"/>
                </w:tcPr>
                <w:p w14:paraId="6AAE7DA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卸料</w:t>
                  </w:r>
                </w:p>
              </w:tc>
              <w:tc>
                <w:tcPr>
                  <w:tcW w:w="318" w:type="pct"/>
                  <w:tcBorders>
                    <w:left w:val="single" w:color="auto" w:sz="4" w:space="0"/>
                  </w:tcBorders>
                  <w:vAlign w:val="center"/>
                </w:tcPr>
                <w:p w14:paraId="61679F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堆放点</w:t>
                  </w:r>
                </w:p>
              </w:tc>
              <w:tc>
                <w:tcPr>
                  <w:tcW w:w="240" w:type="pct"/>
                  <w:tcBorders>
                    <w:right w:val="single" w:color="auto" w:sz="4" w:space="0"/>
                  </w:tcBorders>
                  <w:vAlign w:val="center"/>
                </w:tcPr>
                <w:p w14:paraId="0657688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olor w:val="auto"/>
                      <w:lang w:val="en-US" w:eastAsia="zh-CN"/>
                    </w:rPr>
                    <w:t>0.8</w:t>
                  </w:r>
                </w:p>
              </w:tc>
              <w:tc>
                <w:tcPr>
                  <w:tcW w:w="263" w:type="pct"/>
                  <w:vMerge w:val="restart"/>
                  <w:tcBorders>
                    <w:right w:val="single" w:color="auto" w:sz="4" w:space="0"/>
                  </w:tcBorders>
                  <w:vAlign w:val="center"/>
                </w:tcPr>
                <w:p w14:paraId="454B70C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产污系数法</w:t>
                  </w:r>
                </w:p>
              </w:tc>
              <w:tc>
                <w:tcPr>
                  <w:tcW w:w="317" w:type="pct"/>
                  <w:tcBorders>
                    <w:left w:val="single" w:color="auto" w:sz="4" w:space="0"/>
                    <w:right w:val="single" w:color="auto" w:sz="4" w:space="0"/>
                  </w:tcBorders>
                  <w:vAlign w:val="center"/>
                </w:tcPr>
                <w:p w14:paraId="7A18117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9336D6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61E7E4B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0.62</w:t>
                  </w:r>
                </w:p>
              </w:tc>
              <w:tc>
                <w:tcPr>
                  <w:tcW w:w="246" w:type="pct"/>
                  <w:tcBorders>
                    <w:right w:val="single" w:color="auto" w:sz="4" w:space="0"/>
                  </w:tcBorders>
                  <w:vAlign w:val="center"/>
                </w:tcPr>
                <w:p w14:paraId="4567D9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w:t>
                  </w:r>
                </w:p>
              </w:tc>
              <w:tc>
                <w:tcPr>
                  <w:tcW w:w="291" w:type="pct"/>
                  <w:tcBorders>
                    <w:right w:val="single" w:color="auto" w:sz="4" w:space="0"/>
                  </w:tcBorders>
                  <w:vAlign w:val="center"/>
                </w:tcPr>
                <w:p w14:paraId="19EAF30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34D96750">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7C8BBB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restart"/>
                  <w:tcBorders>
                    <w:right w:val="single" w:color="auto" w:sz="4" w:space="0"/>
                  </w:tcBorders>
                  <w:vAlign w:val="center"/>
                </w:tcPr>
                <w:p w14:paraId="3A67014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产污系数法</w:t>
                  </w:r>
                </w:p>
              </w:tc>
              <w:tc>
                <w:tcPr>
                  <w:tcW w:w="265" w:type="pct"/>
                  <w:tcBorders>
                    <w:left w:val="single" w:color="auto" w:sz="4" w:space="0"/>
                    <w:right w:val="single" w:color="auto" w:sz="4" w:space="0"/>
                  </w:tcBorders>
                  <w:vAlign w:val="center"/>
                </w:tcPr>
                <w:p w14:paraId="3E5C1E6F">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71ED744">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2726158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0.62</w:t>
                  </w:r>
                </w:p>
              </w:tc>
              <w:tc>
                <w:tcPr>
                  <w:tcW w:w="662" w:type="dxa"/>
                  <w:tcBorders>
                    <w:top w:val="single" w:color="auto" w:sz="4" w:space="0"/>
                    <w:left w:val="single" w:color="auto" w:sz="4" w:space="0"/>
                    <w:bottom w:val="single" w:color="auto" w:sz="4" w:space="0"/>
                  </w:tcBorders>
                  <w:vAlign w:val="center"/>
                </w:tcPr>
                <w:p w14:paraId="78CE65DD">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0.8</w:t>
                  </w:r>
                </w:p>
              </w:tc>
              <w:tc>
                <w:tcPr>
                  <w:tcW w:w="261" w:type="pct"/>
                  <w:tcBorders>
                    <w:top w:val="single" w:color="auto" w:sz="4" w:space="0"/>
                    <w:left w:val="single" w:color="auto" w:sz="4" w:space="0"/>
                  </w:tcBorders>
                  <w:vAlign w:val="center"/>
                </w:tcPr>
                <w:p w14:paraId="4EC2145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1300</w:t>
                  </w:r>
                </w:p>
              </w:tc>
            </w:tr>
            <w:tr w14:paraId="6F91F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67D98895">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0AEF852E">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3AC8A885">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分拣</w:t>
                  </w:r>
                </w:p>
              </w:tc>
              <w:tc>
                <w:tcPr>
                  <w:tcW w:w="318" w:type="pct"/>
                  <w:tcBorders>
                    <w:left w:val="single" w:color="auto" w:sz="4" w:space="0"/>
                  </w:tcBorders>
                  <w:vAlign w:val="center"/>
                </w:tcPr>
                <w:p w14:paraId="5906EC76">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240" w:type="pct"/>
                  <w:tcBorders>
                    <w:right w:val="single" w:color="auto" w:sz="4" w:space="0"/>
                  </w:tcBorders>
                  <w:vAlign w:val="center"/>
                </w:tcPr>
                <w:p w14:paraId="19BDF681">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0.4</w:t>
                  </w:r>
                </w:p>
              </w:tc>
              <w:tc>
                <w:tcPr>
                  <w:tcW w:w="263" w:type="pct"/>
                  <w:vMerge w:val="continue"/>
                  <w:tcBorders>
                    <w:right w:val="single" w:color="auto" w:sz="4" w:space="0"/>
                  </w:tcBorders>
                  <w:vAlign w:val="center"/>
                </w:tcPr>
                <w:p w14:paraId="62E18ECB">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3EE2B6F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2D1A00E">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222AC19">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0.15</w:t>
                  </w:r>
                </w:p>
              </w:tc>
              <w:tc>
                <w:tcPr>
                  <w:tcW w:w="246" w:type="pct"/>
                  <w:tcBorders>
                    <w:right w:val="single" w:color="auto" w:sz="4" w:space="0"/>
                  </w:tcBorders>
                  <w:vAlign w:val="center"/>
                </w:tcPr>
                <w:p w14:paraId="54E46A27">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0.4</w:t>
                  </w:r>
                </w:p>
              </w:tc>
              <w:tc>
                <w:tcPr>
                  <w:tcW w:w="291" w:type="pct"/>
                  <w:tcBorders>
                    <w:right w:val="single" w:color="auto" w:sz="4" w:space="0"/>
                  </w:tcBorders>
                  <w:vAlign w:val="center"/>
                </w:tcPr>
                <w:p w14:paraId="6A516C8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25FC161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0A5018F3">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641A4467">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3B53E83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A0FF87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0E9FC7F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0.15</w:t>
                  </w:r>
                </w:p>
              </w:tc>
              <w:tc>
                <w:tcPr>
                  <w:tcW w:w="662" w:type="dxa"/>
                  <w:tcBorders>
                    <w:top w:val="single" w:color="auto" w:sz="4" w:space="0"/>
                    <w:left w:val="single" w:color="auto" w:sz="4" w:space="0"/>
                    <w:bottom w:val="single" w:color="auto" w:sz="4" w:space="0"/>
                  </w:tcBorders>
                  <w:vAlign w:val="center"/>
                </w:tcPr>
                <w:p w14:paraId="5294BE6E">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0.4</w:t>
                  </w:r>
                </w:p>
              </w:tc>
              <w:tc>
                <w:tcPr>
                  <w:tcW w:w="261" w:type="pct"/>
                  <w:vMerge w:val="restart"/>
                  <w:tcBorders>
                    <w:left w:val="single" w:color="auto" w:sz="4" w:space="0"/>
                  </w:tcBorders>
                  <w:vAlign w:val="center"/>
                </w:tcPr>
                <w:p w14:paraId="22175194">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2600</w:t>
                  </w:r>
                </w:p>
              </w:tc>
            </w:tr>
            <w:tr w14:paraId="6F231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35BC4D52">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1E51413B">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15E9249E">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压实打包</w:t>
                  </w:r>
                </w:p>
              </w:tc>
              <w:tc>
                <w:tcPr>
                  <w:tcW w:w="318" w:type="pct"/>
                  <w:tcBorders>
                    <w:left w:val="single" w:color="auto" w:sz="4" w:space="0"/>
                  </w:tcBorders>
                  <w:vAlign w:val="center"/>
                </w:tcPr>
                <w:p w14:paraId="73293A60">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立式液压打包机</w:t>
                  </w:r>
                </w:p>
              </w:tc>
              <w:tc>
                <w:tcPr>
                  <w:tcW w:w="240" w:type="pct"/>
                  <w:tcBorders>
                    <w:right w:val="single" w:color="auto" w:sz="4" w:space="0"/>
                  </w:tcBorders>
                  <w:vAlign w:val="center"/>
                </w:tcPr>
                <w:p w14:paraId="07C9A95E">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0.48</w:t>
                  </w:r>
                </w:p>
              </w:tc>
              <w:tc>
                <w:tcPr>
                  <w:tcW w:w="263" w:type="pct"/>
                  <w:vMerge w:val="continue"/>
                  <w:tcBorders>
                    <w:right w:val="single" w:color="auto" w:sz="4" w:space="0"/>
                  </w:tcBorders>
                  <w:vAlign w:val="center"/>
                </w:tcPr>
                <w:p w14:paraId="2DCB92B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08FD141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33DCB8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2C65BEB8">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0.18</w:t>
                  </w:r>
                </w:p>
              </w:tc>
              <w:tc>
                <w:tcPr>
                  <w:tcW w:w="246" w:type="pct"/>
                  <w:tcBorders>
                    <w:right w:val="single" w:color="auto" w:sz="4" w:space="0"/>
                  </w:tcBorders>
                  <w:vAlign w:val="center"/>
                </w:tcPr>
                <w:p w14:paraId="3A30F573">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0.48</w:t>
                  </w:r>
                </w:p>
              </w:tc>
              <w:tc>
                <w:tcPr>
                  <w:tcW w:w="291" w:type="pct"/>
                  <w:tcBorders>
                    <w:right w:val="single" w:color="auto" w:sz="4" w:space="0"/>
                  </w:tcBorders>
                  <w:vAlign w:val="center"/>
                </w:tcPr>
                <w:p w14:paraId="7F8D424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09F97B4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2B51E09">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204FEF6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3BC85A5D">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0BA68BF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12FA0C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0.18</w:t>
                  </w:r>
                </w:p>
              </w:tc>
              <w:tc>
                <w:tcPr>
                  <w:tcW w:w="245" w:type="pct"/>
                  <w:tcBorders>
                    <w:top w:val="single" w:color="auto" w:sz="4" w:space="0"/>
                    <w:left w:val="single" w:color="auto" w:sz="4" w:space="0"/>
                    <w:bottom w:val="single" w:color="auto" w:sz="4" w:space="0"/>
                  </w:tcBorders>
                  <w:vAlign w:val="center"/>
                </w:tcPr>
                <w:p w14:paraId="49B83E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0.48</w:t>
                  </w:r>
                </w:p>
              </w:tc>
              <w:tc>
                <w:tcPr>
                  <w:tcW w:w="261" w:type="pct"/>
                  <w:vMerge w:val="continue"/>
                  <w:tcBorders>
                    <w:left w:val="single" w:color="auto" w:sz="4" w:space="0"/>
                  </w:tcBorders>
                  <w:vAlign w:val="center"/>
                </w:tcPr>
                <w:p w14:paraId="66F63CF8">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r>
            <w:tr w14:paraId="5ACF6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9" w:hRule="atLeast"/>
                <w:jc w:val="center"/>
              </w:trPr>
              <w:tc>
                <w:tcPr>
                  <w:tcW w:w="210" w:type="pct"/>
                  <w:vMerge w:val="continue"/>
                  <w:tcBorders>
                    <w:left w:val="single" w:color="auto" w:sz="4" w:space="0"/>
                  </w:tcBorders>
                  <w:vAlign w:val="center"/>
                </w:tcPr>
                <w:p w14:paraId="4F77E555">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38" w:type="pct"/>
                  <w:vMerge w:val="continue"/>
                  <w:tcBorders>
                    <w:left w:val="single" w:color="auto" w:sz="4" w:space="0"/>
                  </w:tcBorders>
                  <w:vAlign w:val="center"/>
                </w:tcPr>
                <w:p w14:paraId="08CD778F">
                  <w:pPr>
                    <w:pStyle w:val="61"/>
                    <w:keepNext w:val="0"/>
                    <w:keepLines w:val="0"/>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c>
                <w:tcPr>
                  <w:tcW w:w="272" w:type="pct"/>
                  <w:tcBorders>
                    <w:left w:val="single" w:color="auto" w:sz="4" w:space="0"/>
                  </w:tcBorders>
                  <w:vAlign w:val="center"/>
                </w:tcPr>
                <w:p w14:paraId="1546DC16">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堆放</w:t>
                  </w:r>
                </w:p>
              </w:tc>
              <w:tc>
                <w:tcPr>
                  <w:tcW w:w="318" w:type="pct"/>
                  <w:tcBorders>
                    <w:left w:val="single" w:color="auto" w:sz="4" w:space="0"/>
                  </w:tcBorders>
                  <w:vAlign w:val="center"/>
                </w:tcPr>
                <w:p w14:paraId="663318A4">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贮存区</w:t>
                  </w:r>
                </w:p>
              </w:tc>
              <w:tc>
                <w:tcPr>
                  <w:tcW w:w="240" w:type="pct"/>
                  <w:tcBorders>
                    <w:right w:val="single" w:color="auto" w:sz="4" w:space="0"/>
                  </w:tcBorders>
                  <w:vAlign w:val="center"/>
                </w:tcPr>
                <w:p w14:paraId="71BB391A">
                  <w:pPr>
                    <w:pStyle w:val="61"/>
                    <w:keepNext w:val="0"/>
                    <w:keepLines w:val="0"/>
                    <w:suppressLineNumbers w:val="0"/>
                    <w:spacing w:before="0" w:beforeAutospacing="0" w:after="0" w:afterAutospacing="0"/>
                    <w:ind w:left="0" w:right="0"/>
                    <w:jc w:val="center"/>
                    <w:rPr>
                      <w:rFonts w:hint="default"/>
                      <w:color w:val="auto"/>
                      <w:lang w:val="en-US" w:eastAsia="zh-CN"/>
                    </w:rPr>
                  </w:pPr>
                  <w:r>
                    <w:rPr>
                      <w:rFonts w:hint="eastAsia"/>
                      <w:color w:val="auto"/>
                      <w:lang w:val="en-US" w:eastAsia="zh-CN"/>
                    </w:rPr>
                    <w:t>0.90</w:t>
                  </w:r>
                </w:p>
              </w:tc>
              <w:tc>
                <w:tcPr>
                  <w:tcW w:w="263" w:type="pct"/>
                  <w:vMerge w:val="continue"/>
                  <w:tcBorders>
                    <w:right w:val="single" w:color="auto" w:sz="4" w:space="0"/>
                  </w:tcBorders>
                  <w:vAlign w:val="center"/>
                </w:tcPr>
                <w:p w14:paraId="05BF60E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317" w:type="pct"/>
                  <w:tcBorders>
                    <w:left w:val="single" w:color="auto" w:sz="4" w:space="0"/>
                    <w:right w:val="single" w:color="auto" w:sz="4" w:space="0"/>
                  </w:tcBorders>
                  <w:vAlign w:val="center"/>
                </w:tcPr>
                <w:p w14:paraId="4C8B5151">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A80BEE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31BBA98C">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0.10</w:t>
                  </w:r>
                </w:p>
              </w:tc>
              <w:tc>
                <w:tcPr>
                  <w:tcW w:w="246" w:type="pct"/>
                  <w:tcBorders>
                    <w:right w:val="single" w:color="auto" w:sz="4" w:space="0"/>
                  </w:tcBorders>
                  <w:vAlign w:val="center"/>
                </w:tcPr>
                <w:p w14:paraId="149FD036">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0.90</w:t>
                  </w:r>
                </w:p>
              </w:tc>
              <w:tc>
                <w:tcPr>
                  <w:tcW w:w="291" w:type="pct"/>
                  <w:tcBorders>
                    <w:right w:val="single" w:color="auto" w:sz="4" w:space="0"/>
                  </w:tcBorders>
                  <w:vAlign w:val="center"/>
                </w:tcPr>
                <w:p w14:paraId="75D3170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656D402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319B38B">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40AB65F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65" w:type="pct"/>
                  <w:tcBorders>
                    <w:left w:val="single" w:color="auto" w:sz="4" w:space="0"/>
                    <w:right w:val="single" w:color="auto" w:sz="4" w:space="0"/>
                  </w:tcBorders>
                  <w:vAlign w:val="center"/>
                </w:tcPr>
                <w:p w14:paraId="683F88E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ABB46B0">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77" w:type="dxa"/>
                  <w:tcBorders>
                    <w:top w:val="single" w:color="auto" w:sz="4" w:space="0"/>
                    <w:left w:val="single" w:color="auto" w:sz="4" w:space="0"/>
                    <w:bottom w:val="single" w:color="auto" w:sz="4" w:space="0"/>
                  </w:tcBorders>
                  <w:vAlign w:val="center"/>
                </w:tcPr>
                <w:p w14:paraId="21DD7BC6">
                  <w:pPr>
                    <w:pStyle w:val="61"/>
                    <w:keepNext w:val="0"/>
                    <w:keepLines w:val="0"/>
                    <w:suppressLineNumbers w:val="0"/>
                    <w:spacing w:before="0" w:beforeAutospacing="0" w:after="0" w:afterAutospacing="0"/>
                    <w:ind w:left="0" w:leftChars="0" w:right="0" w:righ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0.10</w:t>
                  </w:r>
                </w:p>
              </w:tc>
              <w:tc>
                <w:tcPr>
                  <w:tcW w:w="662" w:type="dxa"/>
                  <w:tcBorders>
                    <w:top w:val="single" w:color="auto" w:sz="4" w:space="0"/>
                    <w:left w:val="single" w:color="auto" w:sz="4" w:space="0"/>
                    <w:bottom w:val="single" w:color="auto" w:sz="4" w:space="0"/>
                  </w:tcBorders>
                  <w:vAlign w:val="center"/>
                </w:tcPr>
                <w:p w14:paraId="738511CA">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0.90</w:t>
                  </w:r>
                </w:p>
              </w:tc>
              <w:tc>
                <w:tcPr>
                  <w:tcW w:w="261" w:type="pct"/>
                  <w:tcBorders>
                    <w:left w:val="single" w:color="auto" w:sz="4" w:space="0"/>
                  </w:tcBorders>
                  <w:vAlign w:val="center"/>
                </w:tcPr>
                <w:p w14:paraId="2E1ECC5D">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8760</w:t>
                  </w:r>
                </w:p>
              </w:tc>
            </w:tr>
            <w:tr w14:paraId="0C561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483470C1">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restart"/>
                  <w:tcBorders>
                    <w:left w:val="single" w:color="auto" w:sz="4" w:space="0"/>
                  </w:tcBorders>
                  <w:vAlign w:val="center"/>
                </w:tcPr>
                <w:p w14:paraId="3E43629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臭气浓度</w:t>
                  </w:r>
                </w:p>
              </w:tc>
              <w:tc>
                <w:tcPr>
                  <w:tcW w:w="272" w:type="pct"/>
                  <w:tcBorders>
                    <w:left w:val="single" w:color="auto" w:sz="4" w:space="0"/>
                  </w:tcBorders>
                  <w:vAlign w:val="center"/>
                </w:tcPr>
                <w:p w14:paraId="7E5E4BAC">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卸料</w:t>
                  </w:r>
                </w:p>
              </w:tc>
              <w:tc>
                <w:tcPr>
                  <w:tcW w:w="318" w:type="pct"/>
                  <w:tcBorders>
                    <w:left w:val="single" w:color="auto" w:sz="4" w:space="0"/>
                  </w:tcBorders>
                  <w:vAlign w:val="center"/>
                </w:tcPr>
                <w:p w14:paraId="25688EB2">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40" w:type="pct"/>
                  <w:tcBorders>
                    <w:right w:val="single" w:color="auto" w:sz="4" w:space="0"/>
                  </w:tcBorders>
                  <w:vAlign w:val="center"/>
                </w:tcPr>
                <w:p w14:paraId="3FCF720F">
                  <w:pPr>
                    <w:pStyle w:val="61"/>
                    <w:keepNext w:val="0"/>
                    <w:keepLines w:val="0"/>
                    <w:suppressLineNumbers w:val="0"/>
                    <w:spacing w:before="0" w:beforeAutospacing="0" w:after="0" w:afterAutospacing="0"/>
                    <w:ind w:left="-120" w:leftChars="-50" w:right="-120" w:rightChars="-5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749D91C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4799AB46">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24A86D97">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2A17CDE9">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16D11E0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79E6690">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6686173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6234BE1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0159AC9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588C8D9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649E54B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75E128B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51047E55">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restart"/>
                  <w:tcBorders>
                    <w:left w:val="single" w:color="auto" w:sz="4" w:space="0"/>
                  </w:tcBorders>
                  <w:vAlign w:val="center"/>
                </w:tcPr>
                <w:p w14:paraId="5D77F99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2600</w:t>
                  </w:r>
                </w:p>
              </w:tc>
            </w:tr>
            <w:tr w14:paraId="49928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5F50D3A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22B789D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272" w:type="pct"/>
                  <w:tcBorders>
                    <w:left w:val="single" w:color="auto" w:sz="4" w:space="0"/>
                  </w:tcBorders>
                  <w:vAlign w:val="center"/>
                </w:tcPr>
                <w:p w14:paraId="3130176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分拣</w:t>
                  </w:r>
                </w:p>
              </w:tc>
              <w:tc>
                <w:tcPr>
                  <w:tcW w:w="318" w:type="pct"/>
                  <w:tcBorders>
                    <w:left w:val="single" w:color="auto" w:sz="4" w:space="0"/>
                  </w:tcBorders>
                  <w:vAlign w:val="center"/>
                </w:tcPr>
                <w:p w14:paraId="50224E7E">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240" w:type="pct"/>
                  <w:tcBorders>
                    <w:right w:val="single" w:color="auto" w:sz="4" w:space="0"/>
                  </w:tcBorders>
                  <w:vAlign w:val="center"/>
                </w:tcPr>
                <w:p w14:paraId="5197722E">
                  <w:pPr>
                    <w:pStyle w:val="61"/>
                    <w:keepNext w:val="0"/>
                    <w:keepLines w:val="0"/>
                    <w:suppressLineNumbers w:val="0"/>
                    <w:spacing w:before="0" w:beforeAutospacing="0" w:after="0" w:afterAutospacing="0"/>
                    <w:ind w:left="-120" w:leftChars="-50" w:right="-120" w:rightChars="-5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12E18C40">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3C370F1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C20603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735BC03A">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7F30975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EA9698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062941D8">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185" w:type="pct"/>
                  <w:vAlign w:val="center"/>
                </w:tcPr>
                <w:p w14:paraId="35964AD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36C333B6">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085026F1">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65E91CE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B18CA6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60CD38AC">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continue"/>
                  <w:tcBorders>
                    <w:left w:val="single" w:color="auto" w:sz="4" w:space="0"/>
                  </w:tcBorders>
                  <w:vAlign w:val="center"/>
                </w:tcPr>
                <w:p w14:paraId="70DC223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r>
            <w:tr w14:paraId="587E4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5C5F8BF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4EAC556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272" w:type="pct"/>
                  <w:tcBorders>
                    <w:left w:val="single" w:color="auto" w:sz="4" w:space="0"/>
                  </w:tcBorders>
                  <w:vAlign w:val="center"/>
                </w:tcPr>
                <w:p w14:paraId="750E9C72">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压实打包</w:t>
                  </w:r>
                </w:p>
              </w:tc>
              <w:tc>
                <w:tcPr>
                  <w:tcW w:w="318" w:type="pct"/>
                  <w:tcBorders>
                    <w:left w:val="single" w:color="auto" w:sz="4" w:space="0"/>
                  </w:tcBorders>
                  <w:vAlign w:val="center"/>
                </w:tcPr>
                <w:p w14:paraId="6D59F87A">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立式液压打包机</w:t>
                  </w:r>
                </w:p>
              </w:tc>
              <w:tc>
                <w:tcPr>
                  <w:tcW w:w="240" w:type="pct"/>
                  <w:tcBorders>
                    <w:right w:val="single" w:color="auto" w:sz="4" w:space="0"/>
                  </w:tcBorders>
                  <w:vAlign w:val="center"/>
                </w:tcPr>
                <w:p w14:paraId="0BD91497">
                  <w:pPr>
                    <w:pStyle w:val="61"/>
                    <w:keepNext w:val="0"/>
                    <w:keepLines w:val="0"/>
                    <w:suppressLineNumbers w:val="0"/>
                    <w:spacing w:before="0" w:beforeAutospacing="0" w:after="0" w:afterAutospacing="0"/>
                    <w:ind w:left="-120" w:leftChars="-50" w:right="-120" w:rightChars="-5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0F37CBD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06F03EC4">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453A4AB6">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04C70FB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3132DC6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297D116D">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54F4879E">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185" w:type="pct"/>
                  <w:vAlign w:val="center"/>
                </w:tcPr>
                <w:p w14:paraId="3F69E11F">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422414A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17D29372">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5C15F0F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18DF1E53">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662E05DA">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vMerge w:val="continue"/>
                  <w:tcBorders>
                    <w:left w:val="single" w:color="auto" w:sz="4" w:space="0"/>
                  </w:tcBorders>
                  <w:vAlign w:val="center"/>
                </w:tcPr>
                <w:p w14:paraId="6A0F8B7F">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r>
            <w:tr w14:paraId="6267B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210" w:type="pct"/>
                  <w:vMerge w:val="continue"/>
                  <w:tcBorders>
                    <w:left w:val="single" w:color="auto" w:sz="4" w:space="0"/>
                  </w:tcBorders>
                  <w:vAlign w:val="center"/>
                </w:tcPr>
                <w:p w14:paraId="78EE44A5">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38" w:type="pct"/>
                  <w:vMerge w:val="continue"/>
                  <w:tcBorders>
                    <w:left w:val="single" w:color="auto" w:sz="4" w:space="0"/>
                  </w:tcBorders>
                  <w:vAlign w:val="center"/>
                </w:tcPr>
                <w:p w14:paraId="67E9CE48">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p>
              </w:tc>
              <w:tc>
                <w:tcPr>
                  <w:tcW w:w="272" w:type="pct"/>
                  <w:tcBorders>
                    <w:left w:val="single" w:color="auto" w:sz="4" w:space="0"/>
                  </w:tcBorders>
                  <w:vAlign w:val="center"/>
                </w:tcPr>
                <w:p w14:paraId="76A85255">
                  <w:pPr>
                    <w:pStyle w:val="61"/>
                    <w:keepNext w:val="0"/>
                    <w:keepLines w:val="0"/>
                    <w:suppressLineNumbers w:val="0"/>
                    <w:spacing w:before="0" w:beforeAutospacing="0" w:after="0" w:afterAutospacing="0"/>
                    <w:ind w:left="0" w:right="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入库</w:t>
                  </w:r>
                </w:p>
              </w:tc>
              <w:tc>
                <w:tcPr>
                  <w:tcW w:w="318" w:type="pct"/>
                  <w:tcBorders>
                    <w:left w:val="single" w:color="auto" w:sz="4" w:space="0"/>
                  </w:tcBorders>
                  <w:vAlign w:val="center"/>
                </w:tcPr>
                <w:p w14:paraId="09EB83FA">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40" w:type="pct"/>
                  <w:tcBorders>
                    <w:right w:val="single" w:color="auto" w:sz="4" w:space="0"/>
                  </w:tcBorders>
                  <w:vAlign w:val="center"/>
                </w:tcPr>
                <w:p w14:paraId="063835D8">
                  <w:pPr>
                    <w:pStyle w:val="61"/>
                    <w:keepNext w:val="0"/>
                    <w:keepLines w:val="0"/>
                    <w:suppressLineNumbers w:val="0"/>
                    <w:spacing w:before="0" w:beforeAutospacing="0" w:after="0" w:afterAutospacing="0"/>
                    <w:ind w:left="-120" w:leftChars="-50" w:right="-120" w:rightChars="-5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少量</w:t>
                  </w:r>
                </w:p>
              </w:tc>
              <w:tc>
                <w:tcPr>
                  <w:tcW w:w="263" w:type="pct"/>
                  <w:vMerge w:val="continue"/>
                  <w:tcBorders>
                    <w:right w:val="single" w:color="auto" w:sz="4" w:space="0"/>
                  </w:tcBorders>
                  <w:vAlign w:val="center"/>
                </w:tcPr>
                <w:p w14:paraId="1415FA2E">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317" w:type="pct"/>
                  <w:tcBorders>
                    <w:left w:val="single" w:color="auto" w:sz="4" w:space="0"/>
                    <w:right w:val="single" w:color="auto" w:sz="4" w:space="0"/>
                  </w:tcBorders>
                  <w:vAlign w:val="center"/>
                </w:tcPr>
                <w:p w14:paraId="5D4DF4E5">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51777AC">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tcBorders>
                  <w:vAlign w:val="center"/>
                </w:tcPr>
                <w:p w14:paraId="5F60403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6" w:type="pct"/>
                  <w:tcBorders>
                    <w:right w:val="single" w:color="auto" w:sz="4" w:space="0"/>
                  </w:tcBorders>
                  <w:vAlign w:val="center"/>
                </w:tcPr>
                <w:p w14:paraId="74E7B563">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91" w:type="pct"/>
                  <w:tcBorders>
                    <w:right w:val="single" w:color="auto" w:sz="4" w:space="0"/>
                  </w:tcBorders>
                  <w:vAlign w:val="center"/>
                </w:tcPr>
                <w:p w14:paraId="18EA718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加强厂房通风</w:t>
                  </w:r>
                </w:p>
              </w:tc>
              <w:tc>
                <w:tcPr>
                  <w:tcW w:w="185" w:type="pct"/>
                  <w:tcBorders>
                    <w:left w:val="single" w:color="auto" w:sz="4" w:space="0"/>
                  </w:tcBorders>
                  <w:vAlign w:val="center"/>
                </w:tcPr>
                <w:p w14:paraId="5590B514">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85" w:type="pct"/>
                  <w:vAlign w:val="center"/>
                </w:tcPr>
                <w:p w14:paraId="24FD6960">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63" w:type="pct"/>
                  <w:vMerge w:val="continue"/>
                  <w:tcBorders>
                    <w:right w:val="single" w:color="auto" w:sz="4" w:space="0"/>
                  </w:tcBorders>
                  <w:vAlign w:val="center"/>
                </w:tcPr>
                <w:p w14:paraId="1D3841D9">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265" w:type="pct"/>
                  <w:tcBorders>
                    <w:left w:val="single" w:color="auto" w:sz="4" w:space="0"/>
                    <w:right w:val="single" w:color="auto" w:sz="4" w:space="0"/>
                  </w:tcBorders>
                  <w:vAlign w:val="center"/>
                </w:tcPr>
                <w:p w14:paraId="090F874F">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11" w:type="pct"/>
                  <w:tcBorders>
                    <w:left w:val="single" w:color="auto" w:sz="4" w:space="0"/>
                    <w:right w:val="single" w:color="auto" w:sz="4" w:space="0"/>
                  </w:tcBorders>
                  <w:vAlign w:val="center"/>
                </w:tcPr>
                <w:p w14:paraId="79FEF1E2">
                  <w:pPr>
                    <w:pStyle w:val="61"/>
                    <w:keepNext w:val="0"/>
                    <w:keepLines w:val="0"/>
                    <w:suppressLineNumbers w:val="0"/>
                    <w:spacing w:before="0" w:beforeAutospacing="0" w:after="0" w:afterAutospacing="0"/>
                    <w:ind w:left="0" w:leftChars="0" w:right="0" w:right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88" w:type="pct"/>
                  <w:tcBorders>
                    <w:top w:val="single" w:color="auto" w:sz="4" w:space="0"/>
                    <w:left w:val="single" w:color="auto" w:sz="4" w:space="0"/>
                    <w:bottom w:val="single" w:color="auto" w:sz="4" w:space="0"/>
                  </w:tcBorders>
                  <w:vAlign w:val="center"/>
                </w:tcPr>
                <w:p w14:paraId="608B80D7">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45" w:type="pct"/>
                  <w:tcBorders>
                    <w:top w:val="single" w:color="auto" w:sz="4" w:space="0"/>
                    <w:left w:val="single" w:color="auto" w:sz="4" w:space="0"/>
                    <w:bottom w:val="single" w:color="auto" w:sz="4" w:space="0"/>
                  </w:tcBorders>
                  <w:vAlign w:val="center"/>
                </w:tcPr>
                <w:p w14:paraId="54087FDB">
                  <w:pPr>
                    <w:pStyle w:val="61"/>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少量</w:t>
                  </w:r>
                </w:p>
              </w:tc>
              <w:tc>
                <w:tcPr>
                  <w:tcW w:w="261" w:type="pct"/>
                  <w:tcBorders>
                    <w:left w:val="single" w:color="auto" w:sz="4" w:space="0"/>
                    <w:bottom w:val="single" w:color="auto" w:sz="4" w:space="0"/>
                  </w:tcBorders>
                  <w:vAlign w:val="center"/>
                </w:tcPr>
                <w:p w14:paraId="07149FEC">
                  <w:pPr>
                    <w:pStyle w:val="61"/>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3650</w:t>
                  </w:r>
                </w:p>
              </w:tc>
            </w:tr>
          </w:tbl>
          <w:p w14:paraId="55D84E3F">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kern w:val="2"/>
                <w:sz w:val="24"/>
                <w:szCs w:val="24"/>
                <w:highlight w:val="none"/>
                <w:lang w:val="en-US" w:eastAsia="zh-CN" w:bidi="ar-SA"/>
              </w:rPr>
            </w:pPr>
          </w:p>
          <w:p w14:paraId="1FB9403E">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2、监测要求</w:t>
            </w:r>
          </w:p>
          <w:p w14:paraId="63ADD8A9">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按照《固定污染源排污许可分类管理名录》（2019年版），本项目属于</w:t>
            </w:r>
            <w:r>
              <w:rPr>
                <w:rFonts w:hint="eastAsia" w:cs="Times New Roman"/>
                <w:b w:val="0"/>
                <w:bCs w:val="0"/>
                <w:color w:val="auto"/>
                <w:kern w:val="2"/>
                <w:sz w:val="24"/>
                <w:szCs w:val="24"/>
                <w:highlight w:val="none"/>
                <w:lang w:val="en-US" w:eastAsia="zh-CN" w:bidi="ar-SA"/>
              </w:rPr>
              <w:t>重点</w:t>
            </w:r>
            <w:r>
              <w:rPr>
                <w:rFonts w:hint="default" w:ascii="Times New Roman" w:hAnsi="Times New Roman" w:eastAsia="宋体" w:cs="Times New Roman"/>
                <w:b w:val="0"/>
                <w:bCs w:val="0"/>
                <w:color w:val="auto"/>
                <w:kern w:val="2"/>
                <w:sz w:val="24"/>
                <w:szCs w:val="24"/>
                <w:highlight w:val="none"/>
                <w:lang w:val="en-US" w:eastAsia="zh-CN" w:bidi="ar-SA"/>
              </w:rPr>
              <w:t>管理。本项目参照《排污单位自行监测技术指南 工业固体废物和危险废物治理》（HJ 12</w:t>
            </w:r>
            <w:r>
              <w:rPr>
                <w:rFonts w:hint="eastAsia" w:cs="Times New Roman"/>
                <w:b w:val="0"/>
                <w:bCs w:val="0"/>
                <w:color w:val="auto"/>
                <w:kern w:val="2"/>
                <w:sz w:val="24"/>
                <w:szCs w:val="24"/>
                <w:highlight w:val="none"/>
                <w:lang w:val="en-US" w:eastAsia="zh-CN" w:bidi="ar-SA"/>
              </w:rPr>
              <w:t>50</w:t>
            </w:r>
            <w:r>
              <w:rPr>
                <w:rFonts w:hint="default" w:ascii="Times New Roman" w:hAnsi="Times New Roman" w:eastAsia="宋体" w:cs="Times New Roman"/>
                <w:b w:val="0"/>
                <w:bCs w:val="0"/>
                <w:color w:val="auto"/>
                <w:kern w:val="2"/>
                <w:sz w:val="24"/>
                <w:szCs w:val="24"/>
                <w:highlight w:val="none"/>
                <w:lang w:val="en-US" w:eastAsia="zh-CN" w:bidi="ar-SA"/>
              </w:rPr>
              <w:t>-202</w:t>
            </w:r>
            <w:r>
              <w:rPr>
                <w:rFonts w:hint="eastAsia" w:cs="Times New Roman"/>
                <w:b w:val="0"/>
                <w:bCs w:val="0"/>
                <w:color w:val="auto"/>
                <w:kern w:val="2"/>
                <w:sz w:val="24"/>
                <w:szCs w:val="24"/>
                <w:highlight w:val="none"/>
                <w:lang w:val="en-US" w:eastAsia="zh-CN" w:bidi="ar-SA"/>
              </w:rPr>
              <w:t>2</w:t>
            </w:r>
            <w:r>
              <w:rPr>
                <w:rFonts w:hint="default" w:ascii="Times New Roman" w:hAnsi="Times New Roman" w:eastAsia="宋体" w:cs="Times New Roman"/>
                <w:b w:val="0"/>
                <w:bCs w:val="0"/>
                <w:color w:val="auto"/>
                <w:kern w:val="2"/>
                <w:sz w:val="24"/>
                <w:szCs w:val="24"/>
                <w:highlight w:val="none"/>
                <w:lang w:val="en-US" w:eastAsia="zh-CN" w:bidi="ar-SA"/>
              </w:rPr>
              <w:t>）中表8一般工业固体废物和危险废物治理单位无组织废气排放监测点位、监测指标及最低监测频次</w:t>
            </w:r>
            <w:r>
              <w:rPr>
                <w:rFonts w:hint="eastAsia"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结合项目运营期间污染物排放特点，制定本项目的污染源监测计划，建设单位需保证按监测计划实施。</w:t>
            </w:r>
          </w:p>
          <w:p w14:paraId="4A756938">
            <w:pPr>
              <w:rPr>
                <w:rFonts w:hint="default" w:ascii="Times New Roman" w:hAnsi="Times New Roman" w:cs="Times New Roman"/>
                <w:b w:val="0"/>
                <w:bCs w:val="0"/>
                <w:color w:val="auto"/>
                <w:kern w:val="2"/>
                <w:sz w:val="24"/>
                <w:szCs w:val="24"/>
                <w:highlight w:val="none"/>
                <w:lang w:val="en-US" w:eastAsia="zh-CN" w:bidi="ar-SA"/>
              </w:rPr>
            </w:pPr>
          </w:p>
          <w:p w14:paraId="2BDA3E42">
            <w:pPr>
              <w:rPr>
                <w:rFonts w:hint="default" w:ascii="Times New Roman" w:hAnsi="Times New Roman" w:cs="Times New Roman"/>
                <w:b w:val="0"/>
                <w:bCs w:val="0"/>
                <w:color w:val="auto"/>
                <w:kern w:val="2"/>
                <w:sz w:val="24"/>
                <w:szCs w:val="24"/>
                <w:highlight w:val="none"/>
                <w:lang w:val="en-US" w:eastAsia="zh-CN" w:bidi="ar-SA"/>
              </w:rPr>
            </w:pPr>
          </w:p>
          <w:p w14:paraId="0465C5ED">
            <w:pPr>
              <w:rPr>
                <w:rFonts w:hint="default" w:ascii="Times New Roman" w:hAnsi="Times New Roman" w:cs="Times New Roman"/>
                <w:b w:val="0"/>
                <w:bCs w:val="0"/>
                <w:color w:val="auto"/>
                <w:kern w:val="2"/>
                <w:sz w:val="24"/>
                <w:szCs w:val="24"/>
                <w:highlight w:val="none"/>
                <w:lang w:val="en-US" w:eastAsia="zh-CN" w:bidi="ar-SA"/>
              </w:rPr>
            </w:pPr>
          </w:p>
          <w:p w14:paraId="49BC88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表4-</w:t>
            </w:r>
            <w:r>
              <w:rPr>
                <w:rFonts w:hint="default" w:ascii="Times New Roman" w:hAnsi="Times New Roman" w:cs="Times New Roman"/>
                <w:b/>
                <w:color w:val="auto"/>
                <w:sz w:val="21"/>
                <w:szCs w:val="21"/>
                <w:highlight w:val="none"/>
                <w:lang w:val="en-US" w:eastAsia="zh-CN"/>
              </w:rPr>
              <w:t>2</w:t>
            </w:r>
            <w:r>
              <w:rPr>
                <w:rFonts w:hint="default" w:ascii="Times New Roman" w:hAnsi="Times New Roman" w:cs="Times New Roman"/>
                <w:b/>
                <w:color w:val="auto"/>
                <w:sz w:val="21"/>
                <w:szCs w:val="21"/>
                <w:highlight w:val="none"/>
              </w:rPr>
              <w:t>废气监测计划表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1173"/>
              <w:gridCol w:w="1335"/>
              <w:gridCol w:w="1211"/>
              <w:gridCol w:w="1928"/>
              <w:gridCol w:w="1711"/>
              <w:gridCol w:w="5263"/>
            </w:tblGrid>
            <w:tr w14:paraId="12AD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13E149FF">
                  <w:pPr>
                    <w:pStyle w:val="12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项目</w:t>
                  </w:r>
                </w:p>
              </w:tc>
              <w:tc>
                <w:tcPr>
                  <w:tcW w:w="435" w:type="pct"/>
                  <w:vMerge w:val="restart"/>
                  <w:vAlign w:val="center"/>
                </w:tcPr>
                <w:p w14:paraId="6F3E76A4">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监测点位</w:t>
                  </w:r>
                </w:p>
              </w:tc>
              <w:tc>
                <w:tcPr>
                  <w:tcW w:w="495" w:type="pct"/>
                  <w:vMerge w:val="restart"/>
                  <w:vAlign w:val="center"/>
                </w:tcPr>
                <w:p w14:paraId="5535CBAB">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监测因子</w:t>
                  </w:r>
                </w:p>
              </w:tc>
              <w:tc>
                <w:tcPr>
                  <w:tcW w:w="449" w:type="pct"/>
                  <w:vMerge w:val="restart"/>
                  <w:vAlign w:val="center"/>
                </w:tcPr>
                <w:p w14:paraId="67578C36">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监测频次</w:t>
                  </w:r>
                </w:p>
              </w:tc>
              <w:tc>
                <w:tcPr>
                  <w:tcW w:w="3300" w:type="pct"/>
                  <w:gridSpan w:val="3"/>
                  <w:vAlign w:val="center"/>
                </w:tcPr>
                <w:p w14:paraId="6C8E4BDA">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执行标准</w:t>
                  </w:r>
                </w:p>
              </w:tc>
            </w:tr>
            <w:tr w14:paraId="3179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31480C37">
                  <w:pPr>
                    <w:pStyle w:val="124"/>
                    <w:bidi w:val="0"/>
                    <w:rPr>
                      <w:rFonts w:hint="default" w:ascii="Times New Roman" w:hAnsi="Times New Roman" w:cs="Times New Roman"/>
                      <w:b/>
                      <w:bCs/>
                      <w:color w:val="auto"/>
                      <w:highlight w:val="none"/>
                      <w:lang w:eastAsia="zh-CN"/>
                    </w:rPr>
                  </w:pPr>
                </w:p>
              </w:tc>
              <w:tc>
                <w:tcPr>
                  <w:tcW w:w="435" w:type="pct"/>
                  <w:vMerge w:val="continue"/>
                  <w:vAlign w:val="center"/>
                </w:tcPr>
                <w:p w14:paraId="62A94522">
                  <w:pPr>
                    <w:pStyle w:val="124"/>
                    <w:bidi w:val="0"/>
                    <w:rPr>
                      <w:rFonts w:hint="default" w:ascii="Times New Roman" w:hAnsi="Times New Roman" w:cs="Times New Roman"/>
                      <w:b/>
                      <w:bCs/>
                      <w:color w:val="auto"/>
                      <w:highlight w:val="none"/>
                      <w:lang w:eastAsia="zh-CN"/>
                    </w:rPr>
                  </w:pPr>
                </w:p>
              </w:tc>
              <w:tc>
                <w:tcPr>
                  <w:tcW w:w="495" w:type="pct"/>
                  <w:vMerge w:val="continue"/>
                  <w:vAlign w:val="center"/>
                </w:tcPr>
                <w:p w14:paraId="0CBF4F46">
                  <w:pPr>
                    <w:pStyle w:val="124"/>
                    <w:bidi w:val="0"/>
                    <w:rPr>
                      <w:rFonts w:hint="default" w:ascii="Times New Roman" w:hAnsi="Times New Roman" w:cs="Times New Roman"/>
                      <w:b/>
                      <w:bCs/>
                      <w:color w:val="auto"/>
                      <w:highlight w:val="none"/>
                      <w:lang w:eastAsia="zh-CN"/>
                    </w:rPr>
                  </w:pPr>
                </w:p>
              </w:tc>
              <w:tc>
                <w:tcPr>
                  <w:tcW w:w="449" w:type="pct"/>
                  <w:vMerge w:val="continue"/>
                  <w:vAlign w:val="center"/>
                </w:tcPr>
                <w:p w14:paraId="1ACD0270">
                  <w:pPr>
                    <w:pStyle w:val="124"/>
                    <w:bidi w:val="0"/>
                    <w:rPr>
                      <w:rFonts w:hint="default" w:ascii="Times New Roman" w:hAnsi="Times New Roman" w:cs="Times New Roman"/>
                      <w:b/>
                      <w:bCs/>
                      <w:color w:val="auto"/>
                      <w:highlight w:val="none"/>
                      <w:lang w:eastAsia="zh-CN"/>
                    </w:rPr>
                  </w:pPr>
                </w:p>
              </w:tc>
              <w:tc>
                <w:tcPr>
                  <w:tcW w:w="715" w:type="pct"/>
                  <w:vAlign w:val="center"/>
                </w:tcPr>
                <w:p w14:paraId="79A99636">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排放浓度（mg/</w:t>
                  </w:r>
                  <w:r>
                    <w:rPr>
                      <w:rFonts w:hint="default" w:ascii="Times New Roman" w:hAnsi="Times New Roman" w:eastAsia="Times New Roman" w:cs="Times New Roman"/>
                      <w:b/>
                      <w:bCs/>
                      <w:color w:val="auto"/>
                      <w:highlight w:val="none"/>
                      <w:lang w:eastAsia="zh-CN"/>
                    </w:rPr>
                    <w:t>m³</w:t>
                  </w:r>
                  <w:r>
                    <w:rPr>
                      <w:rFonts w:hint="default" w:ascii="Times New Roman" w:hAnsi="Times New Roman" w:cs="Times New Roman"/>
                      <w:b/>
                      <w:bCs/>
                      <w:color w:val="auto"/>
                      <w:highlight w:val="none"/>
                      <w:lang w:eastAsia="zh-CN"/>
                    </w:rPr>
                    <w:t>）</w:t>
                  </w:r>
                </w:p>
              </w:tc>
              <w:tc>
                <w:tcPr>
                  <w:tcW w:w="634" w:type="pct"/>
                  <w:vAlign w:val="center"/>
                </w:tcPr>
                <w:p w14:paraId="31A03FF7">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最高允许排放速率（kg/h）</w:t>
                  </w:r>
                </w:p>
              </w:tc>
              <w:tc>
                <w:tcPr>
                  <w:tcW w:w="1950" w:type="pct"/>
                  <w:vAlign w:val="center"/>
                </w:tcPr>
                <w:p w14:paraId="080CD388">
                  <w:pPr>
                    <w:pStyle w:val="124"/>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eastAsia="zh-CN"/>
                    </w:rPr>
                    <w:t>标准名称</w:t>
                  </w:r>
                </w:p>
              </w:tc>
            </w:tr>
            <w:tr w14:paraId="5EC78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restart"/>
                  <w:vAlign w:val="center"/>
                </w:tcPr>
                <w:p w14:paraId="5EAC2C31">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无组织废气</w:t>
                  </w:r>
                </w:p>
              </w:tc>
              <w:tc>
                <w:tcPr>
                  <w:tcW w:w="435" w:type="pct"/>
                  <w:vMerge w:val="restart"/>
                  <w:vAlign w:val="center"/>
                </w:tcPr>
                <w:p w14:paraId="73BF6678">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厂界</w:t>
                  </w:r>
                </w:p>
              </w:tc>
              <w:tc>
                <w:tcPr>
                  <w:tcW w:w="495" w:type="pct"/>
                  <w:vAlign w:val="center"/>
                </w:tcPr>
                <w:p w14:paraId="417913B5">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颗粒物</w:t>
                  </w:r>
                </w:p>
              </w:tc>
              <w:tc>
                <w:tcPr>
                  <w:tcW w:w="449" w:type="pct"/>
                  <w:vAlign w:val="center"/>
                </w:tcPr>
                <w:p w14:paraId="69543588">
                  <w:pPr>
                    <w:pStyle w:val="124"/>
                    <w:bidi w:val="0"/>
                    <w:rPr>
                      <w:rFonts w:hint="eastAsia"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1次/</w:t>
                  </w:r>
                  <w:r>
                    <w:rPr>
                      <w:rFonts w:hint="eastAsia" w:cs="Times New Roman"/>
                      <w:color w:val="auto"/>
                      <w:highlight w:val="none"/>
                      <w:lang w:val="en-US" w:eastAsia="zh-CN"/>
                    </w:rPr>
                    <w:t>季度</w:t>
                  </w:r>
                </w:p>
              </w:tc>
              <w:tc>
                <w:tcPr>
                  <w:tcW w:w="715" w:type="pct"/>
                  <w:vAlign w:val="center"/>
                </w:tcPr>
                <w:p w14:paraId="4C379301">
                  <w:pPr>
                    <w:pStyle w:val="124"/>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0</w:t>
                  </w:r>
                </w:p>
              </w:tc>
              <w:tc>
                <w:tcPr>
                  <w:tcW w:w="634" w:type="pct"/>
                  <w:vAlign w:val="center"/>
                </w:tcPr>
                <w:p w14:paraId="00C33B31">
                  <w:pPr>
                    <w:pStyle w:val="12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w:t>
                  </w:r>
                </w:p>
              </w:tc>
              <w:tc>
                <w:tcPr>
                  <w:tcW w:w="1950" w:type="pct"/>
                  <w:vAlign w:val="center"/>
                </w:tcPr>
                <w:p w14:paraId="53ACE966">
                  <w:pPr>
                    <w:pStyle w:val="12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广东省《大气污染物排放限值》（DB44/27-2001）第二时段排放限值</w:t>
                  </w:r>
                </w:p>
              </w:tc>
            </w:tr>
            <w:tr w14:paraId="7398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9" w:type="pct"/>
                  <w:vMerge w:val="continue"/>
                  <w:vAlign w:val="center"/>
                </w:tcPr>
                <w:p w14:paraId="2EDBC806">
                  <w:pPr>
                    <w:pStyle w:val="124"/>
                    <w:bidi w:val="0"/>
                    <w:rPr>
                      <w:rFonts w:hint="default" w:ascii="Times New Roman" w:hAnsi="Times New Roman" w:cs="Times New Roman"/>
                      <w:color w:val="auto"/>
                      <w:highlight w:val="none"/>
                      <w:lang w:val="en-US" w:eastAsia="zh-CN"/>
                    </w:rPr>
                  </w:pPr>
                </w:p>
              </w:tc>
              <w:tc>
                <w:tcPr>
                  <w:tcW w:w="435" w:type="pct"/>
                  <w:vMerge w:val="continue"/>
                  <w:vAlign w:val="center"/>
                </w:tcPr>
                <w:p w14:paraId="7B91D363">
                  <w:pPr>
                    <w:pStyle w:val="124"/>
                    <w:bidi w:val="0"/>
                    <w:rPr>
                      <w:rFonts w:hint="default" w:ascii="Times New Roman" w:hAnsi="Times New Roman" w:cs="Times New Roman"/>
                      <w:color w:val="auto"/>
                      <w:highlight w:val="none"/>
                      <w:lang w:eastAsia="zh-CN"/>
                    </w:rPr>
                  </w:pPr>
                </w:p>
              </w:tc>
              <w:tc>
                <w:tcPr>
                  <w:tcW w:w="495" w:type="pct"/>
                  <w:vAlign w:val="center"/>
                </w:tcPr>
                <w:p w14:paraId="090F45F2">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臭气浓度</w:t>
                  </w:r>
                </w:p>
              </w:tc>
              <w:tc>
                <w:tcPr>
                  <w:tcW w:w="449" w:type="pct"/>
                  <w:vAlign w:val="center"/>
                </w:tcPr>
                <w:p w14:paraId="06C0E524">
                  <w:pPr>
                    <w:pStyle w:val="124"/>
                    <w:bidi w:val="0"/>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1次/</w:t>
                  </w:r>
                  <w:r>
                    <w:rPr>
                      <w:rFonts w:hint="eastAsia" w:cs="Times New Roman"/>
                      <w:color w:val="auto"/>
                      <w:highlight w:val="none"/>
                      <w:lang w:val="en-US" w:eastAsia="zh-CN"/>
                    </w:rPr>
                    <w:t>季度</w:t>
                  </w:r>
                </w:p>
              </w:tc>
              <w:tc>
                <w:tcPr>
                  <w:tcW w:w="715" w:type="pct"/>
                  <w:vAlign w:val="center"/>
                </w:tcPr>
                <w:p w14:paraId="2F1BAAF0">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20（无量纲）</w:t>
                  </w:r>
                </w:p>
              </w:tc>
              <w:tc>
                <w:tcPr>
                  <w:tcW w:w="634" w:type="pct"/>
                  <w:vAlign w:val="center"/>
                </w:tcPr>
                <w:p w14:paraId="37789ED8">
                  <w:pPr>
                    <w:pStyle w:val="124"/>
                    <w:bidi w:val="0"/>
                    <w:ind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950" w:type="pct"/>
                  <w:vAlign w:val="center"/>
                </w:tcPr>
                <w:p w14:paraId="27585BAB">
                  <w:pPr>
                    <w:pStyle w:val="124"/>
                    <w:bidi w:val="0"/>
                    <w:ind w:firstLine="0" w:firstLineChars="0"/>
                    <w:rPr>
                      <w:rFonts w:hint="default" w:ascii="Times New Roman" w:hAnsi="Times New Roman" w:cs="Times New Roman"/>
                      <w:color w:val="auto"/>
                      <w:highlight w:val="none"/>
                      <w:lang w:eastAsia="zh-CN"/>
                    </w:rPr>
                  </w:pPr>
                  <w:r>
                    <w:rPr>
                      <w:rFonts w:hint="default" w:ascii="Times New Roman" w:hAnsi="Times New Roman" w:eastAsia="Times New Roman" w:cs="Times New Roman"/>
                      <w:color w:val="auto"/>
                      <w:highlight w:val="none"/>
                      <w:lang w:val="en-US" w:eastAsia="zh-CN"/>
                    </w:rPr>
                    <w:t>《恶臭污染物排放标准》（GB 14554-93）表1二级标准中的新扩改建标准</w:t>
                  </w:r>
                </w:p>
              </w:tc>
            </w:tr>
          </w:tbl>
          <w:p w14:paraId="706FF971">
            <w:pPr>
              <w:pStyle w:val="30"/>
              <w:numPr>
                <w:ilvl w:val="0"/>
                <w:numId w:val="0"/>
              </w:numPr>
              <w:tabs>
                <w:tab w:val="left" w:pos="0"/>
              </w:tabs>
              <w:spacing w:after="0" w:line="360" w:lineRule="auto"/>
              <w:ind w:left="0" w:leftChars="0" w:firstLine="420" w:firstLineChars="0"/>
              <w:rPr>
                <w:rFonts w:hint="default" w:ascii="Times New Roman" w:hAnsi="Times New Roman" w:eastAsia="宋体" w:cs="Times New Roman"/>
                <w:b/>
                <w:bCs/>
                <w:color w:val="auto"/>
                <w:kern w:val="2"/>
                <w:sz w:val="24"/>
                <w:szCs w:val="24"/>
                <w:highlight w:val="none"/>
                <w:lang w:val="en-US" w:eastAsia="zh-CN" w:bidi="ar-SA"/>
              </w:rPr>
            </w:pPr>
          </w:p>
          <w:p w14:paraId="6077E021">
            <w:pPr>
              <w:pStyle w:val="21"/>
              <w:ind w:firstLine="480"/>
              <w:rPr>
                <w:rFonts w:hint="default" w:ascii="Times New Roman" w:hAnsi="Times New Roman" w:eastAsia="宋体" w:cs="Times New Roman"/>
                <w:color w:val="auto"/>
                <w:kern w:val="0"/>
                <w:highlight w:val="none"/>
                <w:lang w:val="en-US" w:eastAsia="zh-CN"/>
              </w:rPr>
            </w:pPr>
          </w:p>
        </w:tc>
      </w:tr>
    </w:tbl>
    <w:p w14:paraId="6E3161C1">
      <w:pPr>
        <w:rPr>
          <w:rFonts w:hint="default" w:ascii="Times New Roman" w:hAnsi="Times New Roman" w:eastAsia="宋体" w:cs="Times New Roman"/>
          <w:color w:val="auto"/>
          <w:highlight w:val="none"/>
        </w:rPr>
        <w:sectPr>
          <w:pgSz w:w="16838" w:h="11906" w:orient="landscape"/>
          <w:pgMar w:top="1797" w:right="1440" w:bottom="179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72"/>
      </w:tblGrid>
      <w:tr w14:paraId="07C1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4" w:hRule="atLeast"/>
        </w:trPr>
        <w:tc>
          <w:tcPr>
            <w:tcW w:w="249" w:type="pct"/>
            <w:vAlign w:val="center"/>
          </w:tcPr>
          <w:p w14:paraId="746C9628">
            <w:pPr>
              <w:numPr>
                <w:ilvl w:val="1"/>
                <w:numId w:val="0"/>
              </w:numPr>
              <w:tabs>
                <w:tab w:val="left" w:pos="420"/>
              </w:tabs>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运营期环境影响和保护措施</w:t>
            </w:r>
          </w:p>
        </w:tc>
        <w:tc>
          <w:tcPr>
            <w:tcW w:w="4750" w:type="pct"/>
            <w:vAlign w:val="center"/>
          </w:tcPr>
          <w:p w14:paraId="1BB173E9">
            <w:pPr>
              <w:pStyle w:val="30"/>
              <w:numPr>
                <w:ilvl w:val="0"/>
                <w:numId w:val="0"/>
              </w:numPr>
              <w:tabs>
                <w:tab w:val="left" w:pos="0"/>
              </w:tabs>
              <w:spacing w:after="0" w:line="360" w:lineRule="auto"/>
              <w:ind w:left="0" w:leftChars="0" w:firstLine="420" w:firstLineChars="0"/>
              <w:rPr>
                <w:rFonts w:hint="default" w:ascii="Times New Roman" w:hAnsi="Times New Roman" w:cs="Times New Roman"/>
                <w:b/>
                <w:bCs/>
                <w:color w:val="auto"/>
                <w:sz w:val="24"/>
                <w:highlight w:val="none"/>
              </w:rPr>
            </w:pPr>
            <w:r>
              <w:rPr>
                <w:rFonts w:hint="eastAsia"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w:t>
            </w:r>
            <w:r>
              <w:rPr>
                <w:rFonts w:hint="default" w:ascii="Times New Roman" w:hAnsi="Times New Roman" w:cs="Times New Roman"/>
                <w:b/>
                <w:bCs/>
                <w:color w:val="auto"/>
                <w:sz w:val="24"/>
                <w:highlight w:val="none"/>
              </w:rPr>
              <w:t>废气污染源源强核算分析</w:t>
            </w:r>
          </w:p>
          <w:p w14:paraId="49D72B81">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szCs w:val="24"/>
                <w:highlight w:val="none"/>
                <w:lang w:eastAsia="zh-CN"/>
              </w:rPr>
              <w:t>项目废气主要为</w:t>
            </w:r>
            <w:r>
              <w:rPr>
                <w:rFonts w:hint="eastAsia"/>
                <w:color w:val="auto"/>
                <w:lang w:val="en-US" w:eastAsia="zh-CN"/>
              </w:rPr>
              <w:t>卸料、</w:t>
            </w:r>
            <w:r>
              <w:rPr>
                <w:rFonts w:hint="eastAsia" w:cs="Times New Roman"/>
                <w:color w:val="auto"/>
                <w:sz w:val="24"/>
                <w:szCs w:val="24"/>
                <w:highlight w:val="none"/>
                <w:lang w:val="en-US" w:eastAsia="zh-CN"/>
              </w:rPr>
              <w:t>分拣、打包入库</w:t>
            </w:r>
            <w:r>
              <w:rPr>
                <w:rFonts w:hint="default" w:ascii="Times New Roman" w:hAnsi="Times New Roman" w:cs="Times New Roman"/>
                <w:color w:val="auto"/>
                <w:sz w:val="24"/>
                <w:szCs w:val="24"/>
                <w:highlight w:val="none"/>
                <w:lang w:val="en-US" w:eastAsia="zh-CN"/>
              </w:rPr>
              <w:t>工序</w:t>
            </w:r>
            <w:r>
              <w:rPr>
                <w:rFonts w:hint="eastAsia" w:cs="Times New Roman"/>
                <w:color w:val="auto"/>
                <w:sz w:val="24"/>
                <w:szCs w:val="24"/>
                <w:highlight w:val="none"/>
                <w:lang w:val="en-US" w:eastAsia="zh-CN"/>
              </w:rPr>
              <w:t>工序产生的</w:t>
            </w:r>
            <w:r>
              <w:rPr>
                <w:rFonts w:hint="default" w:ascii="Times New Roman" w:hAnsi="Times New Roman" w:cs="Times New Roman"/>
                <w:color w:val="auto"/>
                <w:sz w:val="24"/>
                <w:szCs w:val="24"/>
                <w:highlight w:val="none"/>
                <w:lang w:val="en-US" w:eastAsia="zh-CN"/>
              </w:rPr>
              <w:t>臭气浓度</w:t>
            </w:r>
            <w:r>
              <w:rPr>
                <w:rFonts w:hint="eastAsia"/>
                <w:color w:val="auto"/>
                <w:lang w:val="en-US" w:eastAsia="zh-CN"/>
              </w:rPr>
              <w:t>和</w:t>
            </w:r>
            <w:r>
              <w:rPr>
                <w:rFonts w:hint="eastAsia" w:cs="Times New Roman"/>
                <w:color w:val="auto"/>
                <w:sz w:val="24"/>
                <w:szCs w:val="24"/>
                <w:highlight w:val="none"/>
                <w:lang w:val="en-US" w:eastAsia="zh-CN"/>
              </w:rPr>
              <w:t>颗粒物</w:t>
            </w:r>
            <w:r>
              <w:rPr>
                <w:rFonts w:hint="default" w:ascii="Times New Roman" w:hAnsi="Times New Roman" w:cs="Times New Roman"/>
                <w:color w:val="auto"/>
                <w:sz w:val="24"/>
                <w:szCs w:val="24"/>
                <w:highlight w:val="none"/>
                <w:lang w:val="en-US" w:eastAsia="zh-CN"/>
              </w:rPr>
              <w:t>。</w:t>
            </w:r>
          </w:p>
          <w:p w14:paraId="71AC0ACD">
            <w:pPr>
              <w:pStyle w:val="21"/>
              <w:bidi w:val="0"/>
              <w:rPr>
                <w:rFonts w:hint="default" w:ascii="Times New Roman" w:hAnsi="Times New Roman" w:cs="Times New Roman"/>
                <w:color w:val="auto"/>
                <w:highlight w:val="none"/>
                <w:lang w:val="en-US" w:eastAsia="zh-CN"/>
              </w:rPr>
            </w:pPr>
            <w:r>
              <w:rPr>
                <w:rFonts w:hint="eastAsia" w:cs="Times New Roman"/>
                <w:b/>
                <w:bCs/>
                <w:color w:val="auto"/>
                <w:highlight w:val="none"/>
                <w:lang w:val="en-US" w:eastAsia="zh-CN"/>
              </w:rPr>
              <w:t>A</w:t>
            </w:r>
            <w:r>
              <w:rPr>
                <w:rFonts w:hint="default" w:ascii="Times New Roman" w:hAnsi="Times New Roman" w:cs="Times New Roman"/>
                <w:b/>
                <w:bCs/>
                <w:color w:val="auto"/>
                <w:highlight w:val="none"/>
                <w:lang w:val="en-US" w:eastAsia="zh-CN"/>
              </w:rPr>
              <w:t>.臭气浓度</w:t>
            </w:r>
          </w:p>
          <w:p w14:paraId="7D3ED12A">
            <w:pPr>
              <w:pStyle w:val="21"/>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w:t>
            </w:r>
            <w:r>
              <w:rPr>
                <w:rFonts w:hint="eastAsia" w:cs="Times New Roman"/>
                <w:color w:val="auto"/>
                <w:highlight w:val="none"/>
                <w:lang w:val="en-US" w:eastAsia="zh-CN"/>
              </w:rPr>
              <w:t>在卸料、分拣、压实打包、入库堆放过程中</w:t>
            </w:r>
            <w:r>
              <w:rPr>
                <w:rFonts w:hint="default" w:ascii="Times New Roman" w:hAnsi="Times New Roman" w:cs="Times New Roman"/>
                <w:color w:val="auto"/>
                <w:highlight w:val="none"/>
                <w:lang w:val="en-US" w:eastAsia="zh-CN"/>
              </w:rPr>
              <w:t>会伴有异味产生，以臭气浓度为评价因子，</w:t>
            </w:r>
            <w:r>
              <w:rPr>
                <w:rFonts w:hint="default" w:ascii="Times New Roman" w:hAnsi="Times New Roman" w:eastAsia="宋体" w:cs="Times New Roman"/>
                <w:color w:val="auto"/>
                <w:sz w:val="24"/>
                <w:highlight w:val="none"/>
                <w:lang w:val="en-US" w:eastAsia="zh-CN"/>
              </w:rPr>
              <w:t>其产生量及浓度较低，本评价不进行定量分析</w:t>
            </w:r>
            <w:r>
              <w:rPr>
                <w:rFonts w:hint="default" w:ascii="Times New Roman" w:hAnsi="Times New Roman" w:cs="Times New Roman"/>
                <w:color w:val="auto"/>
                <w:highlight w:val="none"/>
                <w:lang w:val="en-US" w:eastAsia="zh-CN"/>
              </w:rPr>
              <w:t>。恶臭通过加强车间管理后以无组织形式在车间排放，对外环境影响较小。</w:t>
            </w:r>
          </w:p>
          <w:p w14:paraId="52ADF252">
            <w:pPr>
              <w:spacing w:line="360" w:lineRule="auto"/>
              <w:ind w:firstLine="480" w:firstLineChars="200"/>
              <w:rPr>
                <w:rFonts w:hint="default" w:ascii="Times New Roman" w:hAnsi="Times New Roman" w:cs="Times New Roman"/>
                <w:color w:val="auto"/>
                <w:highlight w:val="none"/>
                <w:lang w:val="en-US" w:eastAsia="zh-CN"/>
              </w:rPr>
            </w:pPr>
            <w:r>
              <w:rPr>
                <w:rFonts w:hint="eastAsia" w:cs="Times New Roman"/>
                <w:b/>
                <w:bCs/>
                <w:color w:val="auto"/>
                <w:highlight w:val="none"/>
                <w:lang w:val="en-US" w:eastAsia="zh-CN"/>
              </w:rPr>
              <w:t>B</w:t>
            </w:r>
            <w:r>
              <w:rPr>
                <w:rFonts w:hint="default" w:ascii="Times New Roman" w:hAnsi="Times New Roman" w:cs="Times New Roman"/>
                <w:b/>
                <w:bCs/>
                <w:color w:val="auto"/>
                <w:highlight w:val="none"/>
                <w:lang w:val="en-US" w:eastAsia="zh-CN"/>
              </w:rPr>
              <w:t>.颗粒物</w:t>
            </w:r>
          </w:p>
          <w:p w14:paraId="1A098649">
            <w:pPr>
              <w:pStyle w:val="21"/>
              <w:bidi w:val="0"/>
              <w:rPr>
                <w:rFonts w:hint="default" w:cs="Times New Roman"/>
                <w:color w:val="auto"/>
                <w:highlight w:val="none"/>
                <w:lang w:val="en-US" w:eastAsia="zh-CN"/>
              </w:rPr>
            </w:pPr>
            <w:r>
              <w:rPr>
                <w:rFonts w:hint="default" w:ascii="Times New Roman" w:hAnsi="Times New Roman" w:cs="Times New Roman"/>
                <w:color w:val="auto"/>
                <w:highlight w:val="none"/>
                <w:lang w:val="en-US" w:eastAsia="zh-CN"/>
              </w:rPr>
              <w:t>①</w:t>
            </w:r>
            <w:r>
              <w:rPr>
                <w:rFonts w:hint="eastAsia" w:cs="Times New Roman"/>
                <w:color w:val="auto"/>
                <w:highlight w:val="none"/>
                <w:lang w:val="en-US" w:eastAsia="zh-CN"/>
              </w:rPr>
              <w:t>卸料粉尘</w:t>
            </w:r>
          </w:p>
          <w:p w14:paraId="61B424A1">
            <w:pPr>
              <w:pStyle w:val="21"/>
              <w:bidi w:val="0"/>
              <w:rPr>
                <w:rFonts w:hint="eastAsia" w:cs="Times New Roman"/>
                <w:color w:val="auto"/>
                <w:highlight w:val="none"/>
                <w:lang w:val="en-US" w:eastAsia="zh-CN"/>
              </w:rPr>
            </w:pPr>
            <w:r>
              <w:rPr>
                <w:rFonts w:hint="eastAsia" w:cs="Times New Roman"/>
                <w:color w:val="auto"/>
                <w:highlight w:val="none"/>
                <w:lang w:val="en-US" w:eastAsia="zh-CN"/>
              </w:rPr>
              <w:t>一般固废原料在卸料过程中产生少量颗粒物。参考《逸散性工业粉尘控制技术》中“第十八章 粒料加工厂-表 18-1 粒料加工厂的逸散尘排放因子-1.卸料（卡车）-砂和砾石”产生系数为 0.01kg/t。本项目处理一般工业固体废物的规模合计约 8 万吨/年，则卸料的颗粒物产生量为0.8t/a，卸料工作的年工作时长以1300h计，废气产生速率为0.62kg/h。以无组织形式排放。</w:t>
            </w:r>
          </w:p>
          <w:p w14:paraId="7E2A9FB2">
            <w:pPr>
              <w:pStyle w:val="21"/>
              <w:bidi w:val="0"/>
              <w:rPr>
                <w:rFonts w:hint="eastAsia" w:cs="Times New Roman"/>
                <w:color w:val="auto"/>
                <w:highlight w:val="none"/>
                <w:lang w:val="en-US" w:eastAsia="zh-CN"/>
              </w:rPr>
            </w:pPr>
            <w:r>
              <w:rPr>
                <w:rFonts w:hint="default" w:ascii="Times New Roman" w:hAnsi="Times New Roman" w:cs="Times New Roman"/>
                <w:color w:val="auto"/>
                <w:highlight w:val="none"/>
                <w:lang w:val="en-US" w:eastAsia="zh-CN"/>
              </w:rPr>
              <w:t>②</w:t>
            </w:r>
            <w:r>
              <w:rPr>
                <w:rFonts w:hint="eastAsia" w:cs="Times New Roman"/>
                <w:color w:val="auto"/>
                <w:highlight w:val="none"/>
                <w:lang w:val="en-US" w:eastAsia="zh-CN"/>
              </w:rPr>
              <w:t>分拣粉尘</w:t>
            </w:r>
          </w:p>
          <w:p w14:paraId="6861DEB9">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一般固废原料在分拣过程中产生少量颗粒物。参考《逸散性工业粉尘控制技术》中“第十八章 粒料加工厂-表 18-1 粒料加工厂的逸散尘排放因子-砂和砾石一级破碎和筛选”排放系数为 0.05kg/t。因本项目无破碎工序，且使用人工分拣的方式，故排放系数取10%，即0.005kg/t。本项目处理一般工业固体废物的规模合计约 8 万吨/年，则分选的颗粒物产生量为0.4t/a，卸料工作的年工作时长以2600h计，废气产生速率为0.15kg/h。以无组织形式排放。</w:t>
            </w:r>
          </w:p>
          <w:p w14:paraId="1C7AB933">
            <w:pPr>
              <w:pStyle w:val="21"/>
              <w:bidi w:val="0"/>
              <w:rPr>
                <w:rFonts w:hint="default" w:cs="Times New Roman"/>
                <w:color w:val="auto"/>
                <w:highlight w:val="none"/>
                <w:lang w:val="en-US" w:eastAsia="zh-CN"/>
              </w:rPr>
            </w:pPr>
            <w:r>
              <w:rPr>
                <w:rFonts w:hint="default" w:cs="Times New Roman"/>
                <w:color w:val="auto"/>
                <w:highlight w:val="none"/>
                <w:lang w:val="en-US" w:eastAsia="zh-CN"/>
              </w:rPr>
              <w:t>③</w:t>
            </w:r>
            <w:r>
              <w:rPr>
                <w:rFonts w:hint="eastAsia" w:cs="Times New Roman"/>
                <w:color w:val="auto"/>
                <w:highlight w:val="none"/>
                <w:lang w:val="en-US" w:eastAsia="zh-CN"/>
              </w:rPr>
              <w:t>压实打包粉尘</w:t>
            </w:r>
          </w:p>
          <w:p w14:paraId="05AFA356">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一般固废原料在压实打包过程中产生少量颗粒物。参考《逸散性工业粉尘控制技术》中“粒料加工厂逸散尘的排放因子”，出料的排放因子为0.006kg/t（装料）。本项目处理一般工业固体废物的规模合计约 8 万吨/年，则分选的颗粒物产生量为0.48t/a，卸料工作的年工作时长以2600h计，废气产生速率为0.18kg/h。以无组织形式排放。</w:t>
            </w:r>
          </w:p>
          <w:p w14:paraId="7CDF6D8E">
            <w:pPr>
              <w:pStyle w:val="21"/>
              <w:bidi w:val="0"/>
              <w:rPr>
                <w:rFonts w:hint="default" w:cs="Times New Roman"/>
                <w:color w:val="auto"/>
                <w:highlight w:val="none"/>
                <w:lang w:val="en-US" w:eastAsia="zh-CN"/>
              </w:rPr>
            </w:pPr>
            <w:r>
              <w:rPr>
                <w:rFonts w:hint="default" w:cs="Times New Roman"/>
                <w:color w:val="auto"/>
                <w:highlight w:val="none"/>
                <w:lang w:val="en-US" w:eastAsia="zh-CN"/>
              </w:rPr>
              <w:t>④</w:t>
            </w:r>
            <w:r>
              <w:rPr>
                <w:rFonts w:hint="eastAsia" w:cs="Times New Roman"/>
                <w:color w:val="auto"/>
                <w:highlight w:val="none"/>
                <w:lang w:val="en-US" w:eastAsia="zh-CN"/>
              </w:rPr>
              <w:t>堆放粉尘</w:t>
            </w:r>
          </w:p>
          <w:p w14:paraId="24FCD79F">
            <w:pPr>
              <w:pStyle w:val="21"/>
              <w:bidi w:val="0"/>
              <w:rPr>
                <w:rFonts w:hint="default" w:cs="Times New Roman"/>
                <w:color w:val="auto"/>
                <w:highlight w:val="none"/>
                <w:lang w:val="en-US" w:eastAsia="zh-CN"/>
              </w:rPr>
            </w:pPr>
            <w:r>
              <w:rPr>
                <w:rFonts w:hint="eastAsia" w:cs="Times New Roman"/>
                <w:color w:val="auto"/>
                <w:highlight w:val="none"/>
                <w:lang w:val="en-US" w:eastAsia="zh-CN"/>
              </w:rPr>
              <w:t>一般固废原料在堆放过程中产生少量颗粒物。参照《逸散性工业粉尘控制技术》中“第十八章 粒料加工厂-表 18-1 粒料加工厂的逸散尘排放因子-7.贮堆-风蚀-砂和砾石”产生系数为 0.235kg/t。本项目处理一般工业固体废物的规模合计约 8 万吨/年，则堆放的颗粒物产生量为18.8t/a。参考《固体物料堆存颗粒物产排污核算系数手册》中颗粒物排放量核算：</w:t>
            </w:r>
          </w:p>
          <w:p w14:paraId="7F245366">
            <w:pPr>
              <w:pStyle w:val="21"/>
              <w:bidi w:val="0"/>
              <w:ind w:firstLine="0" w:firstLineChars="0"/>
              <w:jc w:val="center"/>
              <w:rPr>
                <w:rFonts w:hint="eastAsia" w:cs="Times New Roman"/>
                <w:color w:val="auto"/>
                <w:highlight w:val="none"/>
                <w:lang w:val="en-US" w:eastAsia="zh-CN"/>
              </w:rPr>
            </w:pPr>
            <w:r>
              <w:rPr>
                <w:color w:val="auto"/>
              </w:rPr>
              <w:drawing>
                <wp:inline distT="0" distB="0" distL="0" distR="0">
                  <wp:extent cx="2784475" cy="1342390"/>
                  <wp:effectExtent l="0" t="0" r="15875" b="10160"/>
                  <wp:docPr id="1030" name="图片 2"/>
                  <wp:cNvGraphicFramePr/>
                  <a:graphic xmlns:a="http://schemas.openxmlformats.org/drawingml/2006/main">
                    <a:graphicData uri="http://schemas.openxmlformats.org/drawingml/2006/picture">
                      <pic:pic xmlns:pic="http://schemas.openxmlformats.org/drawingml/2006/picture">
                        <pic:nvPicPr>
                          <pic:cNvPr id="1030" name="图片 2"/>
                          <pic:cNvPicPr/>
                        </pic:nvPicPr>
                        <pic:blipFill>
                          <a:blip r:embed="rId14" cstate="print"/>
                          <a:srcRect/>
                          <a:stretch>
                            <a:fillRect/>
                          </a:stretch>
                        </pic:blipFill>
                        <pic:spPr>
                          <a:xfrm>
                            <a:off x="0" y="0"/>
                            <a:ext cx="2784475" cy="1342390"/>
                          </a:xfrm>
                          <a:prstGeom prst="rect">
                            <a:avLst/>
                          </a:prstGeom>
                          <a:ln>
                            <a:noFill/>
                          </a:ln>
                        </pic:spPr>
                      </pic:pic>
                    </a:graphicData>
                  </a:graphic>
                </wp:inline>
              </w:drawing>
            </w:r>
          </w:p>
          <w:p w14:paraId="097691BD">
            <w:pPr>
              <w:pStyle w:val="21"/>
              <w:bidi w:val="0"/>
              <w:rPr>
                <w:rFonts w:hint="eastAsia" w:cs="Times New Roman"/>
                <w:color w:val="auto"/>
                <w:highlight w:val="none"/>
                <w:lang w:val="en-US" w:eastAsia="zh-CN"/>
              </w:rPr>
            </w:pPr>
            <w:r>
              <w:rPr>
                <w:rFonts w:hint="eastAsia" w:cs="Times New Roman"/>
                <w:color w:val="auto"/>
                <w:highlight w:val="none"/>
                <w:lang w:val="en-US" w:eastAsia="zh-CN"/>
              </w:rPr>
              <w:t>本项目使用编织袋覆盖的控制措施，故Cm取值为88%；堆场属于半敞开式，故Tm取值为60%。Uc=18.8t×（1-88%）×（1-60%）=0.90t。</w:t>
            </w:r>
          </w:p>
          <w:p w14:paraId="3569C412">
            <w:pPr>
              <w:pStyle w:val="21"/>
              <w:bidi w:val="0"/>
              <w:rPr>
                <w:rFonts w:hint="eastAsia" w:cs="Times New Roman"/>
                <w:color w:val="auto"/>
                <w:highlight w:val="none"/>
                <w:lang w:val="en-US" w:eastAsia="zh-CN"/>
              </w:rPr>
            </w:pPr>
            <w:r>
              <w:rPr>
                <w:rFonts w:hint="eastAsia" w:cs="Times New Roman"/>
                <w:color w:val="auto"/>
                <w:highlight w:val="none"/>
                <w:lang w:val="en-US" w:eastAsia="zh-CN"/>
              </w:rPr>
              <w:t>入库堆放过程中颗粒物的排放量为0.9t/a ，堆料年时长以8760h计，废气产生速率为0.10kg/h。以无组织形式排放。</w:t>
            </w:r>
          </w:p>
          <w:p w14:paraId="2975418B">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b/>
                <w:bCs/>
                <w:color w:val="auto"/>
                <w:sz w:val="24"/>
                <w:highlight w:val="none"/>
                <w:lang w:val="en-US" w:eastAsia="zh-CN"/>
              </w:rPr>
              <w:t>4</w:t>
            </w:r>
            <w:r>
              <w:rPr>
                <w:rFonts w:hint="default" w:ascii="Times New Roman" w:hAnsi="Times New Roman" w:cs="Times New Roman"/>
                <w:b/>
                <w:bCs/>
                <w:color w:val="auto"/>
                <w:sz w:val="24"/>
                <w:highlight w:val="none"/>
                <w:lang w:val="en-US" w:eastAsia="zh-CN"/>
              </w:rPr>
              <w:t>、事故工况（非正常工况）废气污染物排放</w:t>
            </w:r>
          </w:p>
          <w:p w14:paraId="2234907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本项目的非正常工况主要是污染物排放控制措施达不到应有效率，即</w:t>
            </w:r>
            <w:r>
              <w:rPr>
                <w:rFonts w:hint="eastAsia" w:cs="Times New Roman"/>
                <w:color w:val="auto"/>
                <w:sz w:val="24"/>
                <w:highlight w:val="none"/>
                <w:lang w:val="en-US" w:eastAsia="zh-CN"/>
              </w:rPr>
              <w:t>通风系统失效、打包机密封失效、生产过程操作不当</w:t>
            </w:r>
            <w:r>
              <w:rPr>
                <w:rFonts w:hint="default" w:ascii="Times New Roman" w:hAnsi="Times New Roman" w:cs="Times New Roman"/>
                <w:color w:val="auto"/>
                <w:sz w:val="24"/>
                <w:highlight w:val="none"/>
              </w:rPr>
              <w:t>，造成废气</w:t>
            </w:r>
            <w:r>
              <w:rPr>
                <w:rFonts w:hint="eastAsia" w:cs="Times New Roman"/>
                <w:color w:val="auto"/>
                <w:sz w:val="24"/>
                <w:highlight w:val="none"/>
                <w:lang w:val="en-US" w:eastAsia="zh-CN"/>
              </w:rPr>
              <w:t>堆积、废气排放量增大</w:t>
            </w:r>
            <w:r>
              <w:rPr>
                <w:rFonts w:hint="default" w:ascii="Times New Roman" w:hAnsi="Times New Roman" w:cs="Times New Roman"/>
                <w:color w:val="auto"/>
                <w:sz w:val="24"/>
                <w:highlight w:val="none"/>
              </w:rPr>
              <w:t>，其排放情况如下表。</w:t>
            </w:r>
          </w:p>
          <w:p w14:paraId="369439C0">
            <w:pPr>
              <w:widowControl/>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3</w:t>
            </w:r>
            <w:r>
              <w:rPr>
                <w:rFonts w:hint="default" w:ascii="Times New Roman" w:hAnsi="Times New Roman" w:cs="Times New Roman"/>
                <w:b/>
                <w:color w:val="auto"/>
                <w:sz w:val="21"/>
                <w:szCs w:val="21"/>
                <w:highlight w:val="none"/>
              </w:rPr>
              <w:t>非正常工况废气排放情况</w:t>
            </w:r>
          </w:p>
          <w:tbl>
            <w:tblPr>
              <w:tblStyle w:val="44"/>
              <w:tblW w:w="4997" w:type="pct"/>
              <w:jc w:val="center"/>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57" w:type="dxa"/>
                <w:bottom w:w="0" w:type="dxa"/>
                <w:right w:w="57" w:type="dxa"/>
              </w:tblCellMar>
            </w:tblPr>
            <w:tblGrid>
              <w:gridCol w:w="1263"/>
              <w:gridCol w:w="1270"/>
              <w:gridCol w:w="1493"/>
              <w:gridCol w:w="1728"/>
              <w:gridCol w:w="1040"/>
              <w:gridCol w:w="1044"/>
            </w:tblGrid>
            <w:tr w14:paraId="73F2691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482" w:hRule="atLeast"/>
                <w:jc w:val="center"/>
              </w:trPr>
              <w:tc>
                <w:tcPr>
                  <w:tcW w:w="806" w:type="pct"/>
                  <w:vMerge w:val="restart"/>
                  <w:tcBorders>
                    <w:tl2br w:val="nil"/>
                    <w:tr2bl w:val="nil"/>
                  </w:tcBorders>
                  <w:vAlign w:val="center"/>
                </w:tcPr>
                <w:p w14:paraId="6C184678">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污染源</w:t>
                  </w:r>
                </w:p>
              </w:tc>
              <w:tc>
                <w:tcPr>
                  <w:tcW w:w="810" w:type="pct"/>
                  <w:vMerge w:val="restart"/>
                  <w:tcBorders>
                    <w:tl2br w:val="nil"/>
                    <w:tr2bl w:val="nil"/>
                  </w:tcBorders>
                  <w:vAlign w:val="center"/>
                </w:tcPr>
                <w:p w14:paraId="5C77218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污染物名称</w:t>
                  </w:r>
                </w:p>
              </w:tc>
              <w:tc>
                <w:tcPr>
                  <w:tcW w:w="952" w:type="pct"/>
                  <w:vMerge w:val="restart"/>
                  <w:tcBorders>
                    <w:tl2br w:val="nil"/>
                    <w:tr2bl w:val="nil"/>
                  </w:tcBorders>
                  <w:vAlign w:val="center"/>
                </w:tcPr>
                <w:p w14:paraId="4F46AC51">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非正常排放</w:t>
                  </w:r>
                </w:p>
                <w:p w14:paraId="6FA8831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原因</w:t>
                  </w:r>
                </w:p>
              </w:tc>
              <w:tc>
                <w:tcPr>
                  <w:tcW w:w="2431" w:type="pct"/>
                  <w:gridSpan w:val="3"/>
                  <w:tcBorders>
                    <w:tl2br w:val="nil"/>
                    <w:tr2bl w:val="nil"/>
                  </w:tcBorders>
                  <w:vAlign w:val="center"/>
                </w:tcPr>
                <w:p w14:paraId="1424B4ED">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非正常排放状况</w:t>
                  </w:r>
                </w:p>
              </w:tc>
            </w:tr>
            <w:tr w14:paraId="14FC9EC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482" w:hRule="atLeast"/>
                <w:jc w:val="center"/>
              </w:trPr>
              <w:tc>
                <w:tcPr>
                  <w:tcW w:w="806" w:type="pct"/>
                  <w:vMerge w:val="continue"/>
                  <w:tcBorders>
                    <w:tl2br w:val="nil"/>
                    <w:tr2bl w:val="nil"/>
                  </w:tcBorders>
                  <w:vAlign w:val="center"/>
                </w:tcPr>
                <w:p w14:paraId="7AA0CA5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810" w:type="pct"/>
                  <w:vMerge w:val="continue"/>
                  <w:tcBorders>
                    <w:tl2br w:val="nil"/>
                    <w:tr2bl w:val="nil"/>
                  </w:tcBorders>
                  <w:vAlign w:val="center"/>
                </w:tcPr>
                <w:p w14:paraId="37BD8C72">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952" w:type="pct"/>
                  <w:vMerge w:val="continue"/>
                  <w:tcBorders>
                    <w:tl2br w:val="nil"/>
                    <w:tr2bl w:val="nil"/>
                  </w:tcBorders>
                  <w:vAlign w:val="center"/>
                </w:tcPr>
                <w:p w14:paraId="74F0899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p>
              </w:tc>
              <w:tc>
                <w:tcPr>
                  <w:tcW w:w="1102" w:type="pct"/>
                  <w:tcBorders>
                    <w:tl2br w:val="nil"/>
                    <w:tr2bl w:val="nil"/>
                  </w:tcBorders>
                  <w:vAlign w:val="center"/>
                </w:tcPr>
                <w:p w14:paraId="33FCEF2A">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频次及持续时间</w:t>
                  </w:r>
                </w:p>
              </w:tc>
              <w:tc>
                <w:tcPr>
                  <w:tcW w:w="663" w:type="pct"/>
                  <w:tcBorders>
                    <w:tl2br w:val="nil"/>
                    <w:tr2bl w:val="nil"/>
                  </w:tcBorders>
                  <w:vAlign w:val="center"/>
                </w:tcPr>
                <w:p w14:paraId="0F3CD83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排放速率</w:t>
                  </w:r>
                </w:p>
                <w:p w14:paraId="5A65EE55">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kg/h</w:t>
                  </w:r>
                </w:p>
              </w:tc>
              <w:tc>
                <w:tcPr>
                  <w:tcW w:w="665" w:type="pct"/>
                  <w:tcBorders>
                    <w:tl2br w:val="nil"/>
                    <w:tr2bl w:val="nil"/>
                  </w:tcBorders>
                  <w:vAlign w:val="center"/>
                </w:tcPr>
                <w:p w14:paraId="226196E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lang w:eastAsia="zh-CN"/>
                    </w:rPr>
                  </w:pPr>
                  <w:r>
                    <w:rPr>
                      <w:rFonts w:hint="default" w:ascii="Times New Roman" w:hAnsi="Times New Roman" w:cs="Times New Roman"/>
                      <w:b/>
                      <w:color w:val="auto"/>
                      <w:sz w:val="21"/>
                      <w:szCs w:val="21"/>
                      <w:highlight w:val="none"/>
                      <w:lang w:eastAsia="zh-CN"/>
                    </w:rPr>
                    <w:t>排放浓度</w:t>
                  </w:r>
                </w:p>
                <w:p w14:paraId="63C99C60">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lang w:val="en-US" w:eastAsia="zh-CN"/>
                    </w:rPr>
                    <w:t>mg/m</w:t>
                  </w:r>
                  <w:r>
                    <w:rPr>
                      <w:rFonts w:hint="default" w:ascii="Times New Roman" w:hAnsi="Times New Roman" w:cs="Times New Roman"/>
                      <w:b/>
                      <w:color w:val="auto"/>
                      <w:sz w:val="21"/>
                      <w:szCs w:val="21"/>
                      <w:highlight w:val="none"/>
                      <w:vertAlign w:val="superscript"/>
                      <w:lang w:val="en-US" w:eastAsia="zh-CN"/>
                    </w:rPr>
                    <w:t>3</w:t>
                  </w:r>
                </w:p>
              </w:tc>
            </w:tr>
            <w:tr w14:paraId="1ECFD27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57" w:type="dxa"/>
                  <w:bottom w:w="0" w:type="dxa"/>
                  <w:right w:w="57" w:type="dxa"/>
                </w:tblCellMar>
              </w:tblPrEx>
              <w:trPr>
                <w:cantSplit/>
                <w:trHeight w:val="713" w:hRule="atLeast"/>
                <w:jc w:val="center"/>
              </w:trPr>
              <w:tc>
                <w:tcPr>
                  <w:tcW w:w="806" w:type="pct"/>
                  <w:tcBorders>
                    <w:tl2br w:val="nil"/>
                    <w:tr2bl w:val="nil"/>
                  </w:tcBorders>
                  <w:vAlign w:val="center"/>
                </w:tcPr>
                <w:p w14:paraId="1188A12B">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人工分拣线</w:t>
                  </w:r>
                </w:p>
              </w:tc>
              <w:tc>
                <w:tcPr>
                  <w:tcW w:w="810" w:type="pct"/>
                  <w:tcBorders>
                    <w:tl2br w:val="nil"/>
                    <w:tr2bl w:val="nil"/>
                  </w:tcBorders>
                  <w:vAlign w:val="center"/>
                </w:tcPr>
                <w:p w14:paraId="5B45673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952" w:type="pct"/>
                  <w:tcBorders>
                    <w:tl2br w:val="nil"/>
                    <w:tr2bl w:val="nil"/>
                  </w:tcBorders>
                  <w:vAlign w:val="center"/>
                </w:tcPr>
                <w:p w14:paraId="0D282534">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操作不当</w:t>
                  </w:r>
                </w:p>
              </w:tc>
              <w:tc>
                <w:tcPr>
                  <w:tcW w:w="1102" w:type="pct"/>
                  <w:tcBorders>
                    <w:top w:val="single" w:color="000000" w:sz="4" w:space="0"/>
                    <w:bottom w:val="single" w:color="000000" w:sz="4" w:space="0"/>
                    <w:tl2br w:val="nil"/>
                    <w:tr2bl w:val="nil"/>
                  </w:tcBorders>
                  <w:vAlign w:val="center"/>
                </w:tcPr>
                <w:p w14:paraId="5CF8E99E">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1次/a，1h/次</w:t>
                  </w:r>
                </w:p>
              </w:tc>
              <w:tc>
                <w:tcPr>
                  <w:tcW w:w="663" w:type="pct"/>
                  <w:tcBorders>
                    <w:tl2br w:val="nil"/>
                    <w:tr2bl w:val="nil"/>
                  </w:tcBorders>
                  <w:vAlign w:val="center"/>
                </w:tcPr>
                <w:p w14:paraId="110A10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cs="Times New Roman"/>
                      <w:i w:val="0"/>
                      <w:iCs w:val="0"/>
                      <w:color w:val="auto"/>
                      <w:kern w:val="0"/>
                      <w:sz w:val="21"/>
                      <w:szCs w:val="21"/>
                      <w:highlight w:val="none"/>
                      <w:u w:val="none"/>
                      <w:lang w:val="en-US" w:eastAsia="zh-CN"/>
                    </w:rPr>
                  </w:pPr>
                  <w:r>
                    <w:rPr>
                      <w:rFonts w:hint="eastAsia" w:cs="Times New Roman"/>
                      <w:i w:val="0"/>
                      <w:iCs w:val="0"/>
                      <w:color w:val="auto"/>
                      <w:kern w:val="0"/>
                      <w:sz w:val="21"/>
                      <w:szCs w:val="21"/>
                      <w:highlight w:val="none"/>
                      <w:u w:val="none"/>
                      <w:lang w:val="en-US" w:eastAsia="zh-CN"/>
                    </w:rPr>
                    <w:t>0.15</w:t>
                  </w:r>
                </w:p>
              </w:tc>
              <w:tc>
                <w:tcPr>
                  <w:tcW w:w="665" w:type="pct"/>
                  <w:tcBorders>
                    <w:tl2br w:val="nil"/>
                    <w:tr2bl w:val="nil"/>
                  </w:tcBorders>
                  <w:vAlign w:val="center"/>
                </w:tcPr>
                <w:p w14:paraId="106AA1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p>
              </w:tc>
            </w:tr>
          </w:tbl>
          <w:p w14:paraId="76B9795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上表可知，在非正常工况下污染物的排放大幅增加。为防止生产废气非正常工况排放，企业必须加强设施管理，定期检修，确保设施正常运行，在设备停止运行或出现故障时，产生废气的各工序也必须相应停止操作。为防止废气非正常排放，应采取以下措施确保废气达标排放：</w:t>
            </w:r>
          </w:p>
          <w:p w14:paraId="2B5E869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①安排专人负责环保设备的日常维护和管理，</w:t>
            </w:r>
            <w:r>
              <w:rPr>
                <w:rFonts w:hint="default" w:ascii="Times New Roman" w:hAnsi="Times New Roman" w:cs="Times New Roman"/>
                <w:color w:val="auto"/>
                <w:sz w:val="24"/>
                <w:highlight w:val="none"/>
                <w:lang w:eastAsia="zh-CN"/>
              </w:rPr>
              <w:t>每隔</w:t>
            </w:r>
            <w:r>
              <w:rPr>
                <w:rFonts w:hint="default" w:ascii="Times New Roman" w:hAnsi="Times New Roman" w:cs="Times New Roman"/>
                <w:color w:val="auto"/>
                <w:sz w:val="24"/>
                <w:highlight w:val="none"/>
              </w:rPr>
              <w:t>固定时间检查、汇报情况，及时发现设备的隐患，确保</w:t>
            </w:r>
            <w:r>
              <w:rPr>
                <w:rFonts w:hint="eastAsia" w:cs="Times New Roman"/>
                <w:color w:val="auto"/>
                <w:sz w:val="24"/>
                <w:highlight w:val="none"/>
                <w:lang w:val="en-US" w:eastAsia="zh-CN"/>
              </w:rPr>
              <w:t>设备</w:t>
            </w:r>
            <w:r>
              <w:rPr>
                <w:rFonts w:hint="default" w:ascii="Times New Roman" w:hAnsi="Times New Roman" w:cs="Times New Roman"/>
                <w:color w:val="auto"/>
                <w:sz w:val="24"/>
                <w:highlight w:val="none"/>
              </w:rPr>
              <w:t>正常运行；</w:t>
            </w:r>
          </w:p>
          <w:p w14:paraId="55BF31A7">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②应定期维护、检修</w:t>
            </w:r>
            <w:r>
              <w:rPr>
                <w:rFonts w:hint="eastAsia" w:cs="Times New Roman"/>
                <w:color w:val="auto"/>
                <w:sz w:val="24"/>
                <w:highlight w:val="none"/>
                <w:lang w:val="en-US" w:eastAsia="zh-CN"/>
              </w:rPr>
              <w:t>设施</w:t>
            </w:r>
            <w:r>
              <w:rPr>
                <w:rFonts w:hint="default" w:ascii="Times New Roman" w:hAnsi="Times New Roman" w:cs="Times New Roman"/>
                <w:color w:val="auto"/>
                <w:sz w:val="24"/>
                <w:highlight w:val="none"/>
                <w:lang w:eastAsia="zh-CN"/>
              </w:rPr>
              <w:t>。</w:t>
            </w:r>
          </w:p>
          <w:p w14:paraId="0FB9EBD5">
            <w:pPr>
              <w:spacing w:line="360" w:lineRule="auto"/>
              <w:ind w:firstLine="480" w:firstLineChars="200"/>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5</w:t>
            </w:r>
            <w:r>
              <w:rPr>
                <w:rFonts w:hint="default" w:ascii="Times New Roman" w:hAnsi="Times New Roman" w:cs="Times New Roman"/>
                <w:b/>
                <w:bCs/>
                <w:color w:val="auto"/>
                <w:sz w:val="24"/>
                <w:highlight w:val="none"/>
                <w:lang w:val="en-US" w:eastAsia="zh-CN"/>
              </w:rPr>
              <w:t>、废气影响分析</w:t>
            </w:r>
          </w:p>
          <w:p w14:paraId="3597FFBA">
            <w:pPr>
              <w:pStyle w:val="21"/>
              <w:bidi w:val="0"/>
              <w:ind w:firstLine="480"/>
              <w:rPr>
                <w:rFonts w:hint="eastAsia" w:ascii="Times New Roman" w:hAnsi="Times New Roman" w:eastAsia="宋体" w:cs="Times New Roman"/>
                <w:color w:val="auto"/>
                <w:highlight w:val="none"/>
                <w:lang w:val="en-US" w:eastAsia="zh-CN"/>
              </w:rPr>
            </w:pPr>
            <w:r>
              <w:rPr>
                <w:rFonts w:hint="eastAsia" w:cs="Times New Roman"/>
                <w:color w:val="auto"/>
                <w:highlight w:val="none"/>
                <w:lang w:val="en-US" w:eastAsia="zh-CN"/>
              </w:rPr>
              <w:t>项目所在区域环境质量现状基本污染物均达标。属于达标区，项目500m范围内存在大气环境保护目标。通过加强车间通风等措施，且原料入库后及时分拣压实，减少</w:t>
            </w:r>
            <w:r>
              <w:rPr>
                <w:rFonts w:hint="eastAsia"/>
                <w:color w:val="auto"/>
                <w:highlight w:val="none"/>
              </w:rPr>
              <w:t>废塑料、废纸张、废纺织品等易腐败物质在厂内停留时间，减少发酵产臭</w:t>
            </w:r>
            <w:r>
              <w:rPr>
                <w:rFonts w:hint="eastAsia" w:cs="Times New Roman"/>
                <w:color w:val="auto"/>
                <w:highlight w:val="none"/>
                <w:lang w:val="en-US" w:eastAsia="zh-CN"/>
              </w:rPr>
              <w:t>。</w:t>
            </w:r>
            <w:r>
              <w:rPr>
                <w:rFonts w:hint="default" w:ascii="Times New Roman" w:hAnsi="Times New Roman" w:cs="Times New Roman"/>
                <w:color w:val="auto"/>
                <w:highlight w:val="none"/>
                <w:lang w:eastAsia="zh-CN"/>
              </w:rPr>
              <w:t>根据工程分析可知，</w:t>
            </w:r>
            <w:r>
              <w:rPr>
                <w:rFonts w:hint="default" w:ascii="Times New Roman" w:hAnsi="Times New Roman" w:cs="Times New Roman"/>
                <w:color w:val="auto"/>
                <w:highlight w:val="none"/>
                <w:lang w:val="en-US" w:eastAsia="zh-CN"/>
              </w:rPr>
              <w:t>厂界无组织颗粒物的排放</w:t>
            </w:r>
            <w:r>
              <w:rPr>
                <w:rFonts w:hint="default" w:ascii="Times New Roman" w:hAnsi="Times New Roman" w:cs="Times New Roman"/>
                <w:color w:val="auto"/>
                <w:highlight w:val="none"/>
                <w:lang w:eastAsia="zh-CN"/>
              </w:rPr>
              <w:t>可达到广东省《大气污染物排放限值》（DB44/27-2001）第二时段排放限值，</w:t>
            </w:r>
            <w:r>
              <w:rPr>
                <w:rFonts w:hint="eastAsia" w:ascii="Times New Roman" w:hAnsi="Times New Roman" w:cs="Times New Roman"/>
                <w:color w:val="auto"/>
                <w:sz w:val="24"/>
                <w:lang w:val="en-US" w:eastAsia="zh-CN"/>
              </w:rPr>
              <w:t>臭气浓度</w:t>
            </w:r>
            <w:r>
              <w:rPr>
                <w:rFonts w:hint="default" w:ascii="Times New Roman" w:hAnsi="Times New Roman" w:eastAsia="宋体" w:cs="Times New Roman"/>
                <w:color w:val="auto"/>
                <w:sz w:val="24"/>
              </w:rPr>
              <w:t>无组织排放</w:t>
            </w:r>
            <w:r>
              <w:rPr>
                <w:rFonts w:hint="eastAsia" w:ascii="Times New Roman" w:hAnsi="Times New Roman" w:eastAsia="宋体" w:cs="Times New Roman"/>
                <w:color w:val="auto"/>
                <w:sz w:val="24"/>
                <w:lang w:val="en-US" w:eastAsia="zh-CN"/>
              </w:rPr>
              <w:t>可达到</w:t>
            </w:r>
            <w:r>
              <w:rPr>
                <w:rFonts w:hint="default" w:ascii="Times New Roman" w:hAnsi="Times New Roman" w:eastAsia="宋体" w:cs="Times New Roman"/>
                <w:color w:val="auto"/>
                <w:sz w:val="24"/>
              </w:rPr>
              <w:t>《恶臭污染物排放标准》（GB14554-93）中表1恶臭污染物厂界标准值二级新扩改建标准</w:t>
            </w:r>
            <w:r>
              <w:rPr>
                <w:rFonts w:hint="eastAsia" w:ascii="Times New Roman" w:hAnsi="Times New Roman" w:eastAsia="宋体" w:cs="Times New Roman"/>
                <w:color w:val="auto"/>
                <w:sz w:val="24"/>
                <w:lang w:val="en-US" w:eastAsia="zh-CN"/>
              </w:rPr>
              <w:t>要求</w:t>
            </w:r>
            <w:r>
              <w:rPr>
                <w:rFonts w:hint="eastAsia" w:ascii="Times New Roman" w:hAnsi="Times New Roman" w:cs="Times New Roman"/>
                <w:color w:val="auto"/>
                <w:sz w:val="24"/>
                <w:lang w:eastAsia="zh-CN"/>
              </w:rPr>
              <w:t>，</w:t>
            </w:r>
            <w:r>
              <w:rPr>
                <w:rFonts w:hint="default" w:ascii="Times New Roman" w:hAnsi="Times New Roman" w:cs="Times New Roman"/>
                <w:color w:val="auto"/>
                <w:highlight w:val="none"/>
                <w:lang w:eastAsia="zh-CN"/>
              </w:rPr>
              <w:t>对周围环境影响不大</w:t>
            </w:r>
            <w:r>
              <w:rPr>
                <w:rFonts w:hint="eastAsia" w:cs="Times New Roman"/>
                <w:color w:val="auto"/>
                <w:highlight w:val="none"/>
                <w:lang w:eastAsia="zh-CN"/>
              </w:rPr>
              <w:t>，</w:t>
            </w:r>
            <w:r>
              <w:rPr>
                <w:rFonts w:hint="eastAsia" w:cs="Times New Roman"/>
                <w:color w:val="auto"/>
                <w:highlight w:val="none"/>
                <w:lang w:val="en-US" w:eastAsia="zh-CN"/>
              </w:rPr>
              <w:t>对与本项目距离253m的大气环境保护目标尚都新城影响不大</w:t>
            </w:r>
            <w:r>
              <w:rPr>
                <w:rFonts w:hint="eastAsia"/>
                <w:color w:val="auto"/>
                <w:lang w:eastAsia="zh-CN"/>
              </w:rPr>
              <w:t>。</w:t>
            </w:r>
          </w:p>
          <w:p w14:paraId="02A7833E">
            <w:pPr>
              <w:pStyle w:val="21"/>
              <w:bidi w:val="0"/>
              <w:jc w:val="center"/>
              <w:rPr>
                <w:rFonts w:hint="eastAsia" w:ascii="Times New Roman" w:hAnsi="Times New Roman" w:eastAsia="宋体" w:cs="Times New Roman"/>
                <w:color w:val="auto"/>
                <w:highlight w:val="none"/>
                <w:lang w:eastAsia="zh-CN"/>
              </w:rPr>
            </w:pPr>
            <w:r>
              <w:rPr>
                <w:rFonts w:hint="eastAsia"/>
                <w:b/>
                <w:color w:val="auto"/>
                <w:sz w:val="21"/>
                <w:szCs w:val="18"/>
                <w:highlight w:val="none"/>
                <w:lang w:val="en-US" w:eastAsia="zh-CN"/>
              </w:rPr>
              <w:t>表4-4</w:t>
            </w:r>
            <w:r>
              <w:rPr>
                <w:rFonts w:hint="eastAsia"/>
                <w:b/>
                <w:color w:val="auto"/>
                <w:sz w:val="21"/>
                <w:szCs w:val="18"/>
                <w:highlight w:val="none"/>
              </w:rPr>
              <w:t>项目主要废气污染物排放总量</w:t>
            </w:r>
            <w:r>
              <w:rPr>
                <w:rFonts w:hint="eastAsia"/>
                <w:b/>
                <w:color w:val="auto"/>
                <w:sz w:val="21"/>
                <w:szCs w:val="18"/>
                <w:highlight w:val="none"/>
                <w:lang w:eastAsia="zh-CN"/>
              </w:rPr>
              <w:t>（</w:t>
            </w:r>
            <w:r>
              <w:rPr>
                <w:rFonts w:hint="eastAsia"/>
                <w:b/>
                <w:color w:val="auto"/>
                <w:sz w:val="21"/>
                <w:szCs w:val="18"/>
                <w:highlight w:val="none"/>
                <w:lang w:val="en-US" w:eastAsia="zh-CN"/>
              </w:rPr>
              <w:t>t/a</w:t>
            </w:r>
            <w:r>
              <w:rPr>
                <w:rFonts w:hint="eastAsia"/>
                <w:b/>
                <w:color w:val="auto"/>
                <w:sz w:val="21"/>
                <w:szCs w:val="18"/>
                <w:highlight w:val="none"/>
                <w:lang w:eastAsia="zh-CN"/>
              </w:rPr>
              <w:t>）</w:t>
            </w:r>
          </w:p>
          <w:tbl>
            <w:tblPr>
              <w:tblStyle w:val="45"/>
              <w:tblW w:w="4998"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462"/>
              <w:gridCol w:w="1873"/>
              <w:gridCol w:w="1727"/>
              <w:gridCol w:w="1781"/>
            </w:tblGrid>
            <w:tr w14:paraId="45F2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Merge w:val="restart"/>
                  <w:vAlign w:val="center"/>
                </w:tcPr>
                <w:p w14:paraId="6F88E7E3">
                  <w:pPr>
                    <w:widowControl/>
                    <w:spacing w:line="240" w:lineRule="auto"/>
                    <w:jc w:val="center"/>
                    <w:rPr>
                      <w:rFonts w:hint="eastAsia" w:eastAsia="宋体"/>
                      <w:b/>
                      <w:bCs/>
                      <w:color w:val="auto"/>
                      <w:sz w:val="21"/>
                      <w:szCs w:val="21"/>
                      <w:highlight w:val="none"/>
                      <w:lang w:eastAsia="zh-CN"/>
                    </w:rPr>
                  </w:pPr>
                  <w:r>
                    <w:rPr>
                      <w:rFonts w:hint="eastAsia"/>
                      <w:b/>
                      <w:bCs/>
                      <w:color w:val="auto"/>
                      <w:sz w:val="21"/>
                      <w:szCs w:val="21"/>
                      <w:highlight w:val="none"/>
                      <w:lang w:eastAsia="zh-CN"/>
                    </w:rPr>
                    <w:t>主要污染物</w:t>
                  </w:r>
                </w:p>
              </w:tc>
              <w:tc>
                <w:tcPr>
                  <w:tcW w:w="3430" w:type="pct"/>
                  <w:gridSpan w:val="3"/>
                  <w:vAlign w:val="center"/>
                </w:tcPr>
                <w:p w14:paraId="7A9D8F65">
                  <w:pPr>
                    <w:widowControl/>
                    <w:spacing w:line="240" w:lineRule="auto"/>
                    <w:jc w:val="center"/>
                    <w:rPr>
                      <w:b/>
                      <w:bCs/>
                      <w:color w:val="auto"/>
                      <w:sz w:val="21"/>
                      <w:szCs w:val="21"/>
                      <w:highlight w:val="none"/>
                    </w:rPr>
                  </w:pPr>
                  <w:r>
                    <w:rPr>
                      <w:rFonts w:hint="eastAsia"/>
                      <w:b/>
                      <w:bCs/>
                      <w:color w:val="auto"/>
                      <w:sz w:val="21"/>
                      <w:szCs w:val="21"/>
                      <w:highlight w:val="none"/>
                      <w:lang w:eastAsia="zh-CN"/>
                    </w:rPr>
                    <w:t>项目排放量</w:t>
                  </w:r>
                </w:p>
              </w:tc>
            </w:tr>
            <w:tr w14:paraId="38EB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Merge w:val="continue"/>
                  <w:vAlign w:val="center"/>
                </w:tcPr>
                <w:p w14:paraId="40CE205E">
                  <w:pPr>
                    <w:widowControl/>
                    <w:spacing w:line="240" w:lineRule="auto"/>
                    <w:jc w:val="center"/>
                    <w:rPr>
                      <w:color w:val="auto"/>
                      <w:highlight w:val="none"/>
                    </w:rPr>
                  </w:pPr>
                </w:p>
              </w:tc>
              <w:tc>
                <w:tcPr>
                  <w:tcW w:w="1194" w:type="pct"/>
                  <w:vAlign w:val="center"/>
                </w:tcPr>
                <w:p w14:paraId="778AA21A">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有组织</w:t>
                  </w:r>
                </w:p>
              </w:tc>
              <w:tc>
                <w:tcPr>
                  <w:tcW w:w="1101" w:type="pct"/>
                  <w:vAlign w:val="center"/>
                </w:tcPr>
                <w:p w14:paraId="5F637F7F">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无组织</w:t>
                  </w:r>
                </w:p>
              </w:tc>
              <w:tc>
                <w:tcPr>
                  <w:tcW w:w="1135" w:type="pct"/>
                  <w:vAlign w:val="center"/>
                </w:tcPr>
                <w:p w14:paraId="64451730">
                  <w:pPr>
                    <w:widowControl/>
                    <w:spacing w:line="240" w:lineRule="auto"/>
                    <w:jc w:val="center"/>
                    <w:rPr>
                      <w:rFonts w:hint="eastAsia"/>
                      <w:b/>
                      <w:bCs/>
                      <w:color w:val="auto"/>
                      <w:sz w:val="21"/>
                      <w:szCs w:val="21"/>
                      <w:highlight w:val="none"/>
                      <w:lang w:eastAsia="zh-CN"/>
                    </w:rPr>
                  </w:pPr>
                  <w:r>
                    <w:rPr>
                      <w:rFonts w:hint="eastAsia"/>
                      <w:b/>
                      <w:bCs/>
                      <w:color w:val="auto"/>
                      <w:sz w:val="21"/>
                      <w:szCs w:val="21"/>
                      <w:highlight w:val="none"/>
                      <w:lang w:eastAsia="zh-CN"/>
                    </w:rPr>
                    <w:t>合计</w:t>
                  </w:r>
                </w:p>
              </w:tc>
            </w:tr>
            <w:tr w14:paraId="493C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Align w:val="center"/>
                </w:tcPr>
                <w:p w14:paraId="21B9FB2B">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颗粒物</w:t>
                  </w:r>
                </w:p>
              </w:tc>
              <w:tc>
                <w:tcPr>
                  <w:tcW w:w="1194" w:type="pct"/>
                  <w:vAlign w:val="center"/>
                </w:tcPr>
                <w:p w14:paraId="6E2E92F2">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w:t>
                  </w:r>
                </w:p>
              </w:tc>
              <w:tc>
                <w:tcPr>
                  <w:tcW w:w="1101" w:type="pct"/>
                  <w:vAlign w:val="center"/>
                </w:tcPr>
                <w:p w14:paraId="5ADA0E2E">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2.58</w:t>
                  </w:r>
                </w:p>
              </w:tc>
              <w:tc>
                <w:tcPr>
                  <w:tcW w:w="1135" w:type="pct"/>
                  <w:vAlign w:val="center"/>
                </w:tcPr>
                <w:p w14:paraId="3C12CD47">
                  <w:pPr>
                    <w:widowControl/>
                    <w:spacing w:line="24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2.58</w:t>
                  </w:r>
                </w:p>
              </w:tc>
            </w:tr>
            <w:tr w14:paraId="72EE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trPr>
              <w:tc>
                <w:tcPr>
                  <w:tcW w:w="1569" w:type="pct"/>
                  <w:vAlign w:val="center"/>
                </w:tcPr>
                <w:p w14:paraId="3CD501A6">
                  <w:pPr>
                    <w:widowControl/>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臭气浓度</w:t>
                  </w:r>
                </w:p>
              </w:tc>
              <w:tc>
                <w:tcPr>
                  <w:tcW w:w="1194" w:type="pct"/>
                  <w:vAlign w:val="center"/>
                </w:tcPr>
                <w:p w14:paraId="47BD1FFE">
                  <w:pPr>
                    <w:widowControl/>
                    <w:spacing w:line="240"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少量</w:t>
                  </w:r>
                </w:p>
              </w:tc>
              <w:tc>
                <w:tcPr>
                  <w:tcW w:w="1101" w:type="pct"/>
                  <w:vAlign w:val="center"/>
                </w:tcPr>
                <w:p w14:paraId="5C3DE6A0">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少量</w:t>
                  </w:r>
                </w:p>
              </w:tc>
              <w:tc>
                <w:tcPr>
                  <w:tcW w:w="1135" w:type="pct"/>
                  <w:vAlign w:val="center"/>
                </w:tcPr>
                <w:p w14:paraId="0EA6CCF1">
                  <w:pPr>
                    <w:widowControl/>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少量</w:t>
                  </w:r>
                </w:p>
              </w:tc>
            </w:tr>
          </w:tbl>
          <w:p w14:paraId="481F9BB7">
            <w:pPr>
              <w:keepNext/>
              <w:keepLines/>
              <w:tabs>
                <w:tab w:val="left" w:pos="0"/>
              </w:tabs>
              <w:ind w:firstLine="480" w:firstLineChars="200"/>
              <w:outlineLvl w:val="3"/>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二、废水污染源</w:t>
            </w:r>
          </w:p>
          <w:p w14:paraId="71BAFADF">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1、污染源源强分析</w:t>
            </w:r>
          </w:p>
          <w:p w14:paraId="70B29A25">
            <w:pPr>
              <w:keepNext/>
              <w:keepLines/>
              <w:numPr>
                <w:ilvl w:val="4"/>
                <w:numId w:val="0"/>
              </w:numPr>
              <w:tabs>
                <w:tab w:val="left" w:pos="0"/>
              </w:tabs>
              <w:ind w:left="-960" w:firstLine="144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（1）生活污水</w:t>
            </w:r>
          </w:p>
          <w:p w14:paraId="0A44C8BA">
            <w:pPr>
              <w:widowControl/>
              <w:ind w:firstLine="480" w:firstLineChars="200"/>
              <w:jc w:val="left"/>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本项目劳动定员</w:t>
            </w:r>
            <w:r>
              <w:rPr>
                <w:rFonts w:hint="eastAsia" w:cs="Times New Roman"/>
                <w:color w:val="auto"/>
                <w:kern w:val="0"/>
                <w:highlight w:val="none"/>
                <w:lang w:val="en-US" w:eastAsia="zh-CN"/>
              </w:rPr>
              <w:t>2</w:t>
            </w:r>
            <w:r>
              <w:rPr>
                <w:rFonts w:hint="default" w:ascii="Times New Roman" w:hAnsi="Times New Roman" w:cs="Times New Roman"/>
                <w:color w:val="auto"/>
                <w:kern w:val="0"/>
                <w:highlight w:val="none"/>
              </w:rPr>
              <w:t>人，</w:t>
            </w:r>
            <w:r>
              <w:rPr>
                <w:rFonts w:hint="default" w:ascii="Times New Roman" w:hAnsi="Times New Roman" w:cs="Times New Roman"/>
                <w:color w:val="auto"/>
                <w:kern w:val="0"/>
                <w:highlight w:val="none"/>
                <w:lang w:val="en-US" w:eastAsia="zh-CN"/>
              </w:rPr>
              <w:t>项目内部</w:t>
            </w:r>
            <w:r>
              <w:rPr>
                <w:rFonts w:hint="eastAsia" w:cs="Times New Roman"/>
                <w:color w:val="auto"/>
                <w:kern w:val="0"/>
                <w:highlight w:val="none"/>
                <w:lang w:val="en-US" w:eastAsia="zh-CN"/>
              </w:rPr>
              <w:t>不设</w:t>
            </w:r>
            <w:r>
              <w:rPr>
                <w:rFonts w:hint="default" w:ascii="Times New Roman" w:hAnsi="Times New Roman" w:cs="Times New Roman"/>
                <w:color w:val="auto"/>
                <w:kern w:val="0"/>
                <w:highlight w:val="none"/>
                <w:lang w:eastAsia="zh-CN"/>
              </w:rPr>
              <w:t>食</w:t>
            </w:r>
            <w:r>
              <w:rPr>
                <w:rFonts w:hint="default" w:ascii="Times New Roman" w:hAnsi="Times New Roman" w:cs="Times New Roman"/>
                <w:color w:val="auto"/>
                <w:kern w:val="0"/>
                <w:highlight w:val="none"/>
              </w:rPr>
              <w:t>宿</w:t>
            </w:r>
            <w:r>
              <w:rPr>
                <w:rFonts w:hint="eastAsia"/>
                <w:color w:val="auto"/>
                <w:lang w:val="en-US" w:eastAsia="zh-CN"/>
              </w:rPr>
              <w:t>和卫生间。员工如厕依托乐昌市华轩针织制衣有限公司</w:t>
            </w:r>
            <w:r>
              <w:rPr>
                <w:rFonts w:hint="eastAsia" w:cs="Times New Roman"/>
                <w:color w:val="auto"/>
                <w:kern w:val="0"/>
                <w:highlight w:val="none"/>
                <w:lang w:eastAsia="zh-CN"/>
              </w:rPr>
              <w:t>，</w:t>
            </w:r>
            <w:r>
              <w:rPr>
                <w:rFonts w:hint="default" w:ascii="Times New Roman" w:hAnsi="Times New Roman" w:cs="Times New Roman"/>
                <w:color w:val="auto"/>
                <w:kern w:val="0"/>
                <w:highlight w:val="none"/>
              </w:rPr>
              <w:t>年工作天数</w:t>
            </w:r>
            <w:r>
              <w:rPr>
                <w:rFonts w:hint="eastAsia" w:cs="Times New Roman"/>
                <w:color w:val="auto"/>
                <w:kern w:val="0"/>
                <w:highlight w:val="none"/>
                <w:lang w:val="en-US" w:eastAsia="zh-CN"/>
              </w:rPr>
              <w:t>260</w:t>
            </w:r>
            <w:r>
              <w:rPr>
                <w:rFonts w:hint="default" w:ascii="Times New Roman" w:hAnsi="Times New Roman" w:cs="Times New Roman"/>
                <w:color w:val="auto"/>
                <w:kern w:val="0"/>
                <w:highlight w:val="none"/>
              </w:rPr>
              <w:t>天。</w:t>
            </w:r>
          </w:p>
          <w:p w14:paraId="02DF4FC1">
            <w:pPr>
              <w:widowControl/>
              <w:ind w:firstLine="480" w:firstLineChars="200"/>
              <w:jc w:val="both"/>
              <w:rPr>
                <w:rFonts w:hint="default" w:ascii="Times New Roman" w:hAnsi="Times New Roman" w:eastAsia="宋体" w:cs="Times New Roman"/>
                <w:color w:val="auto"/>
                <w:kern w:val="0"/>
                <w:highlight w:val="none"/>
              </w:rPr>
            </w:pPr>
            <w:r>
              <w:rPr>
                <w:rFonts w:hint="default" w:ascii="Times New Roman" w:hAnsi="Times New Roman" w:cs="Times New Roman"/>
                <w:color w:val="auto"/>
                <w:kern w:val="0"/>
                <w:sz w:val="24"/>
                <w:szCs w:val="24"/>
                <w:highlight w:val="none"/>
                <w:lang w:eastAsia="zh-CN"/>
              </w:rPr>
              <w:t>参考</w:t>
            </w:r>
            <w:r>
              <w:rPr>
                <w:rFonts w:hint="default" w:ascii="Times New Roman" w:hAnsi="Times New Roman" w:eastAsia="宋体" w:cs="Times New Roman"/>
                <w:color w:val="auto"/>
                <w:kern w:val="0"/>
                <w:sz w:val="24"/>
                <w:szCs w:val="24"/>
                <w:highlight w:val="none"/>
              </w:rPr>
              <w:t>广东省《用水定额 第3部分</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生活》</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DB44/T1461.3-2021</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表A.1服务业用水定额表，国家行政机构办公楼</w:t>
            </w:r>
            <w:r>
              <w:rPr>
                <w:rFonts w:hint="eastAsia" w:cs="Times New Roman"/>
                <w:color w:val="auto"/>
                <w:kern w:val="0"/>
                <w:sz w:val="24"/>
                <w:szCs w:val="24"/>
                <w:highlight w:val="none"/>
                <w:lang w:val="en-US" w:eastAsia="zh-CN"/>
              </w:rPr>
              <w:t>无</w:t>
            </w:r>
            <w:r>
              <w:rPr>
                <w:rFonts w:hint="default" w:ascii="Times New Roman" w:hAnsi="Times New Roman" w:eastAsia="宋体" w:cs="Times New Roman"/>
                <w:color w:val="auto"/>
                <w:kern w:val="0"/>
                <w:sz w:val="24"/>
                <w:szCs w:val="24"/>
                <w:highlight w:val="none"/>
              </w:rPr>
              <w:t>食堂和浴室的用水定额</w:t>
            </w:r>
            <w:r>
              <w:rPr>
                <w:rFonts w:hint="eastAsia" w:ascii="Times New Roman" w:hAnsi="Times New Roman" w:eastAsia="宋体" w:cs="Times New Roman"/>
                <w:color w:val="auto"/>
                <w:kern w:val="0"/>
                <w:sz w:val="24"/>
                <w:szCs w:val="24"/>
                <w:highlight w:val="none"/>
                <w:lang w:val="en-US" w:eastAsia="zh-CN"/>
              </w:rPr>
              <w:t>通用</w:t>
            </w:r>
            <w:r>
              <w:rPr>
                <w:rFonts w:hint="default" w:ascii="Times New Roman" w:hAnsi="Times New Roman" w:eastAsia="宋体" w:cs="Times New Roman"/>
                <w:color w:val="auto"/>
                <w:kern w:val="0"/>
                <w:sz w:val="24"/>
                <w:szCs w:val="24"/>
                <w:highlight w:val="none"/>
              </w:rPr>
              <w:t xml:space="preserve">值为 </w:t>
            </w:r>
            <w:r>
              <w:rPr>
                <w:rFonts w:hint="eastAsia" w:ascii="Times New Roman" w:hAnsi="Times New Roman" w:eastAsia="宋体" w:cs="Times New Roman"/>
                <w:color w:val="auto"/>
                <w:kern w:val="0"/>
                <w:sz w:val="24"/>
                <w:szCs w:val="24"/>
                <w:highlight w:val="none"/>
                <w:lang w:val="en-US" w:eastAsia="zh-CN"/>
              </w:rPr>
              <w:t>28</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/(人·a)计，</w:t>
            </w:r>
            <w:r>
              <w:rPr>
                <w:rFonts w:hint="default" w:ascii="Times New Roman" w:hAnsi="Times New Roman" w:cs="Times New Roman"/>
                <w:color w:val="auto"/>
                <w:highlight w:val="none"/>
                <w:lang w:eastAsia="zh-CN"/>
              </w:rPr>
              <w:t>则对</w:t>
            </w:r>
            <w:r>
              <w:rPr>
                <w:rFonts w:hint="default" w:ascii="Times New Roman" w:hAnsi="Times New Roman" w:eastAsia="宋体" w:cs="Times New Roman"/>
                <w:color w:val="auto"/>
                <w:kern w:val="0"/>
                <w:sz w:val="24"/>
                <w:szCs w:val="24"/>
                <w:highlight w:val="none"/>
                <w:lang w:val="en-US" w:eastAsia="zh-CN"/>
              </w:rPr>
              <w:t>应</w:t>
            </w:r>
            <w:r>
              <w:rPr>
                <w:rFonts w:hint="default" w:ascii="Times New Roman" w:hAnsi="Times New Roman" w:eastAsia="宋体" w:cs="Times New Roman"/>
                <w:color w:val="auto"/>
                <w:kern w:val="0"/>
                <w:sz w:val="24"/>
                <w:szCs w:val="24"/>
                <w:highlight w:val="none"/>
              </w:rPr>
              <w:t>生活用水量为</w:t>
            </w:r>
            <w:r>
              <w:rPr>
                <w:rFonts w:hint="eastAsia" w:cs="Times New Roman"/>
                <w:color w:val="auto"/>
                <w:kern w:val="0"/>
                <w:sz w:val="24"/>
                <w:szCs w:val="24"/>
                <w:highlight w:val="none"/>
                <w:lang w:val="en-US" w:eastAsia="zh-CN"/>
              </w:rPr>
              <w:t>56</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vertAlign w:val="baseline"/>
                <w:lang w:val="en-US" w:eastAsia="zh-CN"/>
              </w:rPr>
              <w:t>/a</w:t>
            </w:r>
            <w:r>
              <w:rPr>
                <w:rFonts w:hint="default" w:ascii="Times New Roman" w:hAnsi="Times New Roman" w:eastAsia="宋体" w:cs="Times New Roman"/>
                <w:color w:val="auto"/>
                <w:kern w:val="0"/>
                <w:sz w:val="24"/>
                <w:szCs w:val="24"/>
                <w:highlight w:val="none"/>
              </w:rPr>
              <w:t>。按照排污系数0.9计算，则生活污水排放量为</w:t>
            </w:r>
            <w:r>
              <w:rPr>
                <w:rFonts w:hint="eastAsia" w:cs="Times New Roman"/>
                <w:color w:val="auto"/>
                <w:kern w:val="0"/>
                <w:sz w:val="24"/>
                <w:szCs w:val="24"/>
                <w:highlight w:val="none"/>
                <w:lang w:val="en-US" w:eastAsia="zh-CN"/>
              </w:rPr>
              <w:t>50.4</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vertAlign w:val="baseline"/>
                <w:lang w:val="en-US" w:eastAsia="zh-CN"/>
              </w:rPr>
              <w:t>/a</w:t>
            </w: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eastAsia="zh-CN"/>
              </w:rPr>
              <w:t>生活</w:t>
            </w:r>
            <w:r>
              <w:rPr>
                <w:rFonts w:hint="default" w:ascii="Times New Roman" w:hAnsi="Times New Roman" w:eastAsia="宋体" w:cs="Times New Roman"/>
                <w:color w:val="auto"/>
                <w:kern w:val="0"/>
                <w:sz w:val="24"/>
                <w:szCs w:val="24"/>
                <w:highlight w:val="none"/>
              </w:rPr>
              <w:t>污水经过三级化粪池处理后排入园区污水处理厂，处理达标后排入武江（乐昌城-犁市河段）</w:t>
            </w:r>
            <w:r>
              <w:rPr>
                <w:rFonts w:hint="default" w:ascii="Times New Roman" w:hAnsi="Times New Roman" w:cs="Times New Roman"/>
                <w:color w:val="auto"/>
                <w:kern w:val="0"/>
                <w:sz w:val="24"/>
                <w:szCs w:val="24"/>
                <w:highlight w:val="none"/>
                <w:lang w:eastAsia="zh-CN"/>
              </w:rPr>
              <w:t>。</w:t>
            </w:r>
          </w:p>
          <w:p w14:paraId="117F20FE">
            <w:pPr>
              <w:widowControl/>
              <w:ind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污染物产生浓度参考《给排水设计手册》第五册《城镇排水》表4-1典型生活污水水质示例中的中浓度水质指标。生活污水的主要污染物为COD</w:t>
            </w:r>
            <w:r>
              <w:rPr>
                <w:rFonts w:hint="default" w:ascii="Times New Roman" w:hAnsi="Times New Roman" w:eastAsia="宋体" w:cs="Times New Roman"/>
                <w:color w:val="auto"/>
                <w:highlight w:val="none"/>
                <w:vertAlign w:val="subscript"/>
              </w:rPr>
              <w:t>Cr</w:t>
            </w: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、SS、NH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p w14:paraId="5DBCE4B1">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参考《给排水设计手册》（第5册城镇排水）中关于化粪池的处理效率，“三级化粪池”对SS的去除效率达30%，项目生活污水经三级化粪池处理效率参考《第一次全国污染源普查城镇生活源产排污系数手册》三级化粪池产排污系数计算的处理效率，即COD</w:t>
            </w:r>
            <w:r>
              <w:rPr>
                <w:rFonts w:hint="default" w:ascii="Times New Roman" w:hAnsi="Times New Roman" w:eastAsia="宋体" w:cs="Times New Roman"/>
                <w:color w:val="auto"/>
                <w:kern w:val="2"/>
                <w:sz w:val="24"/>
                <w:szCs w:val="24"/>
                <w:highlight w:val="none"/>
                <w:vertAlign w:val="subscript"/>
                <w:lang w:val="en-US" w:eastAsia="zh-CN" w:bidi="ar-SA"/>
              </w:rPr>
              <w:t>Cr</w:t>
            </w:r>
            <w:r>
              <w:rPr>
                <w:rFonts w:hint="default" w:ascii="Times New Roman" w:hAnsi="Times New Roman" w:eastAsia="宋体" w:cs="Times New Roman"/>
                <w:color w:val="auto"/>
                <w:kern w:val="2"/>
                <w:sz w:val="24"/>
                <w:szCs w:val="24"/>
                <w:highlight w:val="none"/>
                <w:lang w:val="en-US" w:eastAsia="zh-CN" w:bidi="ar-SA"/>
              </w:rPr>
              <w:t>去除率为20%，NH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去除率为3%）。处理效率参考《我国农村化粪池污染物去除效果及影响因素分析》（环境工程学报，2021）、《化粪池在实际生活中的比选和应用》（污染与防治陈杰、姜红）、《化粪池与人工湿地联用处理湖南农村地区生活污水研究》（湖南大学蒙语桦）等文献，三级化粪池对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去除效率为去除效率29%～72%，因此本项目BOD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去除效率取29%。</w:t>
            </w:r>
          </w:p>
          <w:p w14:paraId="71076ABE">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5</w:t>
            </w:r>
            <w:r>
              <w:rPr>
                <w:rFonts w:hint="default" w:ascii="Times New Roman" w:hAnsi="Times New Roman" w:eastAsia="宋体" w:cs="Times New Roman"/>
                <w:b/>
                <w:bCs/>
                <w:color w:val="auto"/>
                <w:kern w:val="2"/>
                <w:sz w:val="21"/>
                <w:szCs w:val="21"/>
                <w:highlight w:val="none"/>
                <w:lang w:val="en-US" w:eastAsia="zh-CN" w:bidi="ar-SA"/>
              </w:rPr>
              <w:t>污水污染源源强核算结果及相关参数一览表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50"/>
              <w:gridCol w:w="546"/>
              <w:gridCol w:w="813"/>
              <w:gridCol w:w="463"/>
              <w:gridCol w:w="673"/>
              <w:gridCol w:w="566"/>
              <w:gridCol w:w="765"/>
              <w:gridCol w:w="525"/>
              <w:gridCol w:w="439"/>
              <w:gridCol w:w="554"/>
              <w:gridCol w:w="554"/>
              <w:gridCol w:w="830"/>
              <w:gridCol w:w="562"/>
            </w:tblGrid>
            <w:tr w14:paraId="52BE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restart"/>
                  <w:vAlign w:val="center"/>
                </w:tcPr>
                <w:p w14:paraId="29BF4E8F">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工序/生产线</w:t>
                  </w:r>
                </w:p>
              </w:tc>
              <w:tc>
                <w:tcPr>
                  <w:tcW w:w="348" w:type="pct"/>
                  <w:vMerge w:val="restart"/>
                  <w:vAlign w:val="center"/>
                </w:tcPr>
                <w:p w14:paraId="65E6BB53">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装置</w:t>
                  </w:r>
                </w:p>
              </w:tc>
              <w:tc>
                <w:tcPr>
                  <w:tcW w:w="518" w:type="pct"/>
                  <w:vMerge w:val="restart"/>
                  <w:vAlign w:val="center"/>
                </w:tcPr>
                <w:p w14:paraId="7E1BAEB8">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w:t>
                  </w:r>
                </w:p>
              </w:tc>
              <w:tc>
                <w:tcPr>
                  <w:tcW w:w="1573" w:type="pct"/>
                  <w:gridSpan w:val="4"/>
                  <w:vAlign w:val="center"/>
                </w:tcPr>
                <w:p w14:paraId="220C8C6C">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污染物产生</w:t>
                  </w:r>
                </w:p>
              </w:tc>
              <w:tc>
                <w:tcPr>
                  <w:tcW w:w="615" w:type="pct"/>
                  <w:gridSpan w:val="2"/>
                  <w:vAlign w:val="center"/>
                </w:tcPr>
                <w:p w14:paraId="35FE0F6F">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治理措施</w:t>
                  </w:r>
                </w:p>
              </w:tc>
              <w:tc>
                <w:tcPr>
                  <w:tcW w:w="1235" w:type="pct"/>
                  <w:gridSpan w:val="3"/>
                  <w:vAlign w:val="center"/>
                </w:tcPr>
                <w:p w14:paraId="5C07587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污染物排放</w:t>
                  </w:r>
                </w:p>
              </w:tc>
              <w:tc>
                <w:tcPr>
                  <w:tcW w:w="358" w:type="pct"/>
                  <w:vMerge w:val="restart"/>
                  <w:vAlign w:val="center"/>
                </w:tcPr>
                <w:p w14:paraId="176EEBA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排放时间h/a</w:t>
                  </w:r>
                </w:p>
              </w:tc>
            </w:tr>
            <w:tr w14:paraId="2B6B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7CBBBC0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1507C12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Merge w:val="continue"/>
                  <w:vAlign w:val="center"/>
                </w:tcPr>
                <w:p w14:paraId="625531D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95" w:type="pct"/>
                  <w:vAlign w:val="center"/>
                </w:tcPr>
                <w:p w14:paraId="2B1F16B4">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核算方法</w:t>
                  </w:r>
                </w:p>
              </w:tc>
              <w:tc>
                <w:tcPr>
                  <w:tcW w:w="429" w:type="pct"/>
                  <w:vAlign w:val="center"/>
                </w:tcPr>
                <w:p w14:paraId="042719C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cs="Times New Roman"/>
                      <w:b/>
                      <w:bCs/>
                      <w:color w:val="auto"/>
                      <w:position w:val="-10"/>
                      <w:sz w:val="21"/>
                      <w:szCs w:val="21"/>
                      <w:highlight w:val="none"/>
                      <w:lang w:val="en-US" w:eastAsia="zh-CN" w:bidi="ar-SA"/>
                    </w:rPr>
                    <w:t>废水</w:t>
                  </w:r>
                  <w:r>
                    <w:rPr>
                      <w:rFonts w:hint="default" w:ascii="Times New Roman" w:hAnsi="Times New Roman" w:eastAsia="宋体" w:cs="Times New Roman"/>
                      <w:b/>
                      <w:bCs/>
                      <w:color w:val="auto"/>
                      <w:position w:val="-10"/>
                      <w:sz w:val="21"/>
                      <w:szCs w:val="21"/>
                      <w:highlight w:val="none"/>
                      <w:lang w:val="en-US" w:eastAsia="zh-CN" w:bidi="ar-SA"/>
                    </w:rPr>
                    <w:t>产生量</w:t>
                  </w:r>
                </w:p>
                <w:p w14:paraId="51EAF29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61" w:type="pct"/>
                  <w:vAlign w:val="center"/>
                </w:tcPr>
                <w:p w14:paraId="20CFAC9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产生浓度mg/L</w:t>
                  </w:r>
                </w:p>
              </w:tc>
              <w:tc>
                <w:tcPr>
                  <w:tcW w:w="486" w:type="pct"/>
                  <w:vAlign w:val="center"/>
                </w:tcPr>
                <w:p w14:paraId="6525C69B">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产生量</w:t>
                  </w:r>
                </w:p>
                <w:p w14:paraId="7362050D">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35" w:type="pct"/>
                  <w:vAlign w:val="center"/>
                </w:tcPr>
                <w:p w14:paraId="3D1C5159">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工艺</w:t>
                  </w:r>
                </w:p>
              </w:tc>
              <w:tc>
                <w:tcPr>
                  <w:tcW w:w="279" w:type="pct"/>
                  <w:vAlign w:val="center"/>
                </w:tcPr>
                <w:p w14:paraId="3AF81EE0">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效率</w:t>
                  </w:r>
                </w:p>
              </w:tc>
              <w:tc>
                <w:tcPr>
                  <w:tcW w:w="353" w:type="pct"/>
                  <w:vAlign w:val="center"/>
                </w:tcPr>
                <w:p w14:paraId="623AEBE3">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核算方法</w:t>
                  </w:r>
                </w:p>
              </w:tc>
              <w:tc>
                <w:tcPr>
                  <w:tcW w:w="353" w:type="pct"/>
                  <w:vAlign w:val="center"/>
                </w:tcPr>
                <w:p w14:paraId="7C0FDE75">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排放浓度</w:t>
                  </w:r>
                </w:p>
                <w:p w14:paraId="601EC03C">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mg/L</w:t>
                  </w:r>
                </w:p>
              </w:tc>
              <w:tc>
                <w:tcPr>
                  <w:tcW w:w="529" w:type="pct"/>
                  <w:vAlign w:val="center"/>
                </w:tcPr>
                <w:p w14:paraId="5F55B4CB">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排放量</w:t>
                  </w:r>
                </w:p>
                <w:p w14:paraId="3450E527">
                  <w:pPr>
                    <w:wordWrap w:val="0"/>
                    <w:autoSpaceDE w:val="0"/>
                    <w:autoSpaceDN w:val="0"/>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t/a</w:t>
                  </w:r>
                </w:p>
              </w:tc>
              <w:tc>
                <w:tcPr>
                  <w:tcW w:w="358" w:type="pct"/>
                  <w:vMerge w:val="continue"/>
                  <w:vAlign w:val="center"/>
                </w:tcPr>
                <w:p w14:paraId="09AC3C65">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05A3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restart"/>
                  <w:vAlign w:val="center"/>
                </w:tcPr>
                <w:p w14:paraId="3BB38425">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办公生活</w:t>
                  </w:r>
                </w:p>
              </w:tc>
              <w:tc>
                <w:tcPr>
                  <w:tcW w:w="348" w:type="pct"/>
                  <w:vMerge w:val="restart"/>
                  <w:vAlign w:val="center"/>
                </w:tcPr>
                <w:p w14:paraId="29C1167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三级化粪池</w:t>
                  </w:r>
                </w:p>
              </w:tc>
              <w:tc>
                <w:tcPr>
                  <w:tcW w:w="518" w:type="pct"/>
                  <w:vAlign w:val="center"/>
                </w:tcPr>
                <w:p w14:paraId="2DB0CCE2">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COD</w:t>
                  </w:r>
                  <w:r>
                    <w:rPr>
                      <w:rFonts w:hint="default" w:ascii="Times New Roman" w:hAnsi="Times New Roman" w:eastAsia="宋体" w:cs="Times New Roman"/>
                      <w:color w:val="auto"/>
                      <w:position w:val="-10"/>
                      <w:sz w:val="21"/>
                      <w:szCs w:val="21"/>
                      <w:highlight w:val="none"/>
                      <w:vertAlign w:val="subscript"/>
                      <w:lang w:val="en-US" w:eastAsia="zh-CN" w:bidi="ar-SA"/>
                    </w:rPr>
                    <w:t>Cr</w:t>
                  </w:r>
                </w:p>
              </w:tc>
              <w:tc>
                <w:tcPr>
                  <w:tcW w:w="295" w:type="pct"/>
                  <w:vMerge w:val="restart"/>
                  <w:vAlign w:val="center"/>
                </w:tcPr>
                <w:p w14:paraId="29E8994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产污系数法</w:t>
                  </w:r>
                </w:p>
              </w:tc>
              <w:tc>
                <w:tcPr>
                  <w:tcW w:w="429" w:type="pct"/>
                  <w:vMerge w:val="restart"/>
                  <w:vAlign w:val="center"/>
                </w:tcPr>
                <w:p w14:paraId="32BCF0E2">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50.4</w:t>
                  </w:r>
                </w:p>
              </w:tc>
              <w:tc>
                <w:tcPr>
                  <w:tcW w:w="361" w:type="pct"/>
                  <w:vAlign w:val="center"/>
                </w:tcPr>
                <w:p w14:paraId="7D96AEC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250</w:t>
                  </w:r>
                </w:p>
              </w:tc>
              <w:tc>
                <w:tcPr>
                  <w:tcW w:w="766" w:type="dxa"/>
                  <w:vAlign w:val="center"/>
                </w:tcPr>
                <w:p w14:paraId="68E5CBB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0126</w:t>
                  </w:r>
                </w:p>
              </w:tc>
              <w:tc>
                <w:tcPr>
                  <w:tcW w:w="335" w:type="pct"/>
                  <w:vMerge w:val="restart"/>
                  <w:vAlign w:val="center"/>
                </w:tcPr>
                <w:p w14:paraId="1C54558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厌氧工艺</w:t>
                  </w:r>
                </w:p>
              </w:tc>
              <w:tc>
                <w:tcPr>
                  <w:tcW w:w="279" w:type="pct"/>
                  <w:vAlign w:val="center"/>
                </w:tcPr>
                <w:p w14:paraId="692472DC">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353" w:type="pct"/>
                  <w:vMerge w:val="restart"/>
                  <w:vAlign w:val="center"/>
                </w:tcPr>
                <w:p w14:paraId="694E39C4">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排污系数法</w:t>
                  </w:r>
                </w:p>
              </w:tc>
              <w:tc>
                <w:tcPr>
                  <w:tcW w:w="353" w:type="pct"/>
                  <w:vAlign w:val="center"/>
                </w:tcPr>
                <w:p w14:paraId="2F03AA5E">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200</w:t>
                  </w:r>
                </w:p>
              </w:tc>
              <w:tc>
                <w:tcPr>
                  <w:tcW w:w="833" w:type="dxa"/>
                  <w:vAlign w:val="center"/>
                </w:tcPr>
                <w:p w14:paraId="23D94D0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358" w:type="pct"/>
                  <w:vMerge w:val="restart"/>
                  <w:vAlign w:val="center"/>
                </w:tcPr>
                <w:p w14:paraId="3DA8A75F">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2600</w:t>
                  </w:r>
                </w:p>
              </w:tc>
            </w:tr>
            <w:tr w14:paraId="0E54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3E20AFF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458A3F31">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3FA8C90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BOD</w:t>
                  </w:r>
                  <w:r>
                    <w:rPr>
                      <w:rFonts w:hint="default" w:ascii="Times New Roman" w:hAnsi="Times New Roman" w:eastAsia="宋体" w:cs="Times New Roman"/>
                      <w:color w:val="auto"/>
                      <w:position w:val="-10"/>
                      <w:sz w:val="21"/>
                      <w:szCs w:val="21"/>
                      <w:highlight w:val="none"/>
                      <w:vertAlign w:val="subscript"/>
                      <w:lang w:val="en-US" w:eastAsia="zh-CN" w:bidi="ar-SA"/>
                    </w:rPr>
                    <w:t>5</w:t>
                  </w:r>
                </w:p>
              </w:tc>
              <w:tc>
                <w:tcPr>
                  <w:tcW w:w="295" w:type="pct"/>
                  <w:vMerge w:val="continue"/>
                  <w:vAlign w:val="center"/>
                </w:tcPr>
                <w:p w14:paraId="078713C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24E23DE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3417C83B">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110</w:t>
                  </w:r>
                </w:p>
              </w:tc>
              <w:tc>
                <w:tcPr>
                  <w:tcW w:w="766" w:type="dxa"/>
                  <w:vAlign w:val="center"/>
                </w:tcPr>
                <w:p w14:paraId="3C9019D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0554</w:t>
                  </w:r>
                </w:p>
              </w:tc>
              <w:tc>
                <w:tcPr>
                  <w:tcW w:w="335" w:type="pct"/>
                  <w:vMerge w:val="continue"/>
                  <w:vAlign w:val="center"/>
                </w:tcPr>
                <w:p w14:paraId="5F564F97">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32C84EC3">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w:t>
                  </w:r>
                </w:p>
              </w:tc>
              <w:tc>
                <w:tcPr>
                  <w:tcW w:w="353" w:type="pct"/>
                  <w:vMerge w:val="continue"/>
                  <w:vAlign w:val="center"/>
                </w:tcPr>
                <w:p w14:paraId="1E7ACE2A">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7D45EF6C">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78</w:t>
                  </w:r>
                </w:p>
              </w:tc>
              <w:tc>
                <w:tcPr>
                  <w:tcW w:w="833" w:type="dxa"/>
                  <w:vAlign w:val="center"/>
                </w:tcPr>
                <w:p w14:paraId="175B19C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358" w:type="pct"/>
                  <w:vMerge w:val="continue"/>
                  <w:vAlign w:val="center"/>
                </w:tcPr>
                <w:p w14:paraId="36E0000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47A8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4B331DD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7A01D5C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4B5F14B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SS</w:t>
                  </w:r>
                </w:p>
              </w:tc>
              <w:tc>
                <w:tcPr>
                  <w:tcW w:w="295" w:type="pct"/>
                  <w:vMerge w:val="continue"/>
                  <w:vAlign w:val="center"/>
                </w:tcPr>
                <w:p w14:paraId="3BC67121">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3E4657BC">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1BFF8BF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100</w:t>
                  </w:r>
                </w:p>
              </w:tc>
              <w:tc>
                <w:tcPr>
                  <w:tcW w:w="766" w:type="dxa"/>
                  <w:vAlign w:val="center"/>
                </w:tcPr>
                <w:p w14:paraId="54DD740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0504</w:t>
                  </w:r>
                </w:p>
              </w:tc>
              <w:tc>
                <w:tcPr>
                  <w:tcW w:w="335" w:type="pct"/>
                  <w:vMerge w:val="continue"/>
                  <w:vAlign w:val="center"/>
                </w:tcPr>
                <w:p w14:paraId="2AF3395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24329A18">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353" w:type="pct"/>
                  <w:vMerge w:val="continue"/>
                  <w:vAlign w:val="center"/>
                </w:tcPr>
                <w:p w14:paraId="221C516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3E9A87E6">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70</w:t>
                  </w:r>
                </w:p>
              </w:tc>
              <w:tc>
                <w:tcPr>
                  <w:tcW w:w="833" w:type="dxa"/>
                  <w:vAlign w:val="center"/>
                </w:tcPr>
                <w:p w14:paraId="159FE65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358" w:type="pct"/>
                  <w:vMerge w:val="continue"/>
                  <w:vAlign w:val="center"/>
                </w:tcPr>
                <w:p w14:paraId="737B771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75DD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51" w:type="pct"/>
                  <w:vMerge w:val="continue"/>
                  <w:vAlign w:val="center"/>
                </w:tcPr>
                <w:p w14:paraId="438E06E3">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48" w:type="pct"/>
                  <w:vMerge w:val="continue"/>
                  <w:vAlign w:val="center"/>
                </w:tcPr>
                <w:p w14:paraId="268E3757">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518" w:type="pct"/>
                  <w:vAlign w:val="center"/>
                </w:tcPr>
                <w:p w14:paraId="44A34F80">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NH</w:t>
                  </w:r>
                  <w:r>
                    <w:rPr>
                      <w:rFonts w:hint="default" w:ascii="Times New Roman" w:hAnsi="Times New Roman" w:eastAsia="宋体" w:cs="Times New Roman"/>
                      <w:color w:val="auto"/>
                      <w:position w:val="-10"/>
                      <w:sz w:val="21"/>
                      <w:szCs w:val="21"/>
                      <w:highlight w:val="none"/>
                      <w:vertAlign w:val="subscript"/>
                      <w:lang w:val="en-US" w:eastAsia="zh-CN" w:bidi="ar-SA"/>
                    </w:rPr>
                    <w:t>3</w:t>
                  </w:r>
                  <w:r>
                    <w:rPr>
                      <w:rFonts w:hint="default" w:ascii="Times New Roman" w:hAnsi="Times New Roman" w:eastAsia="宋体" w:cs="Times New Roman"/>
                      <w:color w:val="auto"/>
                      <w:position w:val="-10"/>
                      <w:sz w:val="21"/>
                      <w:szCs w:val="21"/>
                      <w:highlight w:val="none"/>
                      <w:lang w:val="en-US" w:eastAsia="zh-CN" w:bidi="ar-SA"/>
                    </w:rPr>
                    <w:t>-N</w:t>
                  </w:r>
                </w:p>
              </w:tc>
              <w:tc>
                <w:tcPr>
                  <w:tcW w:w="295" w:type="pct"/>
                  <w:vMerge w:val="continue"/>
                  <w:vAlign w:val="center"/>
                </w:tcPr>
                <w:p w14:paraId="16A9B53A">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29" w:type="pct"/>
                  <w:vMerge w:val="continue"/>
                  <w:vAlign w:val="center"/>
                </w:tcPr>
                <w:p w14:paraId="22037379">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61" w:type="pct"/>
                  <w:vAlign w:val="center"/>
                </w:tcPr>
                <w:p w14:paraId="2589B96E">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20</w:t>
                  </w:r>
                </w:p>
              </w:tc>
              <w:tc>
                <w:tcPr>
                  <w:tcW w:w="766" w:type="dxa"/>
                  <w:vAlign w:val="center"/>
                </w:tcPr>
                <w:p w14:paraId="6005EA2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0101</w:t>
                  </w:r>
                </w:p>
              </w:tc>
              <w:tc>
                <w:tcPr>
                  <w:tcW w:w="335" w:type="pct"/>
                  <w:vMerge w:val="continue"/>
                  <w:vAlign w:val="center"/>
                </w:tcPr>
                <w:p w14:paraId="6D08F876">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279" w:type="pct"/>
                  <w:vAlign w:val="center"/>
                </w:tcPr>
                <w:p w14:paraId="3549BF7A">
                  <w:pPr>
                    <w:widowControl/>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53" w:type="pct"/>
                  <w:vMerge w:val="continue"/>
                  <w:vAlign w:val="center"/>
                </w:tcPr>
                <w:p w14:paraId="0FFB50BF">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53" w:type="pct"/>
                  <w:vAlign w:val="center"/>
                </w:tcPr>
                <w:p w14:paraId="423D8322">
                  <w:pPr>
                    <w:widowControl/>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19</w:t>
                  </w:r>
                </w:p>
              </w:tc>
              <w:tc>
                <w:tcPr>
                  <w:tcW w:w="833" w:type="dxa"/>
                  <w:vAlign w:val="center"/>
                </w:tcPr>
                <w:p w14:paraId="4A38BA1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358" w:type="pct"/>
                  <w:vMerge w:val="continue"/>
                  <w:vAlign w:val="center"/>
                </w:tcPr>
                <w:p w14:paraId="3C3B1A98">
                  <w:pPr>
                    <w:wordWrap w:val="0"/>
                    <w:autoSpaceDE w:val="0"/>
                    <w:autoSpaceDN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bl>
          <w:p w14:paraId="68733AAA">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eastAsia="宋体" w:cs="Times New Roman"/>
                <w:b/>
                <w:bCs/>
                <w:color w:val="auto"/>
                <w:highlight w:val="none"/>
              </w:rPr>
              <w:t>、排放口基本情况</w:t>
            </w:r>
          </w:p>
          <w:p w14:paraId="5AE0108A">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营运期排放的废水</w:t>
            </w:r>
            <w:r>
              <w:rPr>
                <w:rFonts w:hint="eastAsia"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rPr>
              <w:t>生活污水</w:t>
            </w:r>
            <w:r>
              <w:rPr>
                <w:rFonts w:hint="eastAsia" w:cs="Times New Roman"/>
                <w:color w:val="auto"/>
                <w:highlight w:val="none"/>
                <w:lang w:val="en-US" w:eastAsia="zh-CN"/>
              </w:rPr>
              <w:t>，</w:t>
            </w:r>
            <w:r>
              <w:rPr>
                <w:rFonts w:hint="default" w:ascii="Times New Roman" w:hAnsi="Times New Roman" w:eastAsia="宋体" w:cs="Times New Roman"/>
                <w:color w:val="auto"/>
                <w:highlight w:val="none"/>
              </w:rPr>
              <w:t>产生量为</w:t>
            </w:r>
            <w:r>
              <w:rPr>
                <w:rFonts w:hint="eastAsia" w:cs="Times New Roman"/>
                <w:color w:val="auto"/>
                <w:highlight w:val="none"/>
                <w:lang w:val="en-US" w:eastAsia="zh-CN"/>
              </w:rPr>
              <w:t>50.4</w:t>
            </w:r>
            <w:r>
              <w:rPr>
                <w:rFonts w:hint="default" w:ascii="Times New Roman" w:hAnsi="Times New Roman" w:eastAsia="宋体" w:cs="Times New Roman"/>
                <w:color w:val="auto"/>
                <w:highlight w:val="none"/>
              </w:rPr>
              <w:t>t/a，主要污染物为COD</w:t>
            </w:r>
            <w:r>
              <w:rPr>
                <w:rFonts w:hint="default" w:ascii="Times New Roman" w:hAnsi="Times New Roman" w:eastAsia="宋体" w:cs="Times New Roman"/>
                <w:color w:val="auto"/>
                <w:highlight w:val="none"/>
                <w:vertAlign w:val="subscript"/>
              </w:rPr>
              <w:t>Cr</w:t>
            </w: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r>
              <w:rPr>
                <w:rFonts w:hint="default" w:ascii="Times New Roman" w:hAnsi="Times New Roman" w:eastAsia="宋体" w:cs="Times New Roman"/>
                <w:color w:val="auto"/>
                <w:highlight w:val="none"/>
              </w:rPr>
              <w:t>、SS、氨氮。</w:t>
            </w:r>
            <w:r>
              <w:rPr>
                <w:rFonts w:hint="eastAsia" w:cs="Times New Roman"/>
                <w:color w:val="auto"/>
                <w:highlight w:val="none"/>
                <w:lang w:val="en-US" w:eastAsia="zh-CN"/>
              </w:rPr>
              <w:t>本</w:t>
            </w:r>
            <w:r>
              <w:rPr>
                <w:rFonts w:hint="default" w:ascii="Times New Roman" w:hAnsi="Times New Roman" w:eastAsia="宋体" w:cs="Times New Roman"/>
                <w:color w:val="auto"/>
                <w:highlight w:val="none"/>
              </w:rPr>
              <w:t>项目</w:t>
            </w:r>
            <w:r>
              <w:rPr>
                <w:rFonts w:hint="eastAsia" w:cs="Times New Roman"/>
                <w:color w:val="auto"/>
                <w:highlight w:val="none"/>
                <w:lang w:val="en-US" w:eastAsia="zh-CN"/>
              </w:rPr>
              <w:t>员工如厕依托乐昌市华轩针织制衣有限公司卫生间，生活污水依托乐昌市华轩针织制衣有限公司三级化粪池处理，本项目不设废水排放口。</w:t>
            </w:r>
          </w:p>
          <w:p w14:paraId="6D907F18">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rPr>
              <w:t>、达标情况分析</w:t>
            </w:r>
          </w:p>
          <w:p w14:paraId="361D409C">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（1）可行性技术分析</w:t>
            </w:r>
          </w:p>
          <w:p w14:paraId="48E4D5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0"/>
                <w:highlight w:val="none"/>
                <w:lang w:val="en-US" w:eastAsia="zh-CN" w:bidi="ar-SA"/>
              </w:rPr>
            </w:pPr>
            <w:r>
              <w:rPr>
                <w:rFonts w:hint="default" w:ascii="Times New Roman" w:hAnsi="Times New Roman" w:eastAsia="宋体" w:cs="Times New Roman"/>
                <w:color w:val="auto"/>
                <w:kern w:val="0"/>
                <w:sz w:val="24"/>
                <w:szCs w:val="20"/>
                <w:highlight w:val="none"/>
                <w:lang w:val="en-US" w:eastAsia="zh-CN" w:bidi="ar-SA"/>
              </w:rPr>
              <w:t>参考环境保护部发布的环境保护技术文件：《村镇生活污染防治最佳可行技术指南</w:t>
            </w:r>
            <w:r>
              <w:rPr>
                <w:rFonts w:hint="eastAsia" w:cs="Times New Roman"/>
                <w:color w:val="auto"/>
                <w:kern w:val="0"/>
                <w:sz w:val="24"/>
                <w:szCs w:val="20"/>
                <w:highlight w:val="none"/>
                <w:lang w:val="en-US" w:eastAsia="zh-CN" w:bidi="ar-SA"/>
              </w:rPr>
              <w:t>（</w:t>
            </w:r>
            <w:r>
              <w:rPr>
                <w:rFonts w:hint="default" w:ascii="Times New Roman" w:hAnsi="Times New Roman" w:eastAsia="宋体" w:cs="Times New Roman"/>
                <w:color w:val="auto"/>
                <w:kern w:val="0"/>
                <w:sz w:val="24"/>
                <w:szCs w:val="20"/>
                <w:highlight w:val="none"/>
                <w:lang w:val="en-US" w:eastAsia="zh-CN" w:bidi="ar-SA"/>
              </w:rPr>
              <w:t>试行</w:t>
            </w:r>
            <w:r>
              <w:rPr>
                <w:rFonts w:hint="eastAsia" w:cs="Times New Roman"/>
                <w:color w:val="auto"/>
                <w:kern w:val="0"/>
                <w:sz w:val="24"/>
                <w:szCs w:val="20"/>
                <w:highlight w:val="none"/>
                <w:lang w:val="en-US" w:eastAsia="zh-CN" w:bidi="ar-SA"/>
              </w:rPr>
              <w:t>）</w:t>
            </w:r>
            <w:r>
              <w:rPr>
                <w:rFonts w:hint="default" w:ascii="Times New Roman" w:hAnsi="Times New Roman" w:eastAsia="宋体" w:cs="Times New Roman"/>
                <w:color w:val="auto"/>
                <w:kern w:val="0"/>
                <w:sz w:val="24"/>
                <w:szCs w:val="20"/>
                <w:highlight w:val="none"/>
                <w:lang w:val="en-US" w:eastAsia="zh-CN" w:bidi="ar-SA"/>
              </w:rPr>
              <w:t>》（HJ-BAT-9），三格式化粪池为生活污水可行治理技术，本项目生活污水经三级化粪池处理后排入园区污水处理厂处理。因此，本项目纳入园区污水处理厂处理从技术上是完全可行的。</w:t>
            </w:r>
          </w:p>
          <w:p w14:paraId="0F236567">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（2）水污染物控制和水环境影响减缓措施有效性评价</w:t>
            </w:r>
          </w:p>
          <w:p w14:paraId="17EEF158">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本项目位于广东省韶关市乐昌市乐昌产业转移工业园内，属于园区污水处理范围。项目生活污水经三级化粪池预处理后，进入园区污水处理厂深度处理，处理后的尾水排入武江（乐昌城-犁市河段）。</w:t>
            </w:r>
          </w:p>
          <w:p w14:paraId="631465A7">
            <w:pPr>
              <w:widowControl w:val="0"/>
              <w:wordWrap w:val="0"/>
              <w:spacing w:line="360" w:lineRule="auto"/>
              <w:ind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园区污水处理厂出水水质执行《城镇污水处理厂污染物排放标准》（GB18918-2002）中一级</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标准和广东省《水污染物排放限值》（DB44/26-2001）中的第二时段一级排放标准较严者，对周围环境影响较小。</w:t>
            </w:r>
          </w:p>
          <w:p w14:paraId="16051A9D">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（3）依托污水设施的环境可行性评价</w:t>
            </w:r>
          </w:p>
          <w:p w14:paraId="6924E182">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租用乐昌市华轩针织制衣有限公司现有厂房进行生产，员工如厕依托乐昌市华轩针织制衣有限公司的厕所，依托乐昌市华轩针织制衣有限公司的三级化粪池对生活污水进行处理。乐昌市华轩针织制衣有限公司</w:t>
            </w:r>
            <w:r>
              <w:rPr>
                <w:rFonts w:hint="eastAsia" w:cs="Times New Roman"/>
                <w:color w:val="auto"/>
                <w:kern w:val="2"/>
                <w:sz w:val="24"/>
                <w:szCs w:val="24"/>
                <w:highlight w:val="none"/>
                <w:lang w:val="en-US" w:eastAsia="zh-CN" w:bidi="ar-SA"/>
              </w:rPr>
              <w:t>化粪池容积为8m</w:t>
            </w:r>
            <w:r>
              <w:rPr>
                <w:rFonts w:hint="eastAsia" w:cs="Times New Roman"/>
                <w:color w:val="auto"/>
                <w:kern w:val="2"/>
                <w:sz w:val="24"/>
                <w:szCs w:val="24"/>
                <w:highlight w:val="none"/>
                <w:vertAlign w:val="superscript"/>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目前</w:t>
            </w:r>
            <w:r>
              <w:rPr>
                <w:rFonts w:hint="eastAsia" w:ascii="Times New Roman" w:hAnsi="Times New Roman" w:eastAsia="宋体" w:cs="Times New Roman"/>
                <w:color w:val="auto"/>
                <w:kern w:val="2"/>
                <w:sz w:val="24"/>
                <w:szCs w:val="24"/>
                <w:highlight w:val="none"/>
                <w:lang w:val="en-US" w:eastAsia="zh-CN" w:bidi="ar-SA"/>
              </w:rPr>
              <w:t>乐昌市华轩针织制衣有限公司</w:t>
            </w:r>
            <w:r>
              <w:rPr>
                <w:rFonts w:hint="eastAsia" w:cs="Times New Roman"/>
                <w:color w:val="auto"/>
                <w:kern w:val="2"/>
                <w:sz w:val="24"/>
                <w:szCs w:val="24"/>
                <w:highlight w:val="none"/>
                <w:lang w:val="en-US" w:eastAsia="zh-CN" w:bidi="ar-SA"/>
              </w:rPr>
              <w:t>已停止运营，目前已处理量0m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/a，剩余能力3000m</w:t>
            </w:r>
            <w:r>
              <w:rPr>
                <w:rFonts w:hint="eastAsia" w:cs="Times New Roman"/>
                <w:color w:val="auto"/>
                <w:kern w:val="2"/>
                <w:sz w:val="24"/>
                <w:szCs w:val="24"/>
                <w:highlight w:val="none"/>
                <w:vertAlign w:val="superscript"/>
                <w:lang w:val="en-US" w:eastAsia="zh-CN" w:bidi="ar-SA"/>
              </w:rPr>
              <w:t>3</w:t>
            </w:r>
            <w:r>
              <w:rPr>
                <w:rFonts w:hint="eastAsia" w:cs="Times New Roman"/>
                <w:color w:val="auto"/>
                <w:kern w:val="2"/>
                <w:sz w:val="24"/>
                <w:szCs w:val="24"/>
                <w:highlight w:val="none"/>
                <w:lang w:val="en-US" w:eastAsia="zh-CN" w:bidi="ar-SA"/>
              </w:rPr>
              <w:t>/a，本项目新增量仅占1.68%，完全可接纳。</w:t>
            </w:r>
          </w:p>
          <w:p w14:paraId="714A0DF0">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产业园范围内已有乐昌产业转移工业园污水处理厂，根据乐昌产业转移工业园管网分布图（附图</w:t>
            </w:r>
            <w:r>
              <w:rPr>
                <w:rFonts w:hint="default" w:ascii="Times New Roman" w:hAnsi="Times New Roman" w:cs="Times New Roman"/>
                <w:color w:val="auto"/>
                <w:kern w:val="2"/>
                <w:sz w:val="24"/>
                <w:szCs w:val="24"/>
                <w:highlight w:val="none"/>
                <w:lang w:val="en-US" w:eastAsia="zh-CN" w:bidi="ar-SA"/>
              </w:rPr>
              <w:t>16</w:t>
            </w:r>
            <w:r>
              <w:rPr>
                <w:rFonts w:hint="default" w:ascii="Times New Roman" w:hAnsi="Times New Roman" w:eastAsia="宋体" w:cs="Times New Roman"/>
                <w:color w:val="auto"/>
                <w:kern w:val="2"/>
                <w:sz w:val="24"/>
                <w:szCs w:val="24"/>
                <w:highlight w:val="none"/>
                <w:lang w:val="en-US" w:eastAsia="zh-CN" w:bidi="ar-SA"/>
              </w:rPr>
              <w:t>）可知，本项目所在地块已纳入现状排污管收集范围内。污水工艺采用循环式活性污泥法（CASS）工艺。出水水质标准执行广东省地方标准《水污染物排放限值》(DB44/26-2001)第二时段一级标准及国家《城镇污水处理厂污染物排放标准》(GB18918-2002)一级</w:t>
            </w:r>
            <w:r>
              <w:rPr>
                <w:rFonts w:hint="default" w:ascii="Times New Roman" w:hAnsi="Times New Roman" w:cs="Times New Roman"/>
                <w:color w:val="auto"/>
                <w:kern w:val="2"/>
                <w:sz w:val="24"/>
                <w:szCs w:val="24"/>
                <w:highlight w:val="none"/>
                <w:lang w:val="en-US" w:eastAsia="zh-CN" w:bidi="ar-SA"/>
              </w:rPr>
              <w:t>A</w:t>
            </w:r>
            <w:r>
              <w:rPr>
                <w:rFonts w:hint="default" w:ascii="Times New Roman" w:hAnsi="Times New Roman" w:eastAsia="宋体" w:cs="Times New Roman"/>
                <w:color w:val="auto"/>
                <w:kern w:val="2"/>
                <w:sz w:val="24"/>
                <w:szCs w:val="24"/>
                <w:highlight w:val="none"/>
                <w:lang w:val="en-US" w:eastAsia="zh-CN" w:bidi="ar-SA"/>
              </w:rPr>
              <w:t>标准中较严标准，处理达标后由污水处理厂内提升泵通过已建成6392米长的出水管道输送至武江排放。</w:t>
            </w:r>
          </w:p>
          <w:p w14:paraId="78E4B5D9">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园区污水处理厂主体工艺采用为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后，预处理达到广东省《水污染</w:t>
            </w:r>
            <w:r>
              <w:rPr>
                <w:rFonts w:hint="eastAsia" w:cs="Times New Roman"/>
                <w:color w:val="auto"/>
                <w:kern w:val="2"/>
                <w:sz w:val="24"/>
                <w:szCs w:val="24"/>
                <w:highlight w:val="none"/>
                <w:lang w:val="en-US" w:eastAsia="zh-CN" w:bidi="ar-SA"/>
              </w:rPr>
              <w:t>物</w:t>
            </w:r>
            <w:r>
              <w:rPr>
                <w:rFonts w:hint="default" w:ascii="Times New Roman" w:hAnsi="Times New Roman" w:eastAsia="宋体" w:cs="Times New Roman"/>
                <w:color w:val="auto"/>
                <w:kern w:val="2"/>
                <w:sz w:val="24"/>
                <w:szCs w:val="24"/>
                <w:highlight w:val="none"/>
                <w:lang w:val="en-US" w:eastAsia="zh-CN" w:bidi="ar-SA"/>
              </w:rPr>
              <w:t>排放限值》(DB44/26-2001)第二时段三级标准。</w:t>
            </w:r>
          </w:p>
          <w:p w14:paraId="30BD170A">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产业园污水处理厂目前已建成正常运行，并安装了在线监控设施并与</w:t>
            </w:r>
            <w:r>
              <w:rPr>
                <w:rFonts w:hint="eastAsia" w:cs="Times New Roman"/>
                <w:color w:val="auto"/>
                <w:kern w:val="2"/>
                <w:sz w:val="24"/>
                <w:szCs w:val="24"/>
                <w:highlight w:val="none"/>
                <w:lang w:val="en-US" w:eastAsia="zh-CN" w:bidi="ar-SA"/>
              </w:rPr>
              <w:t>生态环境</w:t>
            </w:r>
            <w:r>
              <w:rPr>
                <w:rFonts w:hint="default" w:ascii="Times New Roman" w:hAnsi="Times New Roman" w:eastAsia="宋体" w:cs="Times New Roman"/>
                <w:color w:val="auto"/>
                <w:kern w:val="2"/>
                <w:sz w:val="24"/>
                <w:szCs w:val="24"/>
                <w:highlight w:val="none"/>
                <w:lang w:val="en-US" w:eastAsia="zh-CN" w:bidi="ar-SA"/>
              </w:rPr>
              <w:t>部门联网，园区污水处理厂占地面积15400m²，设计处理能力为10000m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/d，分两期建设，一期处理能力5000m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/d，二期处理能力5000m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/d，现状首期5000m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/d已经建成运行。</w:t>
            </w:r>
            <w:r>
              <w:rPr>
                <w:rFonts w:hint="default" w:ascii="Times New Roman" w:hAnsi="Times New Roman" w:cs="Times New Roman"/>
                <w:color w:val="auto"/>
                <w:sz w:val="24"/>
                <w:szCs w:val="24"/>
                <w:highlight w:val="none"/>
              </w:rPr>
              <w:t>根据《乐昌产业转移工业园污水处理厂202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年排污许可证执行报告》202</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年乐昌产业转移工业园污水处理厂年处理废水</w:t>
            </w:r>
            <w:r>
              <w:rPr>
                <w:rFonts w:hint="eastAsia" w:cs="Times New Roman"/>
                <w:color w:val="auto"/>
                <w:sz w:val="24"/>
                <w:szCs w:val="24"/>
                <w:highlight w:val="none"/>
                <w:lang w:val="en-US" w:eastAsia="zh-CN"/>
              </w:rPr>
              <w:t>73</w:t>
            </w:r>
            <w:r>
              <w:rPr>
                <w:rFonts w:hint="default" w:ascii="Times New Roman" w:hAnsi="Times New Roman" w:cs="Times New Roman"/>
                <w:color w:val="auto"/>
                <w:sz w:val="24"/>
                <w:szCs w:val="24"/>
                <w:highlight w:val="none"/>
              </w:rPr>
              <w:t>万吨（约</w:t>
            </w:r>
            <w:r>
              <w:rPr>
                <w:rFonts w:hint="eastAsia" w:cs="Times New Roman"/>
                <w:color w:val="auto"/>
                <w:sz w:val="24"/>
                <w:szCs w:val="24"/>
                <w:highlight w:val="none"/>
                <w:lang w:val="en-US" w:eastAsia="zh-CN"/>
              </w:rPr>
              <w:t>2000</w:t>
            </w:r>
            <w:r>
              <w:rPr>
                <w:rFonts w:hint="default" w:ascii="Times New Roman" w:hAnsi="Times New Roman" w:cs="Times New Roman"/>
                <w:color w:val="auto"/>
                <w:sz w:val="24"/>
                <w:szCs w:val="24"/>
                <w:highlight w:val="none"/>
              </w:rPr>
              <w:t>t/d）</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则剩余能力有</w:t>
            </w:r>
            <w:r>
              <w:rPr>
                <w:rFonts w:hint="default" w:ascii="Times New Roman" w:hAnsi="Times New Roman" w:cs="Times New Roman"/>
                <w:color w:val="auto"/>
                <w:kern w:val="0"/>
                <w:sz w:val="24"/>
                <w:szCs w:val="24"/>
                <w:highlight w:val="none"/>
                <w:lang w:val="en-US" w:eastAsia="zh-CN"/>
              </w:rPr>
              <w:t>3</w:t>
            </w:r>
            <w:r>
              <w:rPr>
                <w:rFonts w:hint="eastAsia" w:cs="Times New Roman"/>
                <w:color w:val="auto"/>
                <w:kern w:val="0"/>
                <w:sz w:val="24"/>
                <w:szCs w:val="24"/>
                <w:highlight w:val="none"/>
                <w:lang w:val="en-US" w:eastAsia="zh-CN"/>
              </w:rPr>
              <w:t>000</w:t>
            </w:r>
            <w:r>
              <w:rPr>
                <w:rFonts w:hint="default" w:ascii="Times New Roman" w:hAnsi="Times New Roman" w:eastAsia="宋体" w:cs="Times New Roman"/>
                <w:color w:val="auto"/>
                <w:kern w:val="0"/>
                <w:sz w:val="24"/>
                <w:szCs w:val="24"/>
                <w:highlight w:val="none"/>
                <w:lang w:val="en-US" w:eastAsia="zh-CN"/>
              </w:rPr>
              <w:t>t/d。</w:t>
            </w:r>
            <w:r>
              <w:rPr>
                <w:rFonts w:hint="default" w:ascii="Times New Roman" w:hAnsi="Times New Roman" w:eastAsia="宋体" w:cs="Times New Roman"/>
                <w:color w:val="auto"/>
                <w:kern w:val="2"/>
                <w:sz w:val="24"/>
                <w:szCs w:val="24"/>
                <w:highlight w:val="none"/>
                <w:lang w:val="en-US" w:eastAsia="zh-CN" w:bidi="ar-SA"/>
              </w:rPr>
              <w:t>本项目纳入污水处理厂的污水排放量为</w:t>
            </w:r>
            <w:r>
              <w:rPr>
                <w:rFonts w:hint="eastAsia" w:cs="Times New Roman"/>
                <w:color w:val="auto"/>
                <w:kern w:val="2"/>
                <w:sz w:val="24"/>
                <w:szCs w:val="24"/>
                <w:highlight w:val="none"/>
                <w:lang w:val="en-US" w:eastAsia="zh-CN" w:bidi="ar-SA"/>
              </w:rPr>
              <w:t>1</w:t>
            </w:r>
            <w:r>
              <w:rPr>
                <w:rFonts w:hint="default" w:ascii="Times New Roman" w:hAnsi="Times New Roman" w:cs="Times New Roman"/>
                <w:color w:val="auto"/>
                <w:kern w:val="2"/>
                <w:sz w:val="24"/>
                <w:szCs w:val="24"/>
                <w:highlight w:val="none"/>
                <w:lang w:val="en-US" w:eastAsia="zh-CN" w:bidi="ar-SA"/>
              </w:rPr>
              <w:t>.</w:t>
            </w:r>
            <w:r>
              <w:rPr>
                <w:rFonts w:hint="eastAsia"/>
                <w:color w:val="auto"/>
                <w:lang w:val="en-US" w:eastAsia="zh-CN"/>
              </w:rPr>
              <w:t>03</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/d，仅占剩余处理能力的0.</w:t>
            </w:r>
            <w:r>
              <w:rPr>
                <w:rFonts w:hint="default" w:ascii="Times New Roman" w:hAnsi="Times New Roman" w:cs="Times New Roman"/>
                <w:color w:val="auto"/>
                <w:kern w:val="2"/>
                <w:sz w:val="24"/>
                <w:szCs w:val="24"/>
                <w:highlight w:val="none"/>
                <w:lang w:val="en-US" w:eastAsia="zh-CN" w:bidi="ar-SA"/>
              </w:rPr>
              <w:t>0</w:t>
            </w:r>
            <w:r>
              <w:rPr>
                <w:rFonts w:hint="eastAsia"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%。污水中的污染物主要为SS、CODcr、BOD</w:t>
            </w:r>
            <w:r>
              <w:rPr>
                <w:rFonts w:hint="default" w:ascii="Times New Roman" w:hAnsi="Times New Roman" w:eastAsia="宋体" w:cs="Times New Roman"/>
                <w:color w:val="auto"/>
                <w:kern w:val="2"/>
                <w:sz w:val="24"/>
                <w:szCs w:val="24"/>
                <w:highlight w:val="none"/>
                <w:vertAlign w:val="sub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-N等，污染物种类较简单，根据前面分析，园区污水处理厂剩余污水处理能力完全可以容纳处理本项目排入的污水，因此，本项目产生的污水经预处理后排入园区污水处理厂处理具有环境可行性。</w:t>
            </w:r>
          </w:p>
          <w:p w14:paraId="215320B4">
            <w:pPr>
              <w:widowControl w:val="0"/>
              <w:spacing w:line="360" w:lineRule="auto"/>
              <w:jc w:val="center"/>
              <w:rPr>
                <w:rFonts w:hint="default" w:ascii="Times New Roman" w:hAnsi="Times New Roman" w:eastAsia="宋体" w:cs="Times New Roman"/>
                <w:color w:val="auto"/>
                <w:kern w:val="2"/>
                <w:sz w:val="24"/>
                <w:szCs w:val="28"/>
                <w:highlight w:val="none"/>
                <w:lang w:val="en-US" w:eastAsia="zh-CN" w:bidi="ar-SA"/>
              </w:rPr>
            </w:pPr>
            <w:r>
              <w:rPr>
                <w:rFonts w:hint="default" w:ascii="Times New Roman" w:hAnsi="Times New Roman" w:eastAsia="宋体" w:cs="Times New Roman"/>
                <w:color w:val="auto"/>
                <w:kern w:val="2"/>
                <w:sz w:val="24"/>
                <w:szCs w:val="28"/>
                <w:highlight w:val="none"/>
                <w:lang w:val="en-US" w:eastAsia="zh-CN" w:bidi="ar-SA"/>
              </w:rPr>
              <w:drawing>
                <wp:inline distT="0" distB="0" distL="0" distR="0">
                  <wp:extent cx="3470275" cy="1511300"/>
                  <wp:effectExtent l="9525" t="9525" r="24765" b="22225"/>
                  <wp:docPr id="1031" name="图片 4"/>
                  <wp:cNvGraphicFramePr/>
                  <a:graphic xmlns:a="http://schemas.openxmlformats.org/drawingml/2006/main">
                    <a:graphicData uri="http://schemas.openxmlformats.org/drawingml/2006/picture">
                      <pic:pic xmlns:pic="http://schemas.openxmlformats.org/drawingml/2006/picture">
                        <pic:nvPicPr>
                          <pic:cNvPr id="1031" name="图片 4"/>
                          <pic:cNvPicPr/>
                        </pic:nvPicPr>
                        <pic:blipFill>
                          <a:blip r:embed="rId15" cstate="print"/>
                          <a:srcRect/>
                          <a:stretch>
                            <a:fillRect/>
                          </a:stretch>
                        </pic:blipFill>
                        <pic:spPr>
                          <a:xfrm>
                            <a:off x="0" y="0"/>
                            <a:ext cx="3470909" cy="1511300"/>
                          </a:xfrm>
                          <a:prstGeom prst="rect">
                            <a:avLst/>
                          </a:prstGeom>
                          <a:ln w="9525" cap="flat" cmpd="sng">
                            <a:solidFill>
                              <a:srgbClr val="000000"/>
                            </a:solidFill>
                            <a:prstDash val="solid"/>
                            <a:round/>
                          </a:ln>
                        </pic:spPr>
                      </pic:pic>
                    </a:graphicData>
                  </a:graphic>
                </wp:inline>
              </w:drawing>
            </w:r>
          </w:p>
          <w:p w14:paraId="32437122">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图4-</w:t>
            </w:r>
            <w:r>
              <w:rPr>
                <w:rFonts w:hint="default" w:ascii="Times New Roman" w:hAnsi="Times New Roman" w:cs="Times New Roman"/>
                <w:b/>
                <w:color w:val="auto"/>
                <w:kern w:val="2"/>
                <w:sz w:val="21"/>
                <w:szCs w:val="21"/>
                <w:highlight w:val="none"/>
                <w:lang w:val="en-US" w:eastAsia="zh-CN" w:bidi="ar-SA"/>
              </w:rPr>
              <w:t>1</w:t>
            </w:r>
            <w:r>
              <w:rPr>
                <w:rFonts w:hint="default" w:ascii="Times New Roman" w:hAnsi="Times New Roman" w:eastAsia="宋体" w:cs="Times New Roman"/>
                <w:b/>
                <w:color w:val="auto"/>
                <w:kern w:val="2"/>
                <w:sz w:val="21"/>
                <w:szCs w:val="21"/>
                <w:highlight w:val="none"/>
                <w:lang w:val="en-US" w:eastAsia="zh-CN" w:bidi="ar-SA"/>
              </w:rPr>
              <w:t>园区污水处理厂工艺流程图</w:t>
            </w:r>
          </w:p>
          <w:p w14:paraId="4C7FEBAA">
            <w:pPr>
              <w:widowControl w:val="0"/>
              <w:wordWrap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5、监测要求</w:t>
            </w:r>
          </w:p>
          <w:p w14:paraId="04712D0A">
            <w:pPr>
              <w:widowControl/>
              <w:ind w:firstLine="480" w:firstLineChars="200"/>
              <w:jc w:val="left"/>
              <w:rPr>
                <w:rFonts w:hint="default" w:ascii="Times New Roman" w:hAnsi="Times New Roman" w:cs="Times New Roman"/>
                <w:color w:val="auto"/>
                <w:kern w:val="0"/>
                <w:highlight w:val="none"/>
              </w:rPr>
            </w:pPr>
            <w:r>
              <w:rPr>
                <w:rFonts w:hint="eastAsia" w:cs="Times New Roman"/>
                <w:color w:val="auto"/>
                <w:kern w:val="0"/>
                <w:sz w:val="24"/>
                <w:szCs w:val="20"/>
                <w:highlight w:val="none"/>
                <w:lang w:val="en-US" w:eastAsia="zh-CN" w:bidi="ar-SA"/>
              </w:rPr>
              <w:t>本项目不设废水排放口，故无监测要求。</w:t>
            </w:r>
          </w:p>
        </w:tc>
      </w:tr>
    </w:tbl>
    <w:p w14:paraId="14FC26ED">
      <w:pPr>
        <w:rPr>
          <w:rFonts w:hint="default" w:ascii="Times New Roman" w:hAnsi="Times New Roman" w:eastAsia="宋体" w:cs="Times New Roman"/>
          <w:color w:val="auto"/>
          <w:highlight w:val="none"/>
        </w:rPr>
        <w:sectPr>
          <w:pgSz w:w="11906" w:h="16838"/>
          <w:pgMar w:top="1440" w:right="1797" w:bottom="1440" w:left="179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bookmarkEnd w:id="96"/>
    <w:tbl>
      <w:tblPr>
        <w:tblStyle w:val="45"/>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3"/>
        <w:gridCol w:w="13663"/>
      </w:tblGrid>
      <w:tr w14:paraId="3613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0" w:hRule="atLeast"/>
        </w:trPr>
        <w:tc>
          <w:tcPr>
            <w:tcW w:w="578" w:type="dxa"/>
          </w:tcPr>
          <w:p w14:paraId="4A4F6D2D">
            <w:pPr>
              <w:pStyle w:val="7"/>
              <w:numPr>
                <w:ilvl w:val="0"/>
                <w:numId w:val="0"/>
              </w:numPr>
              <w:rPr>
                <w:rFonts w:hint="default" w:ascii="Times New Roman" w:hAnsi="Times New Roman" w:cs="Times New Roman"/>
                <w:color w:val="auto"/>
                <w:highlight w:val="none"/>
              </w:rPr>
            </w:pPr>
            <w:bookmarkStart w:id="111" w:name="_Toc7465"/>
          </w:p>
        </w:tc>
        <w:tc>
          <w:tcPr>
            <w:tcW w:w="20303" w:type="dxa"/>
          </w:tcPr>
          <w:p w14:paraId="6D5E208E">
            <w:pPr>
              <w:keepNext/>
              <w:keepLines/>
              <w:tabs>
                <w:tab w:val="left" w:pos="0"/>
              </w:tabs>
              <w:ind w:firstLine="480" w:firstLineChars="200"/>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三、噪声污染源</w:t>
            </w:r>
          </w:p>
          <w:p w14:paraId="0CB101D1">
            <w:pPr>
              <w:keepNext/>
              <w:keepLines/>
              <w:tabs>
                <w:tab w:val="left" w:pos="0"/>
              </w:tabs>
              <w:ind w:firstLine="480" w:firstLine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1、污染源源强分析</w:t>
            </w:r>
          </w:p>
          <w:p w14:paraId="17B6E130">
            <w:pPr>
              <w:pStyle w:val="21"/>
              <w:ind w:firstLine="422"/>
              <w:jc w:val="left"/>
              <w:rPr>
                <w:rFonts w:hint="default" w:ascii="Times New Roman" w:hAnsi="Times New Roman" w:cs="Times New Roman"/>
                <w:b/>
                <w:bCs/>
                <w:color w:val="auto"/>
                <w:kern w:val="0"/>
                <w:sz w:val="21"/>
                <w:szCs w:val="21"/>
                <w:highlight w:val="none"/>
              </w:rPr>
            </w:pPr>
            <w:r>
              <w:rPr>
                <w:rFonts w:hint="default" w:ascii="Times New Roman" w:hAnsi="Times New Roman" w:eastAsia="宋体" w:cs="Times New Roman"/>
                <w:color w:val="auto"/>
                <w:highlight w:val="none"/>
              </w:rPr>
              <w:t>本项目运营期噪声源主要为生产设备运行产生的噪声。</w:t>
            </w:r>
            <w:r>
              <w:rPr>
                <w:rFonts w:hint="default" w:ascii="Times New Roman" w:hAnsi="Times New Roman" w:eastAsia="宋体" w:cs="Times New Roman"/>
                <w:bCs/>
                <w:color w:val="auto"/>
                <w:kern w:val="0"/>
                <w:highlight w:val="none"/>
              </w:rPr>
              <w:t>生产及辅助设备运行时产生的噪声强度值为</w:t>
            </w:r>
            <w:r>
              <w:rPr>
                <w:rFonts w:hint="default" w:ascii="Times New Roman" w:hAnsi="Times New Roman" w:cs="Times New Roman"/>
                <w:bCs/>
                <w:color w:val="auto"/>
                <w:kern w:val="0"/>
                <w:highlight w:val="none"/>
                <w:lang w:val="en-US" w:eastAsia="zh-CN"/>
              </w:rPr>
              <w:t>75</w:t>
            </w:r>
            <w:r>
              <w:rPr>
                <w:rFonts w:hint="default" w:ascii="Times New Roman" w:hAnsi="Times New Roman" w:eastAsia="宋体" w:cs="Times New Roman"/>
                <w:bCs/>
                <w:color w:val="auto"/>
                <w:kern w:val="0"/>
                <w:highlight w:val="none"/>
              </w:rPr>
              <w:t>~</w:t>
            </w:r>
            <w:r>
              <w:rPr>
                <w:rFonts w:hint="default" w:ascii="Times New Roman" w:hAnsi="Times New Roman" w:cs="Times New Roman"/>
                <w:bCs/>
                <w:color w:val="auto"/>
                <w:kern w:val="0"/>
                <w:highlight w:val="none"/>
                <w:lang w:val="en-US" w:eastAsia="zh-CN"/>
              </w:rPr>
              <w:t>80</w:t>
            </w:r>
            <w:r>
              <w:rPr>
                <w:rFonts w:hint="default" w:ascii="Times New Roman" w:hAnsi="Times New Roman" w:eastAsia="宋体" w:cs="Times New Roman"/>
                <w:bCs/>
                <w:color w:val="auto"/>
                <w:kern w:val="0"/>
                <w:highlight w:val="none"/>
              </w:rPr>
              <w:t>dB</w:t>
            </w:r>
            <w:r>
              <w:rPr>
                <w:rFonts w:hint="default" w:ascii="Times New Roman" w:hAnsi="Times New Roman" w:cs="Times New Roman"/>
                <w:bCs/>
                <w:color w:val="auto"/>
                <w:kern w:val="0"/>
                <w:highlight w:val="none"/>
                <w:lang w:eastAsia="zh-CN"/>
              </w:rPr>
              <w:t>（</w:t>
            </w:r>
            <w:r>
              <w:rPr>
                <w:rFonts w:hint="default" w:ascii="Times New Roman" w:hAnsi="Times New Roman" w:eastAsia="宋体" w:cs="Times New Roman"/>
                <w:bCs/>
                <w:color w:val="auto"/>
                <w:kern w:val="0"/>
                <w:highlight w:val="none"/>
              </w:rPr>
              <w:t>A</w:t>
            </w:r>
            <w:r>
              <w:rPr>
                <w:rFonts w:hint="default" w:ascii="Times New Roman" w:hAnsi="Times New Roman" w:cs="Times New Roman"/>
                <w:bCs/>
                <w:color w:val="auto"/>
                <w:kern w:val="0"/>
                <w:highlight w:val="none"/>
                <w:lang w:eastAsia="zh-CN"/>
              </w:rPr>
              <w:t>）</w:t>
            </w:r>
            <w:r>
              <w:rPr>
                <w:rFonts w:hint="default" w:ascii="Times New Roman" w:hAnsi="Times New Roman" w:eastAsia="宋体" w:cs="Times New Roman"/>
                <w:bCs/>
                <w:color w:val="auto"/>
                <w:kern w:val="0"/>
                <w:highlight w:val="none"/>
              </w:rPr>
              <w:t>之间。噪声特征以连续性噪声为主，间歇性噪声为辅，噪声污染源强核算结果及相关参数如下表。</w:t>
            </w:r>
          </w:p>
          <w:p w14:paraId="1FBD3D0A">
            <w:pPr>
              <w:pStyle w:val="21"/>
              <w:ind w:firstLine="422"/>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 4-</w:t>
            </w:r>
            <w:r>
              <w:rPr>
                <w:rFonts w:hint="eastAsia" w:cs="Times New Roman"/>
                <w:b/>
                <w:bCs/>
                <w:color w:val="auto"/>
                <w:kern w:val="0"/>
                <w:sz w:val="21"/>
                <w:szCs w:val="21"/>
                <w:highlight w:val="none"/>
                <w:lang w:val="en-US" w:eastAsia="zh-CN"/>
              </w:rPr>
              <w:t>6</w:t>
            </w:r>
            <w:r>
              <w:rPr>
                <w:rFonts w:hint="default" w:ascii="Times New Roman" w:hAnsi="Times New Roman" w:cs="Times New Roman"/>
                <w:b/>
                <w:bCs/>
                <w:color w:val="auto"/>
                <w:kern w:val="0"/>
                <w:sz w:val="21"/>
                <w:szCs w:val="21"/>
                <w:highlight w:val="none"/>
              </w:rPr>
              <w:t xml:space="preserve"> 项目</w:t>
            </w:r>
            <w:r>
              <w:rPr>
                <w:rFonts w:hint="eastAsia" w:cs="Times New Roman"/>
                <w:b/>
                <w:bCs/>
                <w:color w:val="auto"/>
                <w:kern w:val="0"/>
                <w:sz w:val="21"/>
                <w:szCs w:val="21"/>
                <w:highlight w:val="none"/>
                <w:lang w:val="en-US" w:eastAsia="zh-CN"/>
              </w:rPr>
              <w:t>室内</w:t>
            </w:r>
            <w:r>
              <w:rPr>
                <w:rFonts w:hint="default" w:ascii="Times New Roman" w:hAnsi="Times New Roman" w:cs="Times New Roman"/>
                <w:b/>
                <w:bCs/>
                <w:color w:val="auto"/>
                <w:kern w:val="0"/>
                <w:sz w:val="21"/>
                <w:szCs w:val="21"/>
                <w:highlight w:val="none"/>
              </w:rPr>
              <w:t>昼间噪声</w:t>
            </w:r>
          </w:p>
          <w:tbl>
            <w:tblPr>
              <w:tblStyle w:val="44"/>
              <w:tblW w:w="4998" w:type="pct"/>
              <w:tblCellSpacing w:w="0" w:type="dxa"/>
              <w:tblInd w:w="0" w:type="dxa"/>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81"/>
              <w:gridCol w:w="916"/>
              <w:gridCol w:w="613"/>
              <w:gridCol w:w="830"/>
              <w:gridCol w:w="572"/>
              <w:gridCol w:w="589"/>
              <w:gridCol w:w="559"/>
              <w:gridCol w:w="572"/>
              <w:gridCol w:w="572"/>
              <w:gridCol w:w="572"/>
              <w:gridCol w:w="578"/>
              <w:gridCol w:w="623"/>
              <w:gridCol w:w="623"/>
              <w:gridCol w:w="623"/>
              <w:gridCol w:w="615"/>
              <w:gridCol w:w="830"/>
              <w:gridCol w:w="624"/>
              <w:gridCol w:w="608"/>
              <w:gridCol w:w="624"/>
              <w:gridCol w:w="633"/>
              <w:gridCol w:w="767"/>
            </w:tblGrid>
            <w:tr w14:paraId="359CD779">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CellMar>
                  <w:top w:w="0" w:type="dxa"/>
                  <w:left w:w="108" w:type="dxa"/>
                  <w:bottom w:w="0" w:type="dxa"/>
                  <w:right w:w="108" w:type="dxa"/>
                </w:tblCellMar>
              </w:tblPrEx>
              <w:trPr>
                <w:tblCellSpacing w:w="0" w:type="dxa"/>
              </w:trPr>
              <w:tc>
                <w:tcPr>
                  <w:tcW w:w="179" w:type="pct"/>
                  <w:vMerge w:val="restart"/>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757EC01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序号</w:t>
                  </w:r>
                </w:p>
              </w:tc>
              <w:tc>
                <w:tcPr>
                  <w:tcW w:w="341"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909E87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声源名称</w:t>
                  </w:r>
                </w:p>
              </w:tc>
              <w:tc>
                <w:tcPr>
                  <w:tcW w:w="228"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D36CDE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设备数量</w:t>
                  </w:r>
                </w:p>
              </w:tc>
              <w:tc>
                <w:tcPr>
                  <w:tcW w:w="309" w:type="pct"/>
                  <w:vMerge w:val="restart"/>
                  <w:tcBorders>
                    <w:top w:val="single" w:color="000000" w:sz="8" w:space="0"/>
                    <w:left w:val="nil"/>
                    <w:right w:val="single" w:color="000000" w:sz="4" w:space="0"/>
                  </w:tcBorders>
                  <w:shd w:val="clear" w:color="auto" w:fill="auto"/>
                  <w:tcMar>
                    <w:left w:w="0" w:type="dxa"/>
                    <w:right w:w="0" w:type="dxa"/>
                  </w:tcMar>
                  <w:vAlign w:val="center"/>
                </w:tcPr>
                <w:p w14:paraId="2E7C405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声压级/dB(A)</w:t>
                  </w:r>
                </w:p>
              </w:tc>
              <w:tc>
                <w:tcPr>
                  <w:tcW w:w="640" w:type="pct"/>
                  <w:gridSpan w:val="3"/>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0134BC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空间相对位置</w:t>
                  </w:r>
                </w:p>
              </w:tc>
              <w:tc>
                <w:tcPr>
                  <w:tcW w:w="854"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22A6FA5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距室内边界距离/m</w:t>
                  </w:r>
                </w:p>
              </w:tc>
              <w:tc>
                <w:tcPr>
                  <w:tcW w:w="925"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5B7E612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室内边界声级/dB(A)</w:t>
                  </w:r>
                </w:p>
              </w:tc>
              <w:tc>
                <w:tcPr>
                  <w:tcW w:w="309"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1BE529C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建筑物插入损失/dB(A)</w:t>
                  </w:r>
                </w:p>
              </w:tc>
              <w:tc>
                <w:tcPr>
                  <w:tcW w:w="925" w:type="pct"/>
                  <w:gridSpan w:val="4"/>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968384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建筑物外声级/dB(A)</w:t>
                  </w:r>
                </w:p>
              </w:tc>
              <w:tc>
                <w:tcPr>
                  <w:tcW w:w="285" w:type="pct"/>
                  <w:vMerge w:val="restart"/>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64D2C1A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建筑物外距离/m</w:t>
                  </w:r>
                </w:p>
              </w:tc>
            </w:tr>
            <w:tr w14:paraId="07F7B5E1">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179" w:type="pct"/>
                  <w:vMerge w:val="continue"/>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5F5663B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341"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645D06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228"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768AF9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309" w:type="pct"/>
                  <w:vMerge w:val="continue"/>
                  <w:tcBorders>
                    <w:left w:val="nil"/>
                    <w:bottom w:val="single" w:color="000000" w:sz="4" w:space="0"/>
                    <w:right w:val="single" w:color="000000" w:sz="4" w:space="0"/>
                  </w:tcBorders>
                  <w:shd w:val="clear" w:color="auto" w:fill="auto"/>
                  <w:tcMar>
                    <w:left w:w="0" w:type="dxa"/>
                    <w:right w:w="0" w:type="dxa"/>
                  </w:tcMar>
                  <w:vAlign w:val="center"/>
                </w:tcPr>
                <w:p w14:paraId="5F36503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6FD028D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X</w:t>
                  </w:r>
                </w:p>
              </w:tc>
              <w:tc>
                <w:tcPr>
                  <w:tcW w:w="219" w:type="pct"/>
                  <w:tcBorders>
                    <w:top w:val="nil"/>
                    <w:left w:val="nil"/>
                    <w:bottom w:val="single" w:color="000000" w:sz="4" w:space="0"/>
                    <w:right w:val="single" w:color="000000" w:sz="4" w:space="0"/>
                  </w:tcBorders>
                  <w:shd w:val="clear" w:color="auto" w:fill="auto"/>
                  <w:tcMar>
                    <w:left w:w="0" w:type="dxa"/>
                    <w:right w:w="0" w:type="dxa"/>
                  </w:tcMar>
                  <w:vAlign w:val="center"/>
                </w:tcPr>
                <w:p w14:paraId="6C44287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Y</w:t>
                  </w:r>
                </w:p>
              </w:tc>
              <w:tc>
                <w:tcPr>
                  <w:tcW w:w="208" w:type="pct"/>
                  <w:tcBorders>
                    <w:top w:val="nil"/>
                    <w:left w:val="nil"/>
                    <w:bottom w:val="single" w:color="000000" w:sz="4" w:space="0"/>
                    <w:right w:val="single" w:color="000000" w:sz="4" w:space="0"/>
                  </w:tcBorders>
                  <w:shd w:val="clear" w:color="auto" w:fill="auto"/>
                  <w:tcMar>
                    <w:left w:w="0" w:type="dxa"/>
                    <w:right w:w="0" w:type="dxa"/>
                  </w:tcMar>
                  <w:vAlign w:val="center"/>
                </w:tcPr>
                <w:p w14:paraId="699B3C1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Z</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2806781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7AB9E48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13" w:type="pct"/>
                  <w:tcBorders>
                    <w:top w:val="nil"/>
                    <w:left w:val="nil"/>
                    <w:bottom w:val="single" w:color="000000" w:sz="4" w:space="0"/>
                    <w:right w:val="single" w:color="000000" w:sz="4" w:space="0"/>
                  </w:tcBorders>
                  <w:shd w:val="clear" w:color="auto" w:fill="auto"/>
                  <w:tcMar>
                    <w:left w:w="0" w:type="dxa"/>
                    <w:right w:w="0" w:type="dxa"/>
                  </w:tcMar>
                  <w:vAlign w:val="center"/>
                </w:tcPr>
                <w:p w14:paraId="4C2DC87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14" w:type="pct"/>
                  <w:tcBorders>
                    <w:top w:val="nil"/>
                    <w:left w:val="nil"/>
                    <w:bottom w:val="single" w:color="000000" w:sz="4" w:space="0"/>
                    <w:right w:val="single" w:color="000000" w:sz="4" w:space="0"/>
                  </w:tcBorders>
                  <w:shd w:val="clear" w:color="auto" w:fill="auto"/>
                  <w:tcMar>
                    <w:left w:w="0" w:type="dxa"/>
                    <w:right w:w="0" w:type="dxa"/>
                  </w:tcMar>
                  <w:vAlign w:val="center"/>
                </w:tcPr>
                <w:p w14:paraId="50838F9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53B6B3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A2DFFE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70F2310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28" w:type="pct"/>
                  <w:tcBorders>
                    <w:top w:val="nil"/>
                    <w:left w:val="nil"/>
                    <w:bottom w:val="single" w:color="000000" w:sz="4" w:space="0"/>
                    <w:right w:val="single" w:color="000000" w:sz="4" w:space="0"/>
                  </w:tcBorders>
                  <w:shd w:val="clear" w:color="auto" w:fill="auto"/>
                  <w:tcMar>
                    <w:left w:w="0" w:type="dxa"/>
                    <w:right w:w="0" w:type="dxa"/>
                  </w:tcMar>
                  <w:vAlign w:val="center"/>
                </w:tcPr>
                <w:p w14:paraId="2786D27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309"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48EC665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518F70F6">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东</w:t>
                  </w:r>
                </w:p>
              </w:tc>
              <w:tc>
                <w:tcPr>
                  <w:tcW w:w="226" w:type="pct"/>
                  <w:tcBorders>
                    <w:top w:val="nil"/>
                    <w:left w:val="nil"/>
                    <w:bottom w:val="single" w:color="000000" w:sz="4" w:space="0"/>
                    <w:right w:val="single" w:color="000000" w:sz="4" w:space="0"/>
                  </w:tcBorders>
                  <w:shd w:val="clear" w:color="auto" w:fill="auto"/>
                  <w:tcMar>
                    <w:left w:w="0" w:type="dxa"/>
                    <w:right w:w="0" w:type="dxa"/>
                  </w:tcMar>
                  <w:vAlign w:val="center"/>
                </w:tcPr>
                <w:p w14:paraId="371CF3B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南</w:t>
                  </w:r>
                </w:p>
              </w:tc>
              <w:tc>
                <w:tcPr>
                  <w:tcW w:w="232" w:type="pct"/>
                  <w:tcBorders>
                    <w:top w:val="nil"/>
                    <w:left w:val="nil"/>
                    <w:bottom w:val="single" w:color="000000" w:sz="4" w:space="0"/>
                    <w:right w:val="single" w:color="000000" w:sz="4" w:space="0"/>
                  </w:tcBorders>
                  <w:shd w:val="clear" w:color="auto" w:fill="auto"/>
                  <w:tcMar>
                    <w:left w:w="0" w:type="dxa"/>
                    <w:right w:w="0" w:type="dxa"/>
                  </w:tcMar>
                  <w:vAlign w:val="center"/>
                </w:tcPr>
                <w:p w14:paraId="37F8EF2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西</w:t>
                  </w:r>
                </w:p>
              </w:tc>
              <w:tc>
                <w:tcPr>
                  <w:tcW w:w="234" w:type="pct"/>
                  <w:tcBorders>
                    <w:top w:val="nil"/>
                    <w:left w:val="nil"/>
                    <w:bottom w:val="single" w:color="000000" w:sz="4" w:space="0"/>
                    <w:right w:val="single" w:color="000000" w:sz="4" w:space="0"/>
                  </w:tcBorders>
                  <w:shd w:val="clear" w:color="auto" w:fill="auto"/>
                  <w:tcMar>
                    <w:left w:w="0" w:type="dxa"/>
                    <w:right w:w="0" w:type="dxa"/>
                  </w:tcMar>
                  <w:vAlign w:val="center"/>
                </w:tcPr>
                <w:p w14:paraId="629B6A20">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北</w:t>
                  </w:r>
                </w:p>
              </w:tc>
              <w:tc>
                <w:tcPr>
                  <w:tcW w:w="285" w:type="pct"/>
                  <w:vMerge w:val="continue"/>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3C8E2C7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r>
            <w:tr w14:paraId="6ADE6C1B">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179" w:type="pct"/>
                  <w:tcBorders>
                    <w:top w:val="nil"/>
                    <w:left w:val="single" w:color="000000" w:sz="8" w:space="0"/>
                    <w:bottom w:val="single" w:color="000000" w:sz="6" w:space="0"/>
                    <w:right w:val="single" w:color="000000" w:sz="4" w:space="0"/>
                  </w:tcBorders>
                  <w:shd w:val="clear" w:color="auto" w:fill="auto"/>
                  <w:tcMar>
                    <w:left w:w="0" w:type="dxa"/>
                    <w:right w:w="0" w:type="dxa"/>
                  </w:tcMar>
                  <w:vAlign w:val="center"/>
                </w:tcPr>
                <w:p w14:paraId="0181B30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341" w:type="pct"/>
                  <w:tcBorders>
                    <w:top w:val="nil"/>
                    <w:left w:val="nil"/>
                    <w:bottom w:val="single" w:color="000000" w:sz="6" w:space="0"/>
                    <w:right w:val="single" w:color="000000" w:sz="4" w:space="0"/>
                  </w:tcBorders>
                  <w:shd w:val="clear" w:color="auto" w:fill="auto"/>
                  <w:tcMar>
                    <w:left w:w="0" w:type="dxa"/>
                    <w:right w:w="0" w:type="dxa"/>
                  </w:tcMar>
                  <w:vAlign w:val="center"/>
                </w:tcPr>
                <w:p w14:paraId="4316A75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打包机</w:t>
                  </w:r>
                </w:p>
              </w:tc>
              <w:tc>
                <w:tcPr>
                  <w:tcW w:w="228" w:type="pct"/>
                  <w:tcBorders>
                    <w:top w:val="nil"/>
                    <w:left w:val="nil"/>
                    <w:bottom w:val="single" w:color="000000" w:sz="6" w:space="0"/>
                    <w:right w:val="single" w:color="000000" w:sz="4" w:space="0"/>
                  </w:tcBorders>
                  <w:shd w:val="clear" w:color="auto" w:fill="auto"/>
                  <w:tcMar>
                    <w:left w:w="0" w:type="dxa"/>
                    <w:right w:w="0" w:type="dxa"/>
                  </w:tcMar>
                  <w:vAlign w:val="center"/>
                </w:tcPr>
                <w:p w14:paraId="772D731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309" w:type="pct"/>
                  <w:tcBorders>
                    <w:top w:val="nil"/>
                    <w:left w:val="nil"/>
                    <w:bottom w:val="single" w:color="000000" w:sz="6" w:space="0"/>
                    <w:right w:val="single" w:color="000000" w:sz="4" w:space="0"/>
                  </w:tcBorders>
                  <w:shd w:val="clear" w:color="auto" w:fill="auto"/>
                  <w:tcMar>
                    <w:left w:w="0" w:type="dxa"/>
                    <w:right w:w="0" w:type="dxa"/>
                  </w:tcMar>
                  <w:vAlign w:val="center"/>
                </w:tcPr>
                <w:p w14:paraId="16C9CF2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80</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1FBBE14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11</w:t>
                  </w:r>
                </w:p>
              </w:tc>
              <w:tc>
                <w:tcPr>
                  <w:tcW w:w="219" w:type="pct"/>
                  <w:tcBorders>
                    <w:top w:val="nil"/>
                    <w:left w:val="nil"/>
                    <w:bottom w:val="single" w:color="000000" w:sz="6" w:space="0"/>
                    <w:right w:val="single" w:color="000000" w:sz="4" w:space="0"/>
                  </w:tcBorders>
                  <w:shd w:val="clear" w:color="auto" w:fill="auto"/>
                  <w:tcMar>
                    <w:left w:w="0" w:type="dxa"/>
                    <w:right w:w="0" w:type="dxa"/>
                  </w:tcMar>
                  <w:vAlign w:val="center"/>
                </w:tcPr>
                <w:p w14:paraId="51FFD9C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-13</w:t>
                  </w:r>
                </w:p>
              </w:tc>
              <w:tc>
                <w:tcPr>
                  <w:tcW w:w="208" w:type="pct"/>
                  <w:tcBorders>
                    <w:top w:val="nil"/>
                    <w:left w:val="nil"/>
                    <w:bottom w:val="single" w:color="000000" w:sz="6" w:space="0"/>
                    <w:right w:val="single" w:color="000000" w:sz="4" w:space="0"/>
                  </w:tcBorders>
                  <w:shd w:val="clear" w:color="auto" w:fill="auto"/>
                  <w:tcMar>
                    <w:left w:w="0" w:type="dxa"/>
                    <w:right w:w="0" w:type="dxa"/>
                  </w:tcMar>
                  <w:vAlign w:val="center"/>
                </w:tcPr>
                <w:p w14:paraId="2EAE833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0C083F6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32</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4B1815E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12</w:t>
                  </w:r>
                </w:p>
              </w:tc>
              <w:tc>
                <w:tcPr>
                  <w:tcW w:w="213" w:type="pct"/>
                  <w:tcBorders>
                    <w:top w:val="nil"/>
                    <w:left w:val="nil"/>
                    <w:bottom w:val="single" w:color="000000" w:sz="6" w:space="0"/>
                    <w:right w:val="single" w:color="000000" w:sz="4" w:space="0"/>
                  </w:tcBorders>
                  <w:shd w:val="clear" w:color="auto" w:fill="auto"/>
                  <w:tcMar>
                    <w:left w:w="0" w:type="dxa"/>
                    <w:right w:w="0" w:type="dxa"/>
                  </w:tcMar>
                  <w:vAlign w:val="center"/>
                </w:tcPr>
                <w:p w14:paraId="6DBC31A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55</w:t>
                  </w:r>
                </w:p>
              </w:tc>
              <w:tc>
                <w:tcPr>
                  <w:tcW w:w="214" w:type="pct"/>
                  <w:tcBorders>
                    <w:top w:val="nil"/>
                    <w:left w:val="nil"/>
                    <w:bottom w:val="single" w:color="000000" w:sz="6" w:space="0"/>
                    <w:right w:val="single" w:color="000000" w:sz="4" w:space="0"/>
                  </w:tcBorders>
                  <w:shd w:val="clear" w:color="auto" w:fill="auto"/>
                  <w:tcMar>
                    <w:left w:w="0" w:type="dxa"/>
                    <w:right w:w="0" w:type="dxa"/>
                  </w:tcMar>
                  <w:vAlign w:val="center"/>
                </w:tcPr>
                <w:p w14:paraId="0E279265">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377EC13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49.92</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6943E06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58.39</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64926FEF">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45.23</w:t>
                  </w:r>
                </w:p>
              </w:tc>
              <w:tc>
                <w:tcPr>
                  <w:tcW w:w="228" w:type="pct"/>
                  <w:tcBorders>
                    <w:top w:val="nil"/>
                    <w:left w:val="nil"/>
                    <w:bottom w:val="single" w:color="000000" w:sz="6" w:space="0"/>
                    <w:right w:val="single" w:color="000000" w:sz="4" w:space="0"/>
                  </w:tcBorders>
                  <w:shd w:val="clear" w:color="auto" w:fill="auto"/>
                  <w:tcMar>
                    <w:left w:w="0" w:type="dxa"/>
                    <w:right w:w="0" w:type="dxa"/>
                  </w:tcMar>
                  <w:vAlign w:val="center"/>
                </w:tcPr>
                <w:p w14:paraId="49F47E6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49.1</w:t>
                  </w:r>
                </w:p>
              </w:tc>
              <w:tc>
                <w:tcPr>
                  <w:tcW w:w="309" w:type="pct"/>
                  <w:tcBorders>
                    <w:top w:val="nil"/>
                    <w:left w:val="nil"/>
                    <w:bottom w:val="single" w:color="000000" w:sz="6" w:space="0"/>
                    <w:right w:val="single" w:color="000000" w:sz="4" w:space="0"/>
                  </w:tcBorders>
                  <w:shd w:val="clear" w:color="auto" w:fill="auto"/>
                  <w:tcMar>
                    <w:left w:w="0" w:type="dxa"/>
                    <w:right w:w="0" w:type="dxa"/>
                  </w:tcMar>
                  <w:vAlign w:val="center"/>
                </w:tcPr>
                <w:p w14:paraId="57D0795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20</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3B05955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23.65</w:t>
                  </w:r>
                </w:p>
              </w:tc>
              <w:tc>
                <w:tcPr>
                  <w:tcW w:w="226" w:type="pct"/>
                  <w:tcBorders>
                    <w:top w:val="nil"/>
                    <w:left w:val="nil"/>
                    <w:bottom w:val="single" w:color="000000" w:sz="6" w:space="0"/>
                    <w:right w:val="single" w:color="000000" w:sz="4" w:space="0"/>
                  </w:tcBorders>
                  <w:shd w:val="clear" w:color="auto" w:fill="auto"/>
                  <w:tcMar>
                    <w:left w:w="0" w:type="dxa"/>
                    <w:right w:w="0" w:type="dxa"/>
                  </w:tcMar>
                  <w:vAlign w:val="center"/>
                </w:tcPr>
                <w:p w14:paraId="791EFA5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31.7</w:t>
                  </w:r>
                </w:p>
              </w:tc>
              <w:tc>
                <w:tcPr>
                  <w:tcW w:w="232" w:type="pct"/>
                  <w:tcBorders>
                    <w:top w:val="nil"/>
                    <w:left w:val="nil"/>
                    <w:bottom w:val="single" w:color="000000" w:sz="6" w:space="0"/>
                    <w:right w:val="single" w:color="000000" w:sz="4" w:space="0"/>
                  </w:tcBorders>
                  <w:shd w:val="clear" w:color="auto" w:fill="auto"/>
                  <w:tcMar>
                    <w:left w:w="0" w:type="dxa"/>
                    <w:right w:w="0" w:type="dxa"/>
                  </w:tcMar>
                  <w:vAlign w:val="center"/>
                </w:tcPr>
                <w:p w14:paraId="79401E6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19.07</w:t>
                  </w:r>
                </w:p>
              </w:tc>
              <w:tc>
                <w:tcPr>
                  <w:tcW w:w="234" w:type="pct"/>
                  <w:tcBorders>
                    <w:top w:val="nil"/>
                    <w:left w:val="nil"/>
                    <w:bottom w:val="single" w:color="000000" w:sz="6" w:space="0"/>
                    <w:right w:val="single" w:color="000000" w:sz="4" w:space="0"/>
                  </w:tcBorders>
                  <w:shd w:val="clear" w:color="auto" w:fill="auto"/>
                  <w:tcMar>
                    <w:left w:w="0" w:type="dxa"/>
                    <w:right w:w="0" w:type="dxa"/>
                  </w:tcMar>
                  <w:vAlign w:val="center"/>
                </w:tcPr>
                <w:p w14:paraId="7681A2A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22.86</w:t>
                  </w:r>
                </w:p>
              </w:tc>
              <w:tc>
                <w:tcPr>
                  <w:tcW w:w="285" w:type="pct"/>
                  <w:tcBorders>
                    <w:top w:val="nil"/>
                    <w:left w:val="nil"/>
                    <w:bottom w:val="single" w:color="000000" w:sz="6" w:space="0"/>
                    <w:right w:val="single" w:color="000000" w:sz="6" w:space="0"/>
                  </w:tcBorders>
                  <w:shd w:val="clear" w:color="auto" w:fill="auto"/>
                  <w:tcMar>
                    <w:left w:w="0" w:type="dxa"/>
                    <w:right w:w="0" w:type="dxa"/>
                  </w:tcMar>
                  <w:vAlign w:val="center"/>
                </w:tcPr>
                <w:p w14:paraId="5A3E876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r>
          </w:tbl>
          <w:p w14:paraId="481DF821">
            <w:pPr>
              <w:pStyle w:val="21"/>
              <w:ind w:firstLine="0" w:firstLineChars="0"/>
              <w:jc w:val="center"/>
              <w:rPr>
                <w:rFonts w:hint="default" w:ascii="Times New Roman" w:hAnsi="Times New Roman" w:cs="Times New Roman"/>
                <w:b/>
                <w:bCs/>
                <w:color w:val="auto"/>
                <w:kern w:val="0"/>
                <w:sz w:val="21"/>
                <w:szCs w:val="21"/>
                <w:highlight w:val="none"/>
              </w:rPr>
            </w:pPr>
          </w:p>
          <w:p w14:paraId="4FEDDF28">
            <w:pPr>
              <w:pStyle w:val="21"/>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w:t>
            </w:r>
            <w:r>
              <w:rPr>
                <w:rFonts w:hint="eastAsia" w:cs="Times New Roman"/>
                <w:b/>
                <w:bCs/>
                <w:color w:val="auto"/>
                <w:kern w:val="0"/>
                <w:sz w:val="21"/>
                <w:szCs w:val="21"/>
                <w:highlight w:val="none"/>
                <w:lang w:val="en-US" w:eastAsia="zh-CN"/>
              </w:rPr>
              <w:t xml:space="preserve"> 4-7</w:t>
            </w:r>
            <w:r>
              <w:rPr>
                <w:rFonts w:hint="default" w:ascii="Times New Roman" w:hAnsi="Times New Roman" w:cs="Times New Roman"/>
                <w:b/>
                <w:bCs/>
                <w:color w:val="auto"/>
                <w:kern w:val="0"/>
                <w:sz w:val="21"/>
                <w:szCs w:val="21"/>
                <w:highlight w:val="none"/>
              </w:rPr>
              <w:t>噪声预测结果</w:t>
            </w:r>
          </w:p>
          <w:tbl>
            <w:tblPr>
              <w:tblStyle w:val="44"/>
              <w:tblW w:w="4997" w:type="pct"/>
              <w:tblCellSpacing w:w="0" w:type="dxa"/>
              <w:tblInd w:w="0" w:type="dxa"/>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3"/>
              <w:gridCol w:w="2141"/>
              <w:gridCol w:w="3731"/>
              <w:gridCol w:w="4262"/>
              <w:gridCol w:w="2154"/>
            </w:tblGrid>
            <w:tr w14:paraId="3A5234C8">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shd w:val="clear" w:color="auto" w:fill="auto"/>
                <w:tblCellMar>
                  <w:top w:w="0" w:type="dxa"/>
                  <w:left w:w="108" w:type="dxa"/>
                  <w:bottom w:w="0" w:type="dxa"/>
                  <w:right w:w="108" w:type="dxa"/>
                </w:tblCellMar>
              </w:tblPrEx>
              <w:trPr>
                <w:tblCellSpacing w:w="0" w:type="dxa"/>
              </w:trPr>
              <w:tc>
                <w:tcPr>
                  <w:tcW w:w="422" w:type="pct"/>
                  <w:vMerge w:val="restart"/>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1148C1E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序号</w:t>
                  </w:r>
                </w:p>
              </w:tc>
              <w:tc>
                <w:tcPr>
                  <w:tcW w:w="797" w:type="pct"/>
                  <w:vMerge w:val="restar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685F32E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sz w:val="21"/>
                      <w:szCs w:val="21"/>
                    </w:rPr>
                  </w:pPr>
                  <w:r>
                    <w:rPr>
                      <w:rFonts w:hint="eastAsia"/>
                      <w:color w:val="auto"/>
                      <w:sz w:val="21"/>
                      <w:szCs w:val="21"/>
                      <w:lang w:val="en-US" w:eastAsia="zh-CN"/>
                    </w:rPr>
                    <w:t>预测</w:t>
                  </w:r>
                  <w:r>
                    <w:rPr>
                      <w:rFonts w:hint="eastAsia" w:cs="Times New Roman"/>
                      <w:color w:val="auto"/>
                      <w:sz w:val="21"/>
                      <w:szCs w:val="21"/>
                      <w:lang w:val="en-US" w:eastAsia="zh-CN"/>
                    </w:rPr>
                    <w:t>点位</w:t>
                  </w:r>
                </w:p>
              </w:tc>
              <w:tc>
                <w:tcPr>
                  <w:tcW w:w="1389" w:type="pc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7B403A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噪声标准/dB(A)</w:t>
                  </w:r>
                </w:p>
              </w:tc>
              <w:tc>
                <w:tcPr>
                  <w:tcW w:w="1587" w:type="pct"/>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066F110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噪声/dB(A)</w:t>
                  </w:r>
                </w:p>
              </w:tc>
              <w:tc>
                <w:tcPr>
                  <w:tcW w:w="802" w:type="pct"/>
                  <w:tcBorders>
                    <w:top w:val="single" w:color="000000" w:sz="8" w:space="0"/>
                    <w:left w:val="nil"/>
                    <w:bottom w:val="single" w:color="000000" w:sz="4" w:space="0"/>
                    <w:right w:val="single" w:color="000000" w:sz="6" w:space="0"/>
                  </w:tcBorders>
                  <w:shd w:val="clear" w:color="auto" w:fill="auto"/>
                  <w:tcMar>
                    <w:left w:w="0" w:type="dxa"/>
                    <w:right w:w="0" w:type="dxa"/>
                  </w:tcMar>
                  <w:vAlign w:val="center"/>
                </w:tcPr>
                <w:p w14:paraId="0F4DCDC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达标情况</w:t>
                  </w:r>
                </w:p>
              </w:tc>
            </w:tr>
            <w:tr w14:paraId="6052F2F0">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vMerge w:val="continue"/>
                  <w:tcBorders>
                    <w:top w:val="single" w:color="000000" w:sz="8" w:space="0"/>
                    <w:left w:val="single" w:color="000000" w:sz="8" w:space="0"/>
                    <w:bottom w:val="single" w:color="000000" w:sz="4" w:space="0"/>
                    <w:right w:val="single" w:color="000000" w:sz="4" w:space="0"/>
                  </w:tcBorders>
                  <w:shd w:val="clear" w:color="auto" w:fill="auto"/>
                  <w:tcMar>
                    <w:left w:w="0" w:type="dxa"/>
                    <w:right w:w="0" w:type="dxa"/>
                  </w:tcMar>
                  <w:vAlign w:val="center"/>
                </w:tcPr>
                <w:p w14:paraId="4D932E3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4"/>
                      <w:szCs w:val="24"/>
                    </w:rPr>
                  </w:pPr>
                </w:p>
              </w:tc>
              <w:tc>
                <w:tcPr>
                  <w:tcW w:w="797" w:type="pct"/>
                  <w:vMerge w:val="continue"/>
                  <w:tcBorders>
                    <w:top w:val="single" w:color="000000" w:sz="8" w:space="0"/>
                    <w:left w:val="nil"/>
                    <w:bottom w:val="single" w:color="000000" w:sz="4" w:space="0"/>
                    <w:right w:val="single" w:color="000000" w:sz="4" w:space="0"/>
                  </w:tcBorders>
                  <w:shd w:val="clear" w:color="auto" w:fill="auto"/>
                  <w:tcMar>
                    <w:left w:w="0" w:type="dxa"/>
                    <w:right w:w="0" w:type="dxa"/>
                  </w:tcMar>
                  <w:vAlign w:val="center"/>
                </w:tcPr>
                <w:p w14:paraId="547A066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rPr>
                  </w:pP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0F090669">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1B50BE8C">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5F9D1D6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昼间</w:t>
                  </w:r>
                </w:p>
              </w:tc>
            </w:tr>
            <w:tr w14:paraId="0ABA1DE3">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340087DB">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1</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29D12D09">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南</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7EAAB1F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0205A65D">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31.7</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19D5625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595DAC4E">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27C7EC3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2</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00BF3DD0">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北</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7E037096">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3E9D0D37">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22.86</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6AA228CA">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6005076D">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4" w:space="0"/>
                    <w:right w:val="single" w:color="000000" w:sz="4" w:space="0"/>
                  </w:tcBorders>
                  <w:shd w:val="clear" w:color="auto" w:fill="auto"/>
                  <w:tcMar>
                    <w:left w:w="0" w:type="dxa"/>
                    <w:right w:w="0" w:type="dxa"/>
                  </w:tcMar>
                  <w:vAlign w:val="center"/>
                </w:tcPr>
                <w:p w14:paraId="7527253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3</w:t>
                  </w:r>
                </w:p>
              </w:tc>
              <w:tc>
                <w:tcPr>
                  <w:tcW w:w="797" w:type="pct"/>
                  <w:tcBorders>
                    <w:top w:val="nil"/>
                    <w:left w:val="nil"/>
                    <w:bottom w:val="single" w:color="000000" w:sz="4" w:space="0"/>
                    <w:right w:val="single" w:color="000000" w:sz="4" w:space="0"/>
                  </w:tcBorders>
                  <w:shd w:val="clear" w:color="auto" w:fill="auto"/>
                  <w:tcMar>
                    <w:left w:w="0" w:type="dxa"/>
                    <w:right w:w="0" w:type="dxa"/>
                  </w:tcMar>
                  <w:vAlign w:val="center"/>
                </w:tcPr>
                <w:p w14:paraId="45C0297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东</w:t>
                  </w:r>
                  <w:r>
                    <w:rPr>
                      <w:rFonts w:hint="eastAsia" w:cs="Times New Roman"/>
                      <w:color w:val="auto"/>
                      <w:sz w:val="21"/>
                      <w:szCs w:val="21"/>
                      <w:lang w:val="en-US" w:eastAsia="zh-CN"/>
                    </w:rPr>
                    <w:t>厂界</w:t>
                  </w:r>
                </w:p>
              </w:tc>
              <w:tc>
                <w:tcPr>
                  <w:tcW w:w="1389" w:type="pct"/>
                  <w:tcBorders>
                    <w:top w:val="nil"/>
                    <w:left w:val="nil"/>
                    <w:bottom w:val="single" w:color="000000" w:sz="4" w:space="0"/>
                    <w:right w:val="single" w:color="000000" w:sz="4" w:space="0"/>
                  </w:tcBorders>
                  <w:shd w:val="clear" w:color="auto" w:fill="auto"/>
                  <w:tcMar>
                    <w:left w:w="0" w:type="dxa"/>
                    <w:right w:w="0" w:type="dxa"/>
                  </w:tcMar>
                  <w:vAlign w:val="center"/>
                </w:tcPr>
                <w:p w14:paraId="5351E748">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4" w:space="0"/>
                    <w:right w:val="single" w:color="000000" w:sz="4" w:space="0"/>
                  </w:tcBorders>
                  <w:shd w:val="clear" w:color="auto" w:fill="auto"/>
                  <w:tcMar>
                    <w:left w:w="0" w:type="dxa"/>
                    <w:right w:w="0" w:type="dxa"/>
                  </w:tcMar>
                  <w:vAlign w:val="center"/>
                </w:tcPr>
                <w:p w14:paraId="1FD37A84">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23.65</w:t>
                  </w:r>
                </w:p>
              </w:tc>
              <w:tc>
                <w:tcPr>
                  <w:tcW w:w="802" w:type="pct"/>
                  <w:tcBorders>
                    <w:top w:val="nil"/>
                    <w:left w:val="nil"/>
                    <w:bottom w:val="single" w:color="000000" w:sz="4" w:space="0"/>
                    <w:right w:val="single" w:color="000000" w:sz="4" w:space="0"/>
                  </w:tcBorders>
                  <w:shd w:val="clear" w:color="auto" w:fill="auto"/>
                  <w:tcMar>
                    <w:left w:w="0" w:type="dxa"/>
                    <w:right w:w="0" w:type="dxa"/>
                  </w:tcMar>
                  <w:vAlign w:val="center"/>
                </w:tcPr>
                <w:p w14:paraId="23E2D10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r w14:paraId="22703AF1">
              <w:tblPrEx>
                <w:tblBorders>
                  <w:top w:val="single" w:color="000000" w:sz="8" w:space="0"/>
                  <w:left w:val="single" w:color="000000" w:sz="8"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422" w:type="pct"/>
                  <w:tcBorders>
                    <w:top w:val="nil"/>
                    <w:left w:val="single" w:color="000000" w:sz="8" w:space="0"/>
                    <w:bottom w:val="single" w:color="000000" w:sz="6" w:space="0"/>
                    <w:right w:val="single" w:color="000000" w:sz="4" w:space="0"/>
                  </w:tcBorders>
                  <w:shd w:val="clear" w:color="auto" w:fill="auto"/>
                  <w:tcMar>
                    <w:left w:w="0" w:type="dxa"/>
                    <w:right w:w="0" w:type="dxa"/>
                  </w:tcMar>
                  <w:vAlign w:val="center"/>
                </w:tcPr>
                <w:p w14:paraId="458C88D2">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4</w:t>
                  </w:r>
                </w:p>
              </w:tc>
              <w:tc>
                <w:tcPr>
                  <w:tcW w:w="797" w:type="pct"/>
                  <w:tcBorders>
                    <w:top w:val="nil"/>
                    <w:left w:val="nil"/>
                    <w:bottom w:val="single" w:color="000000" w:sz="6" w:space="0"/>
                    <w:right w:val="single" w:color="000000" w:sz="4" w:space="0"/>
                  </w:tcBorders>
                  <w:shd w:val="clear" w:color="auto" w:fill="auto"/>
                  <w:tcMar>
                    <w:left w:w="0" w:type="dxa"/>
                    <w:right w:w="0" w:type="dxa"/>
                  </w:tcMar>
                  <w:vAlign w:val="center"/>
                </w:tcPr>
                <w:p w14:paraId="2D11416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西</w:t>
                  </w:r>
                  <w:r>
                    <w:rPr>
                      <w:rFonts w:hint="eastAsia"/>
                      <w:color w:val="auto"/>
                      <w:sz w:val="21"/>
                      <w:szCs w:val="21"/>
                      <w:lang w:val="en-US" w:eastAsia="zh-CN"/>
                    </w:rPr>
                    <w:t>厂界</w:t>
                  </w:r>
                </w:p>
              </w:tc>
              <w:tc>
                <w:tcPr>
                  <w:tcW w:w="1389" w:type="pct"/>
                  <w:tcBorders>
                    <w:top w:val="nil"/>
                    <w:left w:val="nil"/>
                    <w:bottom w:val="single" w:color="000000" w:sz="6" w:space="0"/>
                    <w:right w:val="single" w:color="000000" w:sz="4" w:space="0"/>
                  </w:tcBorders>
                  <w:shd w:val="clear" w:color="auto" w:fill="auto"/>
                  <w:tcMar>
                    <w:left w:w="0" w:type="dxa"/>
                    <w:right w:w="0" w:type="dxa"/>
                  </w:tcMar>
                  <w:vAlign w:val="center"/>
                </w:tcPr>
                <w:p w14:paraId="1EA9135E">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65</w:t>
                  </w:r>
                </w:p>
              </w:tc>
              <w:tc>
                <w:tcPr>
                  <w:tcW w:w="1587" w:type="pct"/>
                  <w:tcBorders>
                    <w:top w:val="nil"/>
                    <w:left w:val="nil"/>
                    <w:bottom w:val="single" w:color="000000" w:sz="6" w:space="0"/>
                    <w:right w:val="single" w:color="000000" w:sz="4" w:space="0"/>
                  </w:tcBorders>
                  <w:shd w:val="clear" w:color="auto" w:fill="auto"/>
                  <w:tcMar>
                    <w:left w:w="0" w:type="dxa"/>
                    <w:right w:w="0" w:type="dxa"/>
                  </w:tcMar>
                  <w:vAlign w:val="center"/>
                </w:tcPr>
                <w:p w14:paraId="645B5AC1">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宋体" w:cs="Times New Roman"/>
                      <w:color w:val="auto"/>
                      <w:lang w:val="en-US" w:eastAsia="zh-CN"/>
                    </w:rPr>
                  </w:pPr>
                  <w:r>
                    <w:rPr>
                      <w:rFonts w:hint="eastAsia" w:cs="Times New Roman"/>
                      <w:color w:val="auto"/>
                      <w:sz w:val="21"/>
                      <w:szCs w:val="21"/>
                      <w:lang w:val="en-US" w:eastAsia="zh-CN"/>
                    </w:rPr>
                    <w:t>19.07</w:t>
                  </w:r>
                </w:p>
              </w:tc>
              <w:tc>
                <w:tcPr>
                  <w:tcW w:w="802" w:type="pct"/>
                  <w:tcBorders>
                    <w:top w:val="nil"/>
                    <w:left w:val="nil"/>
                    <w:bottom w:val="single" w:color="000000" w:sz="6" w:space="0"/>
                    <w:right w:val="single" w:color="000000" w:sz="4" w:space="0"/>
                  </w:tcBorders>
                  <w:shd w:val="clear" w:color="auto" w:fill="auto"/>
                  <w:tcMar>
                    <w:left w:w="0" w:type="dxa"/>
                    <w:right w:w="0" w:type="dxa"/>
                  </w:tcMar>
                  <w:vAlign w:val="center"/>
                </w:tcPr>
                <w:p w14:paraId="55D38F93">
                  <w:pPr>
                    <w:pStyle w:val="4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cs="Times New Roman"/>
                      <w:color w:val="auto"/>
                    </w:rPr>
                  </w:pPr>
                  <w:r>
                    <w:rPr>
                      <w:rFonts w:hint="default" w:ascii="Times New Roman" w:hAnsi="Times New Roman" w:eastAsia="宋体" w:cs="Times New Roman"/>
                      <w:color w:val="auto"/>
                      <w:sz w:val="21"/>
                      <w:szCs w:val="21"/>
                    </w:rPr>
                    <w:t>达标</w:t>
                  </w:r>
                </w:p>
              </w:tc>
            </w:tr>
          </w:tbl>
          <w:p w14:paraId="469337C5">
            <w:pPr>
              <w:rPr>
                <w:rFonts w:hint="default" w:ascii="Times New Roman" w:hAnsi="Times New Roman" w:cs="Times New Roman"/>
                <w:color w:val="auto"/>
                <w:highlight w:val="none"/>
              </w:rPr>
            </w:pPr>
          </w:p>
          <w:p w14:paraId="4D8E985B">
            <w:pPr>
              <w:rPr>
                <w:rFonts w:hint="default" w:ascii="Times New Roman" w:hAnsi="Times New Roman" w:cs="Times New Roman"/>
                <w:color w:val="auto"/>
                <w:highlight w:val="none"/>
              </w:rPr>
            </w:pPr>
          </w:p>
        </w:tc>
      </w:tr>
    </w:tbl>
    <w:p w14:paraId="74A3CA30">
      <w:pPr>
        <w:pStyle w:val="7"/>
        <w:numPr>
          <w:ilvl w:val="0"/>
          <w:numId w:val="0"/>
        </w:numPr>
        <w:rPr>
          <w:rFonts w:hint="default" w:ascii="Times New Roman" w:hAnsi="Times New Roman" w:cs="Times New Roman"/>
          <w:color w:val="auto"/>
          <w:highlight w:val="none"/>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tbl>
      <w:tblPr>
        <w:tblStyle w:val="45"/>
        <w:tblW w:w="0" w:type="auto"/>
        <w:tblInd w:w="1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
        <w:gridCol w:w="8936"/>
      </w:tblGrid>
      <w:tr w14:paraId="1AA9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388" w:type="dxa"/>
          </w:tcPr>
          <w:p w14:paraId="6BF127DA">
            <w:pPr>
              <w:rPr>
                <w:rFonts w:hint="default" w:ascii="Times New Roman" w:hAnsi="Times New Roman" w:cs="Times New Roman"/>
                <w:color w:val="auto"/>
                <w:highlight w:val="none"/>
              </w:rPr>
            </w:pPr>
          </w:p>
        </w:tc>
        <w:tc>
          <w:tcPr>
            <w:tcW w:w="8791" w:type="dxa"/>
          </w:tcPr>
          <w:p w14:paraId="4F466A7B">
            <w:pPr>
              <w:adjustRightInd w:val="0"/>
              <w:ind w:firstLine="480"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2、达标分析</w:t>
            </w:r>
          </w:p>
          <w:p w14:paraId="3FEA0DE3">
            <w:pPr>
              <w:adjustRightInd w:val="0"/>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项目厂界外50米范围内无声环境保护目标。</w:t>
            </w:r>
            <w:r>
              <w:rPr>
                <w:rFonts w:hint="default" w:ascii="Times New Roman" w:hAnsi="Times New Roman" w:eastAsia="宋体" w:cs="Times New Roman"/>
                <w:bCs/>
                <w:color w:val="auto"/>
                <w:kern w:val="0"/>
                <w:highlight w:val="none"/>
              </w:rPr>
              <w:t>项目运营期产生的噪声主要为生产设备运行时产生的噪声，其噪声的强度值为60~</w:t>
            </w:r>
            <w:r>
              <w:rPr>
                <w:rFonts w:hint="default" w:ascii="Times New Roman" w:hAnsi="Times New Roman" w:cs="Times New Roman"/>
                <w:bCs/>
                <w:color w:val="auto"/>
                <w:kern w:val="0"/>
                <w:highlight w:val="none"/>
                <w:lang w:val="en-US" w:eastAsia="zh-CN"/>
              </w:rPr>
              <w:t>90</w:t>
            </w:r>
            <w:r>
              <w:rPr>
                <w:rFonts w:hint="default" w:ascii="Times New Roman" w:hAnsi="Times New Roman" w:eastAsia="宋体" w:cs="Times New Roman"/>
                <w:bCs/>
                <w:color w:val="auto"/>
                <w:kern w:val="0"/>
                <w:highlight w:val="none"/>
              </w:rPr>
              <w:t>dB（A）之间。</w:t>
            </w:r>
          </w:p>
          <w:p w14:paraId="7C8D62CA">
            <w:pPr>
              <w:adjustRightInd w:val="0"/>
              <w:ind w:firstLine="480" w:firstLineChars="200"/>
              <w:rPr>
                <w:rFonts w:hint="default" w:ascii="Times New Roman" w:hAnsi="Times New Roman" w:eastAsia="宋体" w:cs="Times New Roman"/>
                <w:bCs/>
                <w:color w:val="auto"/>
                <w:highlight w:val="none"/>
              </w:rPr>
            </w:pPr>
            <w:r>
              <w:rPr>
                <w:rFonts w:hint="default" w:ascii="Times New Roman" w:hAnsi="Times New Roman" w:eastAsia="宋体" w:cs="Times New Roman"/>
                <w:color w:val="auto"/>
                <w:highlight w:val="none"/>
              </w:rPr>
              <w:t>固定声源的噪声向周围传播过程中，会发生反射、折射、衍射、吸收等现象。因此，随传播距离的增加而产生的衰减量并不按简单的几何规律计算。根据《环境影响评价技术导则-声环境》（HJ2.4-2021）对室内声源的预测方法，声源位于室内，室内声源可采用等效室外声源声功率级法进行计算。</w:t>
            </w:r>
          </w:p>
          <w:p w14:paraId="5C0249D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（1）室内点声源</w:t>
            </w:r>
          </w:p>
          <w:p w14:paraId="4C95DA6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声源位于室内，室内声源可采用等效室外声源声功率级法进行计算。设靠近开口处（或窗户）室内、室外某倍频带的声压级或A声级分别为Lp1和Lp2。若声源所在室内声场为近似扩散声场，则室外的倍频带声压级可按以下公式近似求出：</w:t>
            </w:r>
          </w:p>
          <w:p w14:paraId="53535F0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276350" cy="266700"/>
                  <wp:effectExtent l="0" t="0" r="0" b="0"/>
                  <wp:docPr id="1032" name="图片 1" descr="IMG_256"/>
                  <wp:cNvGraphicFramePr/>
                  <a:graphic xmlns:a="http://schemas.openxmlformats.org/drawingml/2006/main">
                    <a:graphicData uri="http://schemas.openxmlformats.org/drawingml/2006/picture">
                      <pic:pic xmlns:pic="http://schemas.openxmlformats.org/drawingml/2006/picture">
                        <pic:nvPicPr>
                          <pic:cNvPr id="1032" name="图片 1" descr="IMG_256"/>
                          <pic:cNvPicPr/>
                        </pic:nvPicPr>
                        <pic:blipFill>
                          <a:blip r:embed="rId16" cstate="print"/>
                          <a:srcRect/>
                          <a:stretch>
                            <a:fillRect/>
                          </a:stretch>
                        </pic:blipFill>
                        <pic:spPr>
                          <a:xfrm>
                            <a:off x="0" y="0"/>
                            <a:ext cx="1276350" cy="266700"/>
                          </a:xfrm>
                          <a:prstGeom prst="rect">
                            <a:avLst/>
                          </a:prstGeom>
                          <a:ln>
                            <a:noFill/>
                          </a:ln>
                        </pic:spPr>
                      </pic:pic>
                    </a:graphicData>
                  </a:graphic>
                </wp:inline>
              </w:drawing>
            </w:r>
          </w:p>
          <w:p w14:paraId="267CA4D8">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w:t>
            </w:r>
            <w:r>
              <w:rPr>
                <w:rFonts w:hint="eastAsia" w:ascii="Times New Roman" w:hAnsi="Times New Roman" w:eastAsia="宋体" w:cs="Times New Roman"/>
                <w:color w:val="auto"/>
                <w:kern w:val="2"/>
                <w:sz w:val="24"/>
                <w:szCs w:val="24"/>
                <w:highlight w:val="none"/>
                <w:lang w:val="en-US" w:eastAsia="zh-CN" w:bidi="ar-SA"/>
              </w:rPr>
              <w:t>——靠近开口处（或窗户）室内某倍频带的声压级或A声级，dB；</w:t>
            </w:r>
          </w:p>
          <w:p w14:paraId="36353E7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p2</w:t>
            </w:r>
            <w:r>
              <w:rPr>
                <w:rFonts w:hint="eastAsia" w:ascii="Times New Roman" w:hAnsi="Times New Roman" w:eastAsia="宋体" w:cs="Times New Roman"/>
                <w:color w:val="auto"/>
                <w:kern w:val="2"/>
                <w:sz w:val="24"/>
                <w:szCs w:val="24"/>
                <w:highlight w:val="none"/>
                <w:lang w:val="en-US" w:eastAsia="zh-CN" w:bidi="ar-SA"/>
              </w:rPr>
              <w:t>——靠近开口处（或窗户）室外某倍频带的声压级或A声级，dB；</w:t>
            </w:r>
          </w:p>
          <w:p w14:paraId="148C3DA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TL——隔墙（或窗户）倍频带或A声级的隔声量，dB。</w:t>
            </w:r>
          </w:p>
          <w:p w14:paraId="620FEAE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也可按下列公式计算某一室内声源靠近围护结构处产生的倍频带声压级或A声级：</w:t>
            </w:r>
          </w:p>
          <w:p w14:paraId="782BFB3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14500" cy="419100"/>
                  <wp:effectExtent l="0" t="0" r="0" b="0"/>
                  <wp:docPr id="1033" name="图片 2" descr="IMG_257"/>
                  <wp:cNvGraphicFramePr/>
                  <a:graphic xmlns:a="http://schemas.openxmlformats.org/drawingml/2006/main">
                    <a:graphicData uri="http://schemas.openxmlformats.org/drawingml/2006/picture">
                      <pic:pic xmlns:pic="http://schemas.openxmlformats.org/drawingml/2006/picture">
                        <pic:nvPicPr>
                          <pic:cNvPr id="1033" name="图片 2" descr="IMG_257"/>
                          <pic:cNvPicPr/>
                        </pic:nvPicPr>
                        <pic:blipFill>
                          <a:blip r:embed="rId17" cstate="print"/>
                          <a:srcRect/>
                          <a:stretch>
                            <a:fillRect/>
                          </a:stretch>
                        </pic:blipFill>
                        <pic:spPr>
                          <a:xfrm>
                            <a:off x="0" y="0"/>
                            <a:ext cx="1714500" cy="419100"/>
                          </a:xfrm>
                          <a:prstGeom prst="rect">
                            <a:avLst/>
                          </a:prstGeom>
                          <a:ln>
                            <a:noFill/>
                          </a:ln>
                        </pic:spPr>
                      </pic:pic>
                    </a:graphicData>
                  </a:graphic>
                </wp:inline>
              </w:drawing>
            </w:r>
          </w:p>
          <w:p w14:paraId="7BD64AB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w:t>
            </w:r>
            <w:r>
              <w:rPr>
                <w:rFonts w:hint="eastAsia" w:ascii="Times New Roman" w:hAnsi="Times New Roman" w:eastAsia="宋体" w:cs="Times New Roman"/>
                <w:color w:val="auto"/>
                <w:kern w:val="2"/>
                <w:sz w:val="24"/>
                <w:szCs w:val="24"/>
                <w:highlight w:val="none"/>
                <w:lang w:val="en-US" w:eastAsia="zh-CN" w:bidi="ar-SA"/>
              </w:rPr>
              <w:t>——靠近开口处（或窗户）室内某倍频带的声压级或A声级，dB；</w:t>
            </w:r>
          </w:p>
          <w:p w14:paraId="3FBACBC8">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——点声源声功率级（A计权或倍频带），dB；</w:t>
            </w:r>
          </w:p>
          <w:p w14:paraId="0FCB840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Q——指向性因数；通常对无指向性声源，当声源放在房间中心时，Q=1；当放在一面墙的中心时，Q=2；当放在两面墙夹角处时，Q=4；当放在三面墙夹角处时，Q=8；</w:t>
            </w:r>
          </w:p>
          <w:p w14:paraId="1959197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R——房间常数；R=Sα/(1-α)，S为房间内表面面积，m2；α为平均吸声系数；</w:t>
            </w:r>
          </w:p>
          <w:p w14:paraId="1519FD5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r——声源到靠近围护结构某点处的距离，m。</w:t>
            </w:r>
          </w:p>
          <w:p w14:paraId="02EF9BC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然后按下列公式计算出所有室内声源在围护结构处产生的i倍频带叠加声压级：</w:t>
            </w:r>
          </w:p>
          <w:p w14:paraId="1EBB8D7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695450" cy="514350"/>
                  <wp:effectExtent l="0" t="0" r="0" b="0"/>
                  <wp:docPr id="1034" name="图片 3" descr="IMG_258"/>
                  <wp:cNvGraphicFramePr/>
                  <a:graphic xmlns:a="http://schemas.openxmlformats.org/drawingml/2006/main">
                    <a:graphicData uri="http://schemas.openxmlformats.org/drawingml/2006/picture">
                      <pic:pic xmlns:pic="http://schemas.openxmlformats.org/drawingml/2006/picture">
                        <pic:nvPicPr>
                          <pic:cNvPr id="1034" name="图片 3" descr="IMG_258"/>
                          <pic:cNvPicPr/>
                        </pic:nvPicPr>
                        <pic:blipFill>
                          <a:blip r:embed="rId18" cstate="print"/>
                          <a:srcRect/>
                          <a:stretch>
                            <a:fillRect/>
                          </a:stretch>
                        </pic:blipFill>
                        <pic:spPr>
                          <a:xfrm>
                            <a:off x="0" y="0"/>
                            <a:ext cx="1695450" cy="514350"/>
                          </a:xfrm>
                          <a:prstGeom prst="rect">
                            <a:avLst/>
                          </a:prstGeom>
                          <a:ln>
                            <a:noFill/>
                          </a:ln>
                        </pic:spPr>
                      </pic:pic>
                    </a:graphicData>
                  </a:graphic>
                </wp:inline>
              </w:drawing>
            </w: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04975" cy="523875"/>
                  <wp:effectExtent l="0" t="0" r="9525" b="9525"/>
                  <wp:docPr id="1035" name="图片 4" descr="IMG_259"/>
                  <wp:cNvGraphicFramePr/>
                  <a:graphic xmlns:a="http://schemas.openxmlformats.org/drawingml/2006/main">
                    <a:graphicData uri="http://schemas.openxmlformats.org/drawingml/2006/picture">
                      <pic:pic xmlns:pic="http://schemas.openxmlformats.org/drawingml/2006/picture">
                        <pic:nvPicPr>
                          <pic:cNvPr id="1035" name="图片 4" descr="IMG_259"/>
                          <pic:cNvPicPr/>
                        </pic:nvPicPr>
                        <pic:blipFill>
                          <a:blip r:embed="rId19" cstate="print"/>
                          <a:srcRect/>
                          <a:stretch>
                            <a:fillRect/>
                          </a:stretch>
                        </pic:blipFill>
                        <pic:spPr>
                          <a:xfrm>
                            <a:off x="0" y="0"/>
                            <a:ext cx="1704975" cy="523875"/>
                          </a:xfrm>
                          <a:prstGeom prst="rect">
                            <a:avLst/>
                          </a:prstGeom>
                          <a:ln>
                            <a:noFill/>
                          </a:ln>
                        </pic:spPr>
                      </pic:pic>
                    </a:graphicData>
                  </a:graphic>
                </wp:inline>
              </w:drawing>
            </w:r>
          </w:p>
          <w:p w14:paraId="0B49A91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p1i</w:t>
            </w:r>
            <w:r>
              <w:rPr>
                <w:rFonts w:hint="eastAsia" w:ascii="Times New Roman" w:hAnsi="Times New Roman" w:eastAsia="宋体" w:cs="Times New Roman"/>
                <w:color w:val="auto"/>
                <w:kern w:val="2"/>
                <w:sz w:val="24"/>
                <w:szCs w:val="24"/>
                <w:highlight w:val="none"/>
                <w:lang w:val="en-US" w:eastAsia="zh-CN" w:bidi="ar-SA"/>
              </w:rPr>
              <w:t>(T)——靠近围护结构处室内N个声源i倍频带的叠加声压级，dB；</w:t>
            </w:r>
          </w:p>
          <w:p w14:paraId="04E9916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p1ij</w:t>
            </w:r>
            <w:r>
              <w:rPr>
                <w:rFonts w:hint="eastAsia" w:ascii="Times New Roman" w:hAnsi="Times New Roman" w:eastAsia="宋体" w:cs="Times New Roman"/>
                <w:color w:val="auto"/>
                <w:kern w:val="2"/>
                <w:sz w:val="24"/>
                <w:szCs w:val="24"/>
                <w:highlight w:val="none"/>
                <w:lang w:val="en-US" w:eastAsia="zh-CN" w:bidi="ar-SA"/>
              </w:rPr>
              <w:t>——室内j声源i倍频带的声压级，dB；</w:t>
            </w:r>
          </w:p>
          <w:p w14:paraId="4AAA3A8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N——室内声源总数。</w:t>
            </w:r>
          </w:p>
          <w:p w14:paraId="7775E74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在室内近似为扩散声场时，按下列公式计算出靠近室外围护结构处的声压级：</w:t>
            </w:r>
          </w:p>
          <w:p w14:paraId="19CA2C4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809750" cy="266700"/>
                  <wp:effectExtent l="0" t="0" r="0" b="0"/>
                  <wp:docPr id="1036" name="图片 5" descr="IMG_260"/>
                  <wp:cNvGraphicFramePr/>
                  <a:graphic xmlns:a="http://schemas.openxmlformats.org/drawingml/2006/main">
                    <a:graphicData uri="http://schemas.openxmlformats.org/drawingml/2006/picture">
                      <pic:pic xmlns:pic="http://schemas.openxmlformats.org/drawingml/2006/picture">
                        <pic:nvPicPr>
                          <pic:cNvPr id="1036" name="图片 5" descr="IMG_260"/>
                          <pic:cNvPicPr/>
                        </pic:nvPicPr>
                        <pic:blipFill>
                          <a:blip r:embed="rId20" cstate="print"/>
                          <a:srcRect/>
                          <a:stretch>
                            <a:fillRect/>
                          </a:stretch>
                        </pic:blipFill>
                        <pic:spPr>
                          <a:xfrm>
                            <a:off x="0" y="0"/>
                            <a:ext cx="1809750" cy="266700"/>
                          </a:xfrm>
                          <a:prstGeom prst="rect">
                            <a:avLst/>
                          </a:prstGeom>
                          <a:ln>
                            <a:noFill/>
                          </a:ln>
                        </pic:spPr>
                      </pic:pic>
                    </a:graphicData>
                  </a:graphic>
                </wp:inline>
              </w:drawing>
            </w:r>
          </w:p>
          <w:p w14:paraId="4000286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p2i(</w:t>
            </w:r>
            <w:r>
              <w:rPr>
                <w:rFonts w:hint="eastAsia" w:ascii="Times New Roman" w:hAnsi="Times New Roman" w:eastAsia="宋体" w:cs="Times New Roman"/>
                <w:color w:val="auto"/>
                <w:kern w:val="2"/>
                <w:sz w:val="24"/>
                <w:szCs w:val="24"/>
                <w:highlight w:val="none"/>
                <w:lang w:val="en-US" w:eastAsia="zh-CN" w:bidi="ar-SA"/>
              </w:rPr>
              <w:t>T)——靠近围护结构处室外N个声源i倍频带的叠加声压级，dB；</w:t>
            </w:r>
          </w:p>
          <w:p w14:paraId="2B9BB70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p1i(</w:t>
            </w:r>
            <w:r>
              <w:rPr>
                <w:rFonts w:hint="eastAsia" w:ascii="Times New Roman" w:hAnsi="Times New Roman" w:eastAsia="宋体" w:cs="Times New Roman"/>
                <w:color w:val="auto"/>
                <w:kern w:val="2"/>
                <w:sz w:val="24"/>
                <w:szCs w:val="24"/>
                <w:highlight w:val="none"/>
                <w:lang w:val="en-US" w:eastAsia="zh-CN" w:bidi="ar-SA"/>
              </w:rPr>
              <w:t>T)——靠近围护结构处室内N个声源i倍频带的叠加声压级，dB；</w:t>
            </w:r>
          </w:p>
          <w:p w14:paraId="72C98C97">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TL</w:t>
            </w:r>
            <w:r>
              <w:rPr>
                <w:rFonts w:hint="eastAsia" w:ascii="Times New Roman" w:hAnsi="Times New Roman" w:eastAsia="宋体" w:cs="Times New Roman"/>
                <w:color w:val="auto"/>
                <w:kern w:val="2"/>
                <w:sz w:val="24"/>
                <w:szCs w:val="24"/>
                <w:highlight w:val="none"/>
                <w:vertAlign w:val="subscript"/>
                <w:lang w:val="en-US" w:eastAsia="zh-CN" w:bidi="ar-SA"/>
              </w:rPr>
              <w:t>i</w:t>
            </w:r>
            <w:r>
              <w:rPr>
                <w:rFonts w:hint="eastAsia" w:ascii="Times New Roman" w:hAnsi="Times New Roman" w:eastAsia="宋体" w:cs="Times New Roman"/>
                <w:color w:val="auto"/>
                <w:kern w:val="2"/>
                <w:sz w:val="24"/>
                <w:szCs w:val="24"/>
                <w:highlight w:val="none"/>
                <w:lang w:val="en-US" w:eastAsia="zh-CN" w:bidi="ar-SA"/>
              </w:rPr>
              <w:t>——围护结构i倍频带的隔声量，dB。</w:t>
            </w:r>
          </w:p>
          <w:p w14:paraId="1DED6F2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然后按下列公式将室外声源的声压级和透过面积换算成等效的室外声源，计算出中心位置位于透声面积（S）处的等效声源的倍频带声功率级：</w:t>
            </w:r>
          </w:p>
          <w:p w14:paraId="732DF33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323975" cy="266700"/>
                  <wp:effectExtent l="0" t="0" r="9525" b="0"/>
                  <wp:docPr id="1037" name="图片 6" descr="IMG_261"/>
                  <wp:cNvGraphicFramePr/>
                  <a:graphic xmlns:a="http://schemas.openxmlformats.org/drawingml/2006/main">
                    <a:graphicData uri="http://schemas.openxmlformats.org/drawingml/2006/picture">
                      <pic:pic xmlns:pic="http://schemas.openxmlformats.org/drawingml/2006/picture">
                        <pic:nvPicPr>
                          <pic:cNvPr id="1037" name="图片 6" descr="IMG_261"/>
                          <pic:cNvPicPr/>
                        </pic:nvPicPr>
                        <pic:blipFill>
                          <a:blip r:embed="rId21" cstate="print"/>
                          <a:srcRect/>
                          <a:stretch>
                            <a:fillRect/>
                          </a:stretch>
                        </pic:blipFill>
                        <pic:spPr>
                          <a:xfrm>
                            <a:off x="0" y="0"/>
                            <a:ext cx="1323975" cy="266700"/>
                          </a:xfrm>
                          <a:prstGeom prst="rect">
                            <a:avLst/>
                          </a:prstGeom>
                          <a:ln>
                            <a:noFill/>
                          </a:ln>
                        </pic:spPr>
                      </pic:pic>
                    </a:graphicData>
                  </a:graphic>
                </wp:inline>
              </w:drawing>
            </w:r>
          </w:p>
          <w:p w14:paraId="7F76BE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——中心位置位于透声面积（S）处的等效声源的倍频带声功率级，dB；</w:t>
            </w:r>
          </w:p>
          <w:p w14:paraId="22CB3C1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p2</w:t>
            </w:r>
            <w:r>
              <w:rPr>
                <w:rFonts w:hint="eastAsia" w:ascii="Times New Roman" w:hAnsi="Times New Roman" w:eastAsia="宋体" w:cs="Times New Roman"/>
                <w:color w:val="auto"/>
                <w:kern w:val="2"/>
                <w:sz w:val="24"/>
                <w:szCs w:val="24"/>
                <w:highlight w:val="none"/>
                <w:lang w:val="en-US" w:eastAsia="zh-CN" w:bidi="ar-SA"/>
              </w:rPr>
              <w:t>(T)——靠近围护结构处室外声源的声压级，dB；</w:t>
            </w:r>
          </w:p>
          <w:p w14:paraId="07AE8D5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S——透声面积，m2。</w:t>
            </w:r>
          </w:p>
          <w:p w14:paraId="78521863">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然后按室外声源预测方法计算预测点处的A声级。</w:t>
            </w:r>
          </w:p>
          <w:p w14:paraId="2915F81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（2）室外声源</w:t>
            </w:r>
          </w:p>
          <w:p w14:paraId="3A12DFEB">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户外声传播衰减包括几何发散（A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）、大气吸收A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）、地面效应A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）、障碍物屏蔽（A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）、其他多方面效应（A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）引起的衰减。</w:t>
            </w:r>
          </w:p>
          <w:p w14:paraId="2B3829D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a）在环境影响评价中，应根据声源声功率级或参考位置处的声压级、户外声传播衰减，计算预测点的声级，分别按以下两个公式计算：</w:t>
            </w:r>
          </w:p>
          <w:p w14:paraId="6BD44CC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3028950" cy="266700"/>
                  <wp:effectExtent l="0" t="0" r="0" b="0"/>
                  <wp:docPr id="1038" name="图片 7" descr="IMG_262"/>
                  <wp:cNvGraphicFramePr/>
                  <a:graphic xmlns:a="http://schemas.openxmlformats.org/drawingml/2006/main">
                    <a:graphicData uri="http://schemas.openxmlformats.org/drawingml/2006/picture">
                      <pic:pic xmlns:pic="http://schemas.openxmlformats.org/drawingml/2006/picture">
                        <pic:nvPicPr>
                          <pic:cNvPr id="1038" name="图片 7" descr="IMG_262"/>
                          <pic:cNvPicPr/>
                        </pic:nvPicPr>
                        <pic:blipFill>
                          <a:blip r:embed="rId22" cstate="print"/>
                          <a:srcRect/>
                          <a:stretch>
                            <a:fillRect/>
                          </a:stretch>
                        </pic:blipFill>
                        <pic:spPr>
                          <a:xfrm>
                            <a:off x="0" y="0"/>
                            <a:ext cx="3028950" cy="266700"/>
                          </a:xfrm>
                          <a:prstGeom prst="rect">
                            <a:avLst/>
                          </a:prstGeom>
                          <a:ln>
                            <a:noFill/>
                          </a:ln>
                        </pic:spPr>
                      </pic:pic>
                    </a:graphicData>
                  </a:graphic>
                </wp:inline>
              </w:drawing>
            </w:r>
          </w:p>
          <w:p w14:paraId="5C01F7A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(r)——预测点处声压级，dB；</w:t>
            </w:r>
          </w:p>
          <w:p w14:paraId="7AC5457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w</w:t>
            </w:r>
            <w:r>
              <w:rPr>
                <w:rFonts w:hint="eastAsia" w:ascii="Times New Roman" w:hAnsi="Times New Roman" w:eastAsia="宋体" w:cs="Times New Roman"/>
                <w:color w:val="auto"/>
                <w:kern w:val="2"/>
                <w:sz w:val="24"/>
                <w:szCs w:val="24"/>
                <w:highlight w:val="none"/>
                <w:lang w:val="en-US" w:eastAsia="zh-CN" w:bidi="ar-SA"/>
              </w:rPr>
              <w:t>——由点声源产生的声功率级（A计权或倍频带），dB；</w:t>
            </w:r>
          </w:p>
          <w:p w14:paraId="5A5377B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D</w:t>
            </w:r>
            <w:r>
              <w:rPr>
                <w:rFonts w:hint="eastAsia" w:ascii="Times New Roman" w:hAnsi="Times New Roman" w:eastAsia="宋体" w:cs="Times New Roman"/>
                <w:color w:val="auto"/>
                <w:kern w:val="2"/>
                <w:sz w:val="24"/>
                <w:szCs w:val="24"/>
                <w:highlight w:val="none"/>
                <w:vertAlign w:val="subscript"/>
                <w:lang w:val="en-US" w:eastAsia="zh-CN" w:bidi="ar-SA"/>
              </w:rPr>
              <w:t>C</w:t>
            </w:r>
            <w:r>
              <w:rPr>
                <w:rFonts w:hint="eastAsia" w:ascii="Times New Roman" w:hAnsi="Times New Roman" w:eastAsia="宋体" w:cs="Times New Roman"/>
                <w:color w:val="auto"/>
                <w:kern w:val="2"/>
                <w:sz w:val="24"/>
                <w:szCs w:val="24"/>
                <w:highlight w:val="none"/>
                <w:lang w:val="en-US" w:eastAsia="zh-CN" w:bidi="ar-SA"/>
              </w:rPr>
              <w:t>——指向性校正，它描述点声源的等效连续声压级与产生声功率级Lw的全向点声源在规定方向的声级的偏差程度，dB；</w:t>
            </w:r>
          </w:p>
          <w:p w14:paraId="08EEA32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343BFA96">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——大气吸收引起的衰减，dB；</w:t>
            </w:r>
          </w:p>
          <w:p w14:paraId="57F93FC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——地面效应引起的衰减，dB；</w:t>
            </w:r>
          </w:p>
          <w:p w14:paraId="2BC6E70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——障碍物屏蔽引起的衰减，dB；</w:t>
            </w:r>
          </w:p>
          <w:p w14:paraId="678BA8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——其他多方面效应引起的衰减，dB。</w:t>
            </w:r>
          </w:p>
          <w:p w14:paraId="7DA17EB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3238500" cy="266700"/>
                  <wp:effectExtent l="0" t="0" r="0" b="0"/>
                  <wp:docPr id="1039" name="图片 8" descr="IMG_263"/>
                  <wp:cNvGraphicFramePr/>
                  <a:graphic xmlns:a="http://schemas.openxmlformats.org/drawingml/2006/main">
                    <a:graphicData uri="http://schemas.openxmlformats.org/drawingml/2006/picture">
                      <pic:pic xmlns:pic="http://schemas.openxmlformats.org/drawingml/2006/picture">
                        <pic:nvPicPr>
                          <pic:cNvPr id="1039" name="图片 8" descr="IMG_263"/>
                          <pic:cNvPicPr/>
                        </pic:nvPicPr>
                        <pic:blipFill>
                          <a:blip r:embed="rId23" cstate="print"/>
                          <a:srcRect/>
                          <a:stretch>
                            <a:fillRect/>
                          </a:stretch>
                        </pic:blipFill>
                        <pic:spPr>
                          <a:xfrm>
                            <a:off x="0" y="0"/>
                            <a:ext cx="3238500" cy="266700"/>
                          </a:xfrm>
                          <a:prstGeom prst="rect">
                            <a:avLst/>
                          </a:prstGeom>
                          <a:ln>
                            <a:noFill/>
                          </a:ln>
                        </pic:spPr>
                      </pic:pic>
                    </a:graphicData>
                  </a:graphic>
                </wp:inline>
              </w:drawing>
            </w:r>
          </w:p>
          <w:p w14:paraId="14BBB73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(r)——预测点处声压级，dB；</w:t>
            </w:r>
          </w:p>
          <w:p w14:paraId="266AD30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w:t>
            </w:r>
            <w:r>
              <w:rPr>
                <w:rFonts w:hint="eastAsia" w:ascii="Times New Roman" w:hAnsi="Times New Roman" w:eastAsia="宋体" w:cs="Times New Roman"/>
                <w:color w:val="auto"/>
                <w:kern w:val="2"/>
                <w:sz w:val="24"/>
                <w:szCs w:val="24"/>
                <w:highlight w:val="none"/>
                <w:lang w:val="en-US" w:eastAsia="zh-CN" w:bidi="ar-SA"/>
              </w:rPr>
              <w:t>(r0)——参考位置r0处的声压级，dB；</w:t>
            </w:r>
          </w:p>
          <w:p w14:paraId="0FD603C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D</w:t>
            </w:r>
            <w:r>
              <w:rPr>
                <w:rFonts w:hint="eastAsia" w:ascii="Times New Roman" w:hAnsi="Times New Roman" w:eastAsia="宋体" w:cs="Times New Roman"/>
                <w:color w:val="auto"/>
                <w:kern w:val="2"/>
                <w:sz w:val="24"/>
                <w:szCs w:val="24"/>
                <w:highlight w:val="none"/>
                <w:vertAlign w:val="subscript"/>
                <w:lang w:val="en-US" w:eastAsia="zh-CN" w:bidi="ar-SA"/>
              </w:rPr>
              <w:t>C</w:t>
            </w:r>
            <w:r>
              <w:rPr>
                <w:rFonts w:hint="eastAsia" w:ascii="Times New Roman" w:hAnsi="Times New Roman" w:eastAsia="宋体" w:cs="Times New Roman"/>
                <w:color w:val="auto"/>
                <w:kern w:val="2"/>
                <w:sz w:val="24"/>
                <w:szCs w:val="24"/>
                <w:highlight w:val="none"/>
                <w:lang w:val="en-US" w:eastAsia="zh-CN" w:bidi="ar-SA"/>
              </w:rPr>
              <w:t>——指向性校正，它描述点声源的等效连续声压级与产生声功率级Lw的全向点声源在规定方向的声级的偏差程度，dB；</w:t>
            </w:r>
          </w:p>
          <w:p w14:paraId="470E488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371867F4">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atm</w:t>
            </w:r>
            <w:r>
              <w:rPr>
                <w:rFonts w:hint="eastAsia" w:ascii="Times New Roman" w:hAnsi="Times New Roman" w:eastAsia="宋体" w:cs="Times New Roman"/>
                <w:color w:val="auto"/>
                <w:kern w:val="2"/>
                <w:sz w:val="24"/>
                <w:szCs w:val="24"/>
                <w:highlight w:val="none"/>
                <w:lang w:val="en-US" w:eastAsia="zh-CN" w:bidi="ar-SA"/>
              </w:rPr>
              <w:t>——大气吸收引起的衰减，dB；</w:t>
            </w:r>
          </w:p>
          <w:p w14:paraId="7614AE9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gr</w:t>
            </w:r>
            <w:r>
              <w:rPr>
                <w:rFonts w:hint="eastAsia" w:ascii="Times New Roman" w:hAnsi="Times New Roman" w:eastAsia="宋体" w:cs="Times New Roman"/>
                <w:color w:val="auto"/>
                <w:kern w:val="2"/>
                <w:sz w:val="24"/>
                <w:szCs w:val="24"/>
                <w:highlight w:val="none"/>
                <w:lang w:val="en-US" w:eastAsia="zh-CN" w:bidi="ar-SA"/>
              </w:rPr>
              <w:t>——地面效应引起的衰减，dB；</w:t>
            </w:r>
          </w:p>
          <w:p w14:paraId="158CDF62">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bar</w:t>
            </w:r>
            <w:r>
              <w:rPr>
                <w:rFonts w:hint="eastAsia" w:ascii="Times New Roman" w:hAnsi="Times New Roman" w:eastAsia="宋体" w:cs="Times New Roman"/>
                <w:color w:val="auto"/>
                <w:kern w:val="2"/>
                <w:sz w:val="24"/>
                <w:szCs w:val="24"/>
                <w:highlight w:val="none"/>
                <w:lang w:val="en-US" w:eastAsia="zh-CN" w:bidi="ar-SA"/>
              </w:rPr>
              <w:t>——障碍物屏蔽引起的衰减，dB；</w:t>
            </w:r>
          </w:p>
          <w:p w14:paraId="3F8B51DB">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misc</w:t>
            </w:r>
            <w:r>
              <w:rPr>
                <w:rFonts w:hint="eastAsia" w:ascii="Times New Roman" w:hAnsi="Times New Roman" w:eastAsia="宋体" w:cs="Times New Roman"/>
                <w:color w:val="auto"/>
                <w:kern w:val="2"/>
                <w:sz w:val="24"/>
                <w:szCs w:val="24"/>
                <w:highlight w:val="none"/>
                <w:lang w:val="en-US" w:eastAsia="zh-CN" w:bidi="ar-SA"/>
              </w:rPr>
              <w:t>——其他多方面效应引起的衰减，dB。</w:t>
            </w:r>
          </w:p>
          <w:p w14:paraId="55F5632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b）预测点的A声级LA(r)可按以下公式计算，即将8个倍频带声压级合成，计算出预测点的A声级[LA(r)]：</w:t>
            </w:r>
          </w:p>
          <w:p w14:paraId="22A24CBF">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924050" cy="485775"/>
                  <wp:effectExtent l="0" t="0" r="0" b="8890"/>
                  <wp:docPr id="1040" name="图片 9" descr="IMG_264"/>
                  <wp:cNvGraphicFramePr/>
                  <a:graphic xmlns:a="http://schemas.openxmlformats.org/drawingml/2006/main">
                    <a:graphicData uri="http://schemas.openxmlformats.org/drawingml/2006/picture">
                      <pic:pic xmlns:pic="http://schemas.openxmlformats.org/drawingml/2006/picture">
                        <pic:nvPicPr>
                          <pic:cNvPr id="1040" name="图片 9" descr="IMG_264"/>
                          <pic:cNvPicPr/>
                        </pic:nvPicPr>
                        <pic:blipFill>
                          <a:blip r:embed="rId24" cstate="print"/>
                          <a:srcRect/>
                          <a:stretch>
                            <a:fillRect/>
                          </a:stretch>
                        </pic:blipFill>
                        <pic:spPr>
                          <a:xfrm>
                            <a:off x="0" y="0"/>
                            <a:ext cx="1924050" cy="485775"/>
                          </a:xfrm>
                          <a:prstGeom prst="rect">
                            <a:avLst/>
                          </a:prstGeom>
                          <a:ln>
                            <a:noFill/>
                          </a:ln>
                        </pic:spPr>
                      </pic:pic>
                    </a:graphicData>
                  </a:graphic>
                </wp:inline>
              </w:drawing>
            </w:r>
          </w:p>
          <w:p w14:paraId="1628E1C0">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(r)——距声源r处的A声级，dB(A)；</w:t>
            </w:r>
          </w:p>
          <w:p w14:paraId="5B05AAA5">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pi</w:t>
            </w:r>
            <w:r>
              <w:rPr>
                <w:rFonts w:hint="eastAsia" w:ascii="Times New Roman" w:hAnsi="Times New Roman" w:eastAsia="宋体" w:cs="Times New Roman"/>
                <w:color w:val="auto"/>
                <w:kern w:val="2"/>
                <w:sz w:val="24"/>
                <w:szCs w:val="24"/>
                <w:highlight w:val="none"/>
                <w:lang w:val="en-US" w:eastAsia="zh-CN" w:bidi="ar-SA"/>
              </w:rPr>
              <w:t>(r)——预测点（r）处，第i倍频带声压级，dB；</w:t>
            </w:r>
          </w:p>
          <w:p w14:paraId="58834E8F">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ΔL</w:t>
            </w:r>
            <w:r>
              <w:rPr>
                <w:rFonts w:hint="eastAsia" w:ascii="Times New Roman" w:hAnsi="Times New Roman" w:eastAsia="宋体" w:cs="Times New Roman"/>
                <w:color w:val="auto"/>
                <w:kern w:val="2"/>
                <w:sz w:val="24"/>
                <w:szCs w:val="24"/>
                <w:highlight w:val="none"/>
                <w:vertAlign w:val="subscript"/>
                <w:lang w:val="en-US" w:eastAsia="zh-CN" w:bidi="ar-SA"/>
              </w:rPr>
              <w:t>i</w:t>
            </w:r>
            <w:r>
              <w:rPr>
                <w:rFonts w:hint="eastAsia" w:ascii="Times New Roman" w:hAnsi="Times New Roman" w:eastAsia="宋体" w:cs="Times New Roman"/>
                <w:color w:val="auto"/>
                <w:kern w:val="2"/>
                <w:sz w:val="24"/>
                <w:szCs w:val="24"/>
                <w:highlight w:val="none"/>
                <w:lang w:val="en-US" w:eastAsia="zh-CN" w:bidi="ar-SA"/>
              </w:rPr>
              <w:t>——第i倍频带的A计权网络修正值，dB。</w:t>
            </w:r>
          </w:p>
          <w:p w14:paraId="6B0F362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c）在只考虑几何发散衰减时，可按以下公式计算：</w:t>
            </w:r>
          </w:p>
          <w:p w14:paraId="67936BB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295400" cy="257175"/>
                  <wp:effectExtent l="0" t="0" r="0" b="0"/>
                  <wp:docPr id="1041" name="图片 10" descr="IMG_265"/>
                  <wp:cNvGraphicFramePr/>
                  <a:graphic xmlns:a="http://schemas.openxmlformats.org/drawingml/2006/main">
                    <a:graphicData uri="http://schemas.openxmlformats.org/drawingml/2006/picture">
                      <pic:pic xmlns:pic="http://schemas.openxmlformats.org/drawingml/2006/picture">
                        <pic:nvPicPr>
                          <pic:cNvPr id="1041" name="图片 10" descr="IMG_265"/>
                          <pic:cNvPicPr/>
                        </pic:nvPicPr>
                        <pic:blipFill>
                          <a:blip r:embed="rId25" cstate="print"/>
                          <a:srcRect/>
                          <a:stretch>
                            <a:fillRect/>
                          </a:stretch>
                        </pic:blipFill>
                        <pic:spPr>
                          <a:xfrm>
                            <a:off x="0" y="0"/>
                            <a:ext cx="1295400" cy="257175"/>
                          </a:xfrm>
                          <a:prstGeom prst="rect">
                            <a:avLst/>
                          </a:prstGeom>
                          <a:ln>
                            <a:noFill/>
                          </a:ln>
                        </pic:spPr>
                      </pic:pic>
                    </a:graphicData>
                  </a:graphic>
                </wp:inline>
              </w:drawing>
            </w:r>
          </w:p>
          <w:p w14:paraId="6A3A63F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(r)——距声源r处的A声级，dB(A)；</w:t>
            </w:r>
          </w:p>
          <w:p w14:paraId="6E43464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A</w:t>
            </w:r>
            <w:r>
              <w:rPr>
                <w:rFonts w:hint="eastAsia" w:ascii="Times New Roman" w:hAnsi="Times New Roman" w:eastAsia="宋体" w:cs="Times New Roman"/>
                <w:color w:val="auto"/>
                <w:kern w:val="2"/>
                <w:sz w:val="24"/>
                <w:szCs w:val="24"/>
                <w:highlight w:val="none"/>
                <w:lang w:val="en-US" w:eastAsia="zh-CN" w:bidi="ar-SA"/>
              </w:rPr>
              <w:t>(r0)——参考位置r0处的A声级，dB(A)；</w:t>
            </w:r>
          </w:p>
          <w:p w14:paraId="4F179AFA">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w:t>
            </w:r>
            <w:r>
              <w:rPr>
                <w:rFonts w:hint="eastAsia" w:ascii="Times New Roman" w:hAnsi="Times New Roman" w:eastAsia="宋体" w:cs="Times New Roman"/>
                <w:color w:val="auto"/>
                <w:kern w:val="2"/>
                <w:sz w:val="24"/>
                <w:szCs w:val="24"/>
                <w:highlight w:val="none"/>
                <w:vertAlign w:val="subscript"/>
                <w:lang w:val="en-US" w:eastAsia="zh-CN" w:bidi="ar-SA"/>
              </w:rPr>
              <w:t>div</w:t>
            </w:r>
            <w:r>
              <w:rPr>
                <w:rFonts w:hint="eastAsia" w:ascii="Times New Roman" w:hAnsi="Times New Roman" w:eastAsia="宋体" w:cs="Times New Roman"/>
                <w:color w:val="auto"/>
                <w:kern w:val="2"/>
                <w:sz w:val="24"/>
                <w:szCs w:val="24"/>
                <w:highlight w:val="none"/>
                <w:lang w:val="en-US" w:eastAsia="zh-CN" w:bidi="ar-SA"/>
              </w:rPr>
              <w:t>——几何发散引起的衰减，dB。</w:t>
            </w:r>
          </w:p>
          <w:p w14:paraId="25244A1D">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2"/>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（4）噪声预测值计算</w:t>
            </w:r>
          </w:p>
          <w:p w14:paraId="3CEC9F09">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2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噪声预测值（Leq）计算公式为：</w:t>
            </w:r>
          </w:p>
          <w:p w14:paraId="1F054B17">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drawing>
                <wp:inline distT="0" distB="0" distL="0" distR="0">
                  <wp:extent cx="1733550" cy="295275"/>
                  <wp:effectExtent l="0" t="0" r="0" b="9525"/>
                  <wp:docPr id="1042" name="图片 11" descr="IMG_266"/>
                  <wp:cNvGraphicFramePr/>
                  <a:graphic xmlns:a="http://schemas.openxmlformats.org/drawingml/2006/main">
                    <a:graphicData uri="http://schemas.openxmlformats.org/drawingml/2006/picture">
                      <pic:pic xmlns:pic="http://schemas.openxmlformats.org/drawingml/2006/picture">
                        <pic:nvPicPr>
                          <pic:cNvPr id="1042" name="图片 11" descr="IMG_266"/>
                          <pic:cNvPicPr/>
                        </pic:nvPicPr>
                        <pic:blipFill>
                          <a:blip r:embed="rId26" cstate="print"/>
                          <a:srcRect/>
                          <a:stretch>
                            <a:fillRect/>
                          </a:stretch>
                        </pic:blipFill>
                        <pic:spPr>
                          <a:xfrm>
                            <a:off x="0" y="0"/>
                            <a:ext cx="1733550" cy="295275"/>
                          </a:xfrm>
                          <a:prstGeom prst="rect">
                            <a:avLst/>
                          </a:prstGeom>
                          <a:ln>
                            <a:noFill/>
                          </a:ln>
                        </pic:spPr>
                      </pic:pic>
                    </a:graphicData>
                  </a:graphic>
                </wp:inline>
              </w:drawing>
            </w:r>
          </w:p>
          <w:p w14:paraId="0F90D5C1">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式中：L</w:t>
            </w:r>
            <w:r>
              <w:rPr>
                <w:rFonts w:hint="eastAsia" w:ascii="Times New Roman" w:hAnsi="Times New Roman" w:eastAsia="宋体" w:cs="Times New Roman"/>
                <w:color w:val="auto"/>
                <w:kern w:val="2"/>
                <w:sz w:val="24"/>
                <w:szCs w:val="24"/>
                <w:highlight w:val="none"/>
                <w:vertAlign w:val="subscript"/>
                <w:lang w:val="en-US" w:eastAsia="zh-CN" w:bidi="ar-SA"/>
              </w:rPr>
              <w:t>eq</w:t>
            </w:r>
            <w:r>
              <w:rPr>
                <w:rFonts w:hint="eastAsia" w:ascii="Times New Roman" w:hAnsi="Times New Roman" w:eastAsia="宋体" w:cs="Times New Roman"/>
                <w:color w:val="auto"/>
                <w:kern w:val="2"/>
                <w:sz w:val="24"/>
                <w:szCs w:val="24"/>
                <w:highlight w:val="none"/>
                <w:lang w:val="en-US" w:eastAsia="zh-CN" w:bidi="ar-SA"/>
              </w:rPr>
              <w:t>——预测点的噪声预测值，dB(A)；</w:t>
            </w:r>
          </w:p>
          <w:p w14:paraId="6B53CA9C">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eqg</w:t>
            </w:r>
            <w:r>
              <w:rPr>
                <w:rFonts w:hint="eastAsia" w:ascii="Times New Roman" w:hAnsi="Times New Roman" w:eastAsia="宋体" w:cs="Times New Roman"/>
                <w:color w:val="auto"/>
                <w:kern w:val="2"/>
                <w:sz w:val="24"/>
                <w:szCs w:val="24"/>
                <w:highlight w:val="none"/>
                <w:lang w:val="en-US" w:eastAsia="zh-CN" w:bidi="ar-SA"/>
              </w:rPr>
              <w:t>——项目声源在预测点的等效声级贡献值，dB(A)；</w:t>
            </w:r>
          </w:p>
          <w:p w14:paraId="333B0B3E">
            <w:pPr>
              <w:pStyle w:val="4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63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L</w:t>
            </w:r>
            <w:r>
              <w:rPr>
                <w:rFonts w:hint="eastAsia" w:ascii="Times New Roman" w:hAnsi="Times New Roman" w:eastAsia="宋体" w:cs="Times New Roman"/>
                <w:color w:val="auto"/>
                <w:kern w:val="2"/>
                <w:sz w:val="24"/>
                <w:szCs w:val="24"/>
                <w:highlight w:val="none"/>
                <w:vertAlign w:val="subscript"/>
                <w:lang w:val="en-US" w:eastAsia="zh-CN" w:bidi="ar-SA"/>
              </w:rPr>
              <w:t>eqb</w:t>
            </w:r>
            <w:r>
              <w:rPr>
                <w:rFonts w:hint="eastAsia" w:ascii="Times New Roman" w:hAnsi="Times New Roman" w:eastAsia="宋体" w:cs="Times New Roman"/>
                <w:color w:val="auto"/>
                <w:kern w:val="2"/>
                <w:sz w:val="24"/>
                <w:szCs w:val="24"/>
                <w:highlight w:val="none"/>
                <w:lang w:val="en-US" w:eastAsia="zh-CN" w:bidi="ar-SA"/>
              </w:rPr>
              <w:t>——预测点的背景噪声值，dB(A)；</w:t>
            </w:r>
          </w:p>
          <w:p w14:paraId="5BCF9D44">
            <w:pPr>
              <w:widowControl w:val="0"/>
              <w:autoSpaceDE w:val="0"/>
              <w:autoSpaceDN w:val="0"/>
              <w:adjustRightInd w:val="0"/>
              <w:spacing w:line="360" w:lineRule="auto"/>
              <w:ind w:firstLine="480"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通过预测分析，生产噪声通过距离的衰减和厂房的声屏障效应后，</w:t>
            </w:r>
            <w:r>
              <w:rPr>
                <w:rFonts w:hint="default" w:ascii="Times New Roman" w:hAnsi="Times New Roman" w:eastAsia="宋体" w:cs="Times New Roman"/>
                <w:color w:val="auto"/>
                <w:kern w:val="0"/>
                <w:sz w:val="24"/>
                <w:szCs w:val="24"/>
                <w:highlight w:val="none"/>
                <w:lang w:val="en-US" w:eastAsia="zh-CN" w:bidi="ar-SA"/>
              </w:rPr>
              <w:t>项目厂房厂界外1米处</w:t>
            </w:r>
            <w:r>
              <w:rPr>
                <w:rFonts w:hint="default" w:ascii="Times New Roman" w:hAnsi="Times New Roman" w:eastAsia="宋体" w:cs="Times New Roman"/>
                <w:color w:val="auto"/>
                <w:kern w:val="2"/>
                <w:sz w:val="24"/>
                <w:szCs w:val="24"/>
                <w:highlight w:val="none"/>
                <w:lang w:val="en-US" w:eastAsia="zh-CN" w:bidi="ar-SA"/>
              </w:rPr>
              <w:t>可达到</w:t>
            </w:r>
            <w:r>
              <w:rPr>
                <w:rFonts w:hint="default" w:ascii="Times New Roman" w:hAnsi="Times New Roman" w:eastAsia="宋体" w:cs="Times New Roman"/>
                <w:color w:val="auto"/>
                <w:spacing w:val="-2"/>
                <w:kern w:val="2"/>
                <w:sz w:val="24"/>
                <w:szCs w:val="24"/>
                <w:highlight w:val="none"/>
                <w:lang w:val="en-US" w:eastAsia="zh-CN" w:bidi="ar-SA"/>
              </w:rPr>
              <w:t>《工业企业厂界环境噪声排放标准》（GB12348-2008）中的3类标准</w:t>
            </w:r>
            <w:r>
              <w:rPr>
                <w:rFonts w:hint="default" w:ascii="Times New Roman" w:hAnsi="Times New Roman" w:eastAsia="宋体" w:cs="Times New Roman"/>
                <w:color w:val="auto"/>
                <w:kern w:val="2"/>
                <w:sz w:val="24"/>
                <w:szCs w:val="24"/>
                <w:highlight w:val="none"/>
                <w:lang w:val="en-US" w:eastAsia="zh-CN" w:bidi="ar-SA"/>
              </w:rPr>
              <w:t>，即项目产生的噪声不会对周边环境造成太大影响。</w:t>
            </w:r>
          </w:p>
          <w:p w14:paraId="3DCD87C5">
            <w:pPr>
              <w:keepNext/>
              <w:keepLines/>
              <w:widowControl w:val="0"/>
              <w:numPr>
                <w:ilvl w:val="3"/>
                <w:numId w:val="0"/>
              </w:numPr>
              <w:spacing w:line="360" w:lineRule="auto"/>
              <w:ind w:left="0" w:firstLine="480" w:firstLineChars="200"/>
              <w:jc w:val="both"/>
              <w:outlineLvl w:val="3"/>
              <w:rPr>
                <w:rFonts w:hint="default" w:ascii="Times New Roman" w:hAnsi="Times New Roman" w:eastAsia="宋体" w:cs="Times New Roman"/>
                <w:b/>
                <w:bCs/>
                <w:color w:val="auto"/>
                <w:kern w:val="2"/>
                <w:sz w:val="24"/>
                <w:szCs w:val="28"/>
                <w:highlight w:val="none"/>
                <w:lang w:val="en-US" w:eastAsia="zh-CN" w:bidi="ar-SA"/>
              </w:rPr>
            </w:pPr>
            <w:r>
              <w:rPr>
                <w:rFonts w:hint="default" w:ascii="Times New Roman" w:hAnsi="Times New Roman" w:eastAsia="宋体" w:cs="Times New Roman"/>
                <w:b/>
                <w:bCs/>
                <w:color w:val="auto"/>
                <w:kern w:val="2"/>
                <w:sz w:val="24"/>
                <w:szCs w:val="28"/>
                <w:highlight w:val="none"/>
                <w:lang w:val="en-US" w:eastAsia="zh-CN" w:bidi="ar-SA"/>
              </w:rPr>
              <w:t>3、污染防治措施</w:t>
            </w:r>
          </w:p>
          <w:p w14:paraId="6192CBF9">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为确保厂界噪声满足《工业企业厂界环境噪声排放标准》（GB12348-2008）中的相应标准，项目拟采取以下治理措施：</w:t>
            </w:r>
          </w:p>
          <w:p w14:paraId="0389909A">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①合理布局：尽量将高噪声设备布置在厂房中间，尽可能地选择远离厂界的位置。</w:t>
            </w:r>
          </w:p>
          <w:p w14:paraId="24ECE4AC">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②落实设备基础减振以及厂房隔声：</w:t>
            </w:r>
          </w:p>
          <w:p w14:paraId="377E0D83">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A、在设备选型方面，在满足工艺生产的前提下，选用精度高、装配质量好、噪声低的设备；对设备基础进行减振；</w:t>
            </w:r>
          </w:p>
          <w:p w14:paraId="1C1A8035">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B、重视厂房的使用状况，不设门窗或设隔声玻璃门窗。</w:t>
            </w:r>
          </w:p>
          <w:p w14:paraId="7307BFBC">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③加强内部管理：建立设备定期维护、保养的管理制度，以防止设备故障形成的非生产噪声，同时确保环保措施发挥最有效的功能；加强职工环保意识教育，提倡文明生产，防止人为噪声。</w:t>
            </w:r>
          </w:p>
          <w:p w14:paraId="102640D0">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④合理安排生产时间：尽可能地安排在昼间进行生产，若夜间必须生产应控制夜间生产时间，特别夜间应停止高噪声设备，减少机械的噪声影响。</w:t>
            </w:r>
          </w:p>
          <w:p w14:paraId="48D7E62E">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本项目周边50米范围内不存在声环境保护目标，经采取上述的降噪措施后，预计项目厂界噪声排放可达到《工业企业厂界环境噪声排放标准》（GB12348-2008）3类标准，噪声对声环境影响不大。</w:t>
            </w:r>
          </w:p>
          <w:p w14:paraId="003C60B0">
            <w:pPr>
              <w:keepNext/>
              <w:keepLines/>
              <w:tabs>
                <w:tab w:val="left" w:pos="0"/>
              </w:tabs>
              <w:ind w:firstLine="480" w:firstLineChars="200"/>
              <w:outlineLvl w:val="3"/>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rPr>
              <w:t>4、监测要求</w:t>
            </w:r>
          </w:p>
          <w:p w14:paraId="556AA514">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根据《排污单位自行监测技术指南总则》（HJ819-2017）</w:t>
            </w:r>
            <w:r>
              <w:rPr>
                <w:rFonts w:hint="default" w:ascii="Times New Roman" w:hAnsi="Times New Roman" w:cs="Times New Roman"/>
                <w:color w:val="auto"/>
                <w:highlight w:val="none"/>
                <w:lang w:eastAsia="zh-CN"/>
              </w:rPr>
              <w:t>、《排污单位自行监测技术指南 工业固体废物和危险废物治理》</w:t>
            </w:r>
            <w:r>
              <w:rPr>
                <w:rFonts w:hint="eastAsia" w:cs="Times New Roman"/>
                <w:color w:val="auto"/>
                <w:highlight w:val="none"/>
                <w:lang w:eastAsia="zh-CN"/>
              </w:rPr>
              <w:t>（</w:t>
            </w:r>
            <w:r>
              <w:rPr>
                <w:rFonts w:hint="default" w:ascii="Times New Roman" w:hAnsi="Times New Roman" w:cs="Times New Roman"/>
                <w:color w:val="auto"/>
                <w:highlight w:val="none"/>
                <w:lang w:eastAsia="zh-CN"/>
              </w:rPr>
              <w:t>HJ 120</w:t>
            </w:r>
            <w:r>
              <w:rPr>
                <w:rFonts w:hint="eastAsia" w:cs="Times New Roman"/>
                <w:color w:val="auto"/>
                <w:highlight w:val="none"/>
                <w:lang w:val="en-US" w:eastAsia="zh-CN"/>
              </w:rPr>
              <w:t>50</w:t>
            </w:r>
            <w:r>
              <w:rPr>
                <w:rFonts w:hint="default" w:ascii="Times New Roman" w:hAnsi="Times New Roman" w:cs="Times New Roman"/>
                <w:color w:val="auto"/>
                <w:highlight w:val="none"/>
                <w:lang w:eastAsia="zh-CN"/>
              </w:rPr>
              <w:t>-202</w:t>
            </w:r>
            <w:r>
              <w:rPr>
                <w:rFonts w:hint="eastAsia" w:cs="Times New Roman"/>
                <w:color w:val="auto"/>
                <w:highlight w:val="none"/>
                <w:lang w:val="en-US" w:eastAsia="zh-CN"/>
              </w:rPr>
              <w:t>2</w:t>
            </w:r>
            <w:r>
              <w:rPr>
                <w:rFonts w:hint="eastAsia" w:cs="Times New Roman"/>
                <w:color w:val="auto"/>
                <w:highlight w:val="none"/>
                <w:lang w:eastAsia="zh-CN"/>
              </w:rPr>
              <w:t>）</w:t>
            </w:r>
            <w:r>
              <w:rPr>
                <w:rFonts w:hint="default" w:ascii="Times New Roman" w:hAnsi="Times New Roman" w:eastAsia="宋体" w:cs="Times New Roman"/>
                <w:color w:val="auto"/>
                <w:highlight w:val="none"/>
              </w:rPr>
              <w:t>，监测要求见下表。</w:t>
            </w:r>
          </w:p>
          <w:p w14:paraId="49480811">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790DC65A">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3FA93BD8">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p>
          <w:p w14:paraId="0CFE1AED">
            <w:pPr>
              <w:widowControl w:val="0"/>
              <w:autoSpaceDE w:val="0"/>
              <w:autoSpaceDN w:val="0"/>
              <w:adjustRightInd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厂界噪声监测要求</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51" w:type="dxa"/>
                <w:bottom w:w="0" w:type="dxa"/>
                <w:right w:w="51" w:type="dxa"/>
              </w:tblCellMar>
            </w:tblPr>
            <w:tblGrid>
              <w:gridCol w:w="671"/>
              <w:gridCol w:w="1418"/>
              <w:gridCol w:w="1183"/>
              <w:gridCol w:w="1289"/>
              <w:gridCol w:w="2185"/>
              <w:gridCol w:w="1961"/>
            </w:tblGrid>
            <w:tr w14:paraId="4121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385" w:type="pct"/>
                  <w:vAlign w:val="center"/>
                </w:tcPr>
                <w:p w14:paraId="5266D5E1">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814" w:type="pct"/>
                  <w:vAlign w:val="center"/>
                </w:tcPr>
                <w:p w14:paraId="029D43BD">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监测点位</w:t>
                  </w:r>
                </w:p>
              </w:tc>
              <w:tc>
                <w:tcPr>
                  <w:tcW w:w="679" w:type="pct"/>
                  <w:vAlign w:val="center"/>
                </w:tcPr>
                <w:p w14:paraId="08251C2D">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监测指标</w:t>
                  </w:r>
                </w:p>
              </w:tc>
              <w:tc>
                <w:tcPr>
                  <w:tcW w:w="740" w:type="pct"/>
                  <w:vAlign w:val="center"/>
                </w:tcPr>
                <w:p w14:paraId="73051AB1">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1254" w:type="pct"/>
                  <w:vAlign w:val="center"/>
                </w:tcPr>
                <w:p w14:paraId="2A43951B">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监测采样和分析方法</w:t>
                  </w:r>
                </w:p>
              </w:tc>
              <w:tc>
                <w:tcPr>
                  <w:tcW w:w="1125" w:type="pct"/>
                  <w:vAlign w:val="center"/>
                </w:tcPr>
                <w:p w14:paraId="0F937EE3">
                  <w:pPr>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排放执行标准</w:t>
                  </w:r>
                </w:p>
              </w:tc>
            </w:tr>
            <w:tr w14:paraId="60DA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1" w:type="dxa"/>
                  <w:bottom w:w="0" w:type="dxa"/>
                  <w:right w:w="51" w:type="dxa"/>
                </w:tblCellMar>
              </w:tblPrEx>
              <w:trPr>
                <w:trHeight w:val="397" w:hRule="atLeast"/>
                <w:jc w:val="center"/>
              </w:trPr>
              <w:tc>
                <w:tcPr>
                  <w:tcW w:w="385" w:type="pct"/>
                  <w:vAlign w:val="center"/>
                </w:tcPr>
                <w:p w14:paraId="38DAE50E">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814" w:type="pct"/>
                  <w:vAlign w:val="center"/>
                </w:tcPr>
                <w:p w14:paraId="7CB3C9E3">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东、南、西、北面厂界外1米处</w:t>
                  </w:r>
                </w:p>
              </w:tc>
              <w:tc>
                <w:tcPr>
                  <w:tcW w:w="679" w:type="pct"/>
                  <w:vAlign w:val="center"/>
                </w:tcPr>
                <w:p w14:paraId="21526C61">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等效连续A声级</w:t>
                  </w:r>
                </w:p>
              </w:tc>
              <w:tc>
                <w:tcPr>
                  <w:tcW w:w="740" w:type="pct"/>
                  <w:vAlign w:val="center"/>
                </w:tcPr>
                <w:p w14:paraId="2D9A5612">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每季度1次，监测昼间</w:t>
                  </w:r>
                </w:p>
              </w:tc>
              <w:tc>
                <w:tcPr>
                  <w:tcW w:w="1254" w:type="pct"/>
                  <w:vAlign w:val="center"/>
                </w:tcPr>
                <w:p w14:paraId="5E5E979F">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《环境监测技术规范》</w:t>
                  </w:r>
                </w:p>
              </w:tc>
              <w:tc>
                <w:tcPr>
                  <w:tcW w:w="1125" w:type="pct"/>
                  <w:vAlign w:val="center"/>
                </w:tcPr>
                <w:p w14:paraId="51E4AA57">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《工业企业厂界环境噪声排放标准》（GB12348-2008）</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类标准</w:t>
                  </w:r>
                </w:p>
              </w:tc>
            </w:tr>
          </w:tbl>
          <w:p w14:paraId="77030DC7">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四、固体废物污染源</w:t>
            </w:r>
          </w:p>
          <w:p w14:paraId="07293792">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1、固体废物源强</w:t>
            </w:r>
          </w:p>
          <w:p w14:paraId="12454092">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本项目营运期产生的固体废物主要为生活垃圾、一般工业固废（</w:t>
            </w:r>
            <w:r>
              <w:rPr>
                <w:rFonts w:hint="eastAsia" w:cs="Times New Roman"/>
                <w:color w:val="auto"/>
                <w:highlight w:val="none"/>
                <w:lang w:val="en-US" w:eastAsia="zh-CN"/>
              </w:rPr>
              <w:t>可再生利用固废、不可再生利用固废</w:t>
            </w:r>
            <w:r>
              <w:rPr>
                <w:rFonts w:hint="default" w:ascii="Times New Roman" w:hAnsi="Times New Roman" w:eastAsia="宋体" w:cs="Times New Roman"/>
                <w:color w:val="auto"/>
                <w:highlight w:val="none"/>
              </w:rPr>
              <w:t>）、危险废物（废矿物油、废油桶、含油废抹布及手套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w:t>
            </w:r>
          </w:p>
          <w:p w14:paraId="1513DD0C">
            <w:pPr>
              <w:ind w:firstLine="480"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（1）生活垃圾</w:t>
            </w:r>
          </w:p>
          <w:p w14:paraId="3480823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本项目劳动定员</w:t>
            </w:r>
            <w:r>
              <w:rPr>
                <w:rFonts w:hint="eastAsia" w:cs="Times New Roman"/>
                <w:color w:val="auto"/>
                <w:highlight w:val="none"/>
                <w:lang w:val="en-US" w:eastAsia="zh-CN"/>
              </w:rPr>
              <w:t>2</w:t>
            </w:r>
            <w:r>
              <w:rPr>
                <w:rFonts w:hint="default" w:ascii="Times New Roman" w:hAnsi="Times New Roman" w:cs="Times New Roman"/>
                <w:color w:val="auto"/>
                <w:highlight w:val="none"/>
              </w:rPr>
              <w:t>人，根据《社会区域类环境影响评价》（中国环境科学出版社），我国目前城市人均办公垃圾为0.5~1.0kg/人·d，本环评按员工每人每天办公生活垃圾产生量0.5kg计算，项目每年工作</w:t>
            </w:r>
            <w:r>
              <w:rPr>
                <w:rFonts w:hint="eastAsia" w:cs="Times New Roman"/>
                <w:color w:val="auto"/>
                <w:highlight w:val="none"/>
                <w:lang w:val="en-US" w:eastAsia="zh-CN"/>
              </w:rPr>
              <w:t>260</w:t>
            </w:r>
            <w:r>
              <w:rPr>
                <w:rFonts w:hint="default" w:ascii="Times New Roman" w:hAnsi="Times New Roman" w:cs="Times New Roman"/>
                <w:color w:val="auto"/>
                <w:highlight w:val="none"/>
              </w:rPr>
              <w:t>天，则生活垃圾产生量约为</w:t>
            </w:r>
            <w:r>
              <w:rPr>
                <w:rFonts w:hint="eastAsia" w:cs="Times New Roman"/>
                <w:color w:val="auto"/>
                <w:highlight w:val="none"/>
                <w:lang w:val="en-US" w:eastAsia="zh-CN"/>
              </w:rPr>
              <w:t>0.26</w:t>
            </w:r>
            <w:r>
              <w:rPr>
                <w:rFonts w:hint="default" w:ascii="Times New Roman" w:hAnsi="Times New Roman" w:cs="Times New Roman"/>
                <w:color w:val="auto"/>
                <w:highlight w:val="none"/>
              </w:rPr>
              <w:t>t/a。生活垃圾主要成分是废纸张、瓜果皮核、饮料包装瓶和塑料包装纸等，统一收集后交由环卫部门定期清运处理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属于SW64其他垃圾（900-099-S64生活垃圾）</w:t>
            </w:r>
            <w:r>
              <w:rPr>
                <w:rFonts w:hint="default" w:ascii="Times New Roman" w:hAnsi="Times New Roman" w:cs="Times New Roman"/>
                <w:color w:val="auto"/>
                <w:highlight w:val="none"/>
              </w:rPr>
              <w:t>。</w:t>
            </w:r>
          </w:p>
          <w:p w14:paraId="42CCA70C">
            <w:pPr>
              <w:ind w:firstLine="480"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（2）一般工业固体废物</w:t>
            </w:r>
          </w:p>
          <w:p w14:paraId="62CA9167">
            <w:pPr>
              <w:keepNext/>
              <w:keepLines/>
              <w:widowControl w:val="0"/>
              <w:numPr>
                <w:ilvl w:val="0"/>
                <w:numId w:val="0"/>
              </w:numPr>
              <w:spacing w:line="360" w:lineRule="auto"/>
              <w:ind w:firstLine="480" w:firstLineChars="200"/>
              <w:jc w:val="both"/>
              <w:outlineLvl w:val="5"/>
              <w:rPr>
                <w:rFonts w:hint="default" w:ascii="Times New Roman" w:hAnsi="Times New Roman" w:eastAsia="宋体" w:cs="Times New Roman"/>
                <w:b/>
                <w:bCs/>
                <w:color w:val="auto"/>
                <w:highlight w:val="none"/>
                <w:lang w:val="en-US"/>
              </w:rPr>
            </w:pPr>
            <w:r>
              <w:rPr>
                <w:rFonts w:hint="default" w:ascii="Times New Roman" w:hAnsi="Times New Roman" w:eastAsia="宋体" w:cs="Times New Roman"/>
                <w:b/>
                <w:bCs/>
                <w:color w:val="auto"/>
                <w:kern w:val="2"/>
                <w:sz w:val="24"/>
                <w:szCs w:val="21"/>
                <w:highlight w:val="none"/>
                <w:lang w:val="en-US" w:eastAsia="zh-CN" w:bidi="ar-SA"/>
              </w:rPr>
              <w:t>①</w:t>
            </w:r>
            <w:r>
              <w:rPr>
                <w:rFonts w:hint="eastAsia" w:cs="Times New Roman"/>
                <w:b/>
                <w:bCs/>
                <w:color w:val="auto"/>
                <w:highlight w:val="none"/>
                <w:lang w:val="en-US" w:eastAsia="zh-CN"/>
              </w:rPr>
              <w:t>分拣过程中产生不可再生利用固废</w:t>
            </w:r>
          </w:p>
          <w:p w14:paraId="137D4E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本项目收集的原料经人工分拣后会产生可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利用类一般固废和不可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固废，主要为皮革、沙石等杂质。类比同类企业（曜鼎环能科技（淮安）有限公司），收集原料的可利用比例如下表所示，则</w:t>
            </w:r>
            <w:r>
              <w:rPr>
                <w:rFonts w:hint="default" w:ascii="Times New Roman" w:hAnsi="Times New Roman" w:eastAsia="宋体" w:cs="Times New Roman"/>
                <w:b w:val="0"/>
                <w:bCs w:val="0"/>
                <w:color w:val="auto"/>
                <w:sz w:val="24"/>
                <w:szCs w:val="24"/>
                <w:highlight w:val="none"/>
                <w:lang w:val="en-US" w:eastAsia="zh-CN"/>
              </w:rPr>
              <w:t>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固废产生量为3285 t/a。</w:t>
            </w:r>
            <w:r>
              <w:rPr>
                <w:rFonts w:hint="default" w:ascii="Times New Roman" w:hAnsi="Times New Roman" w:eastAsia="宋体" w:cs="Times New Roman"/>
                <w:b w:val="0"/>
                <w:bCs w:val="0"/>
                <w:color w:val="auto"/>
                <w:sz w:val="24"/>
                <w:szCs w:val="24"/>
                <w:highlight w:val="none"/>
                <w:lang w:val="en-US" w:eastAsia="zh-CN"/>
              </w:rPr>
              <w:t>不可</w:t>
            </w:r>
            <w:r>
              <w:rPr>
                <w:rFonts w:hint="eastAsia" w:cs="Times New Roman"/>
                <w:b w:val="0"/>
                <w:bCs w:val="0"/>
                <w:color w:val="auto"/>
                <w:sz w:val="24"/>
                <w:szCs w:val="24"/>
                <w:highlight w:val="none"/>
                <w:lang w:val="en-US" w:eastAsia="zh-CN"/>
              </w:rPr>
              <w:t>再生</w:t>
            </w:r>
            <w:r>
              <w:rPr>
                <w:rFonts w:hint="default" w:ascii="Times New Roman" w:hAnsi="Times New Roman" w:eastAsia="宋体" w:cs="Times New Roman"/>
                <w:b w:val="0"/>
                <w:bCs w:val="0"/>
                <w:color w:val="auto"/>
                <w:sz w:val="24"/>
                <w:szCs w:val="24"/>
                <w:highlight w:val="none"/>
                <w:lang w:val="en-US" w:eastAsia="zh-CN"/>
              </w:rPr>
              <w:t>利用类</w:t>
            </w:r>
            <w:r>
              <w:rPr>
                <w:rFonts w:hint="eastAsia" w:cs="Times New Roman"/>
                <w:b w:val="0"/>
                <w:bCs w:val="0"/>
                <w:color w:val="auto"/>
                <w:sz w:val="24"/>
                <w:szCs w:val="24"/>
                <w:highlight w:val="none"/>
                <w:lang w:val="en-US" w:eastAsia="zh-CN"/>
              </w:rPr>
              <w:t>固废属于SW59（900-099-S59）</w:t>
            </w:r>
          </w:p>
          <w:p w14:paraId="238B51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Times New Roman"/>
                <w:b w:val="0"/>
                <w:bCs w:val="0"/>
                <w:color w:val="auto"/>
                <w:sz w:val="24"/>
                <w:szCs w:val="24"/>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9</w:t>
            </w:r>
            <w:r>
              <w:rPr>
                <w:rFonts w:hint="eastAsia" w:ascii="Times New Roman" w:hAnsi="Times New Roman" w:cs="Times New Roman"/>
                <w:b/>
                <w:bCs/>
                <w:color w:val="auto"/>
                <w:kern w:val="2"/>
                <w:sz w:val="21"/>
                <w:szCs w:val="21"/>
                <w:highlight w:val="none"/>
                <w:lang w:val="en-US" w:eastAsia="zh-CN" w:bidi="ar-SA"/>
              </w:rPr>
              <w:t>原料</w:t>
            </w:r>
            <w:r>
              <w:rPr>
                <w:rFonts w:hint="eastAsia" w:cs="Times New Roman"/>
                <w:b/>
                <w:bCs/>
                <w:color w:val="auto"/>
                <w:kern w:val="2"/>
                <w:sz w:val="21"/>
                <w:szCs w:val="21"/>
                <w:highlight w:val="none"/>
                <w:lang w:val="en-US" w:eastAsia="zh-CN" w:bidi="ar-SA"/>
              </w:rPr>
              <w:t>回收</w:t>
            </w:r>
            <w:r>
              <w:rPr>
                <w:rFonts w:hint="eastAsia" w:ascii="Times New Roman" w:hAnsi="Times New Roman" w:cs="Times New Roman"/>
                <w:b/>
                <w:bCs/>
                <w:color w:val="auto"/>
                <w:kern w:val="2"/>
                <w:sz w:val="21"/>
                <w:szCs w:val="21"/>
                <w:highlight w:val="none"/>
                <w:lang w:val="en-US" w:eastAsia="zh-CN" w:bidi="ar-SA"/>
              </w:rPr>
              <w:t>比例</w:t>
            </w:r>
          </w:p>
          <w:tbl>
            <w:tblPr>
              <w:tblStyle w:val="4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331"/>
              <w:gridCol w:w="1924"/>
              <w:gridCol w:w="1176"/>
              <w:gridCol w:w="1282"/>
              <w:gridCol w:w="2349"/>
            </w:tblGrid>
            <w:tr w14:paraId="39348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64F1E6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序号</w:t>
                  </w:r>
                </w:p>
              </w:tc>
              <w:tc>
                <w:tcPr>
                  <w:tcW w:w="764" w:type="pct"/>
                  <w:vAlign w:val="center"/>
                </w:tcPr>
                <w:p w14:paraId="62991D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废物代码</w:t>
                  </w:r>
                </w:p>
              </w:tc>
              <w:tc>
                <w:tcPr>
                  <w:tcW w:w="1104" w:type="pct"/>
                  <w:vAlign w:val="center"/>
                </w:tcPr>
                <w:p w14:paraId="6B8E59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废物名称</w:t>
                  </w:r>
                </w:p>
              </w:tc>
              <w:tc>
                <w:tcPr>
                  <w:tcW w:w="675" w:type="pct"/>
                  <w:vAlign w:val="center"/>
                </w:tcPr>
                <w:p w14:paraId="156636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接收量 t/a</w:t>
                  </w:r>
                </w:p>
              </w:tc>
              <w:tc>
                <w:tcPr>
                  <w:tcW w:w="736" w:type="pct"/>
                  <w:vAlign w:val="center"/>
                </w:tcPr>
                <w:p w14:paraId="0F8CD3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可回收比例</w:t>
                  </w:r>
                </w:p>
              </w:tc>
              <w:tc>
                <w:tcPr>
                  <w:tcW w:w="1349" w:type="pct"/>
                  <w:vAlign w:val="center"/>
                </w:tcPr>
                <w:p w14:paraId="2A6172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不可回收利用类一般固废 t/a</w:t>
                  </w:r>
                </w:p>
              </w:tc>
            </w:tr>
            <w:tr w14:paraId="5FC2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8E73D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764" w:type="pct"/>
                  <w:vAlign w:val="center"/>
                </w:tcPr>
                <w:p w14:paraId="0FAFBF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900-001-S17</w:t>
                  </w:r>
                </w:p>
              </w:tc>
              <w:tc>
                <w:tcPr>
                  <w:tcW w:w="1104" w:type="pct"/>
                  <w:vAlign w:val="center"/>
                </w:tcPr>
                <w:p w14:paraId="3E833B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21"/>
                      <w:sz w:val="21"/>
                      <w:szCs w:val="21"/>
                      <w:lang w:val="en-US" w:eastAsia="zh-CN"/>
                    </w:rPr>
                    <w:t>废钢铁</w:t>
                  </w:r>
                </w:p>
              </w:tc>
              <w:tc>
                <w:tcPr>
                  <w:tcW w:w="675" w:type="pct"/>
                  <w:vAlign w:val="center"/>
                </w:tcPr>
                <w:p w14:paraId="6E734C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5000</w:t>
                  </w:r>
                </w:p>
              </w:tc>
              <w:tc>
                <w:tcPr>
                  <w:tcW w:w="736" w:type="pct"/>
                  <w:vAlign w:val="center"/>
                </w:tcPr>
                <w:p w14:paraId="791DA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98%</w:t>
                  </w:r>
                </w:p>
              </w:tc>
              <w:tc>
                <w:tcPr>
                  <w:tcW w:w="1349" w:type="pct"/>
                  <w:vAlign w:val="center"/>
                </w:tcPr>
                <w:p w14:paraId="3F4EDC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100</w:t>
                  </w:r>
                </w:p>
              </w:tc>
            </w:tr>
            <w:tr w14:paraId="49F0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25C64F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764" w:type="pct"/>
                  <w:vAlign w:val="center"/>
                </w:tcPr>
                <w:p w14:paraId="04956F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900-002-S17</w:t>
                  </w:r>
                </w:p>
              </w:tc>
              <w:tc>
                <w:tcPr>
                  <w:tcW w:w="1104" w:type="pct"/>
                  <w:vAlign w:val="center"/>
                </w:tcPr>
                <w:p w14:paraId="7B5867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废有色金属</w:t>
                  </w:r>
                </w:p>
              </w:tc>
              <w:tc>
                <w:tcPr>
                  <w:tcW w:w="675" w:type="pct"/>
                  <w:vAlign w:val="center"/>
                </w:tcPr>
                <w:p w14:paraId="35AA56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736" w:type="pct"/>
                  <w:vAlign w:val="center"/>
                </w:tcPr>
                <w:p w14:paraId="310420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664508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20</w:t>
                  </w:r>
                </w:p>
              </w:tc>
            </w:tr>
            <w:tr w14:paraId="4AD0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40EFA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3</w:t>
                  </w:r>
                </w:p>
              </w:tc>
              <w:tc>
                <w:tcPr>
                  <w:tcW w:w="764" w:type="pct"/>
                  <w:vAlign w:val="center"/>
                </w:tcPr>
                <w:p w14:paraId="45D87F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900-003-S17</w:t>
                  </w:r>
                </w:p>
              </w:tc>
              <w:tc>
                <w:tcPr>
                  <w:tcW w:w="1104" w:type="pct"/>
                  <w:vAlign w:val="center"/>
                </w:tcPr>
                <w:p w14:paraId="6CFA0F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废塑料</w:t>
                  </w:r>
                </w:p>
              </w:tc>
              <w:tc>
                <w:tcPr>
                  <w:tcW w:w="675" w:type="pct"/>
                  <w:vAlign w:val="center"/>
                </w:tcPr>
                <w:p w14:paraId="49151B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6F43AC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11E056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30</w:t>
                  </w:r>
                </w:p>
              </w:tc>
            </w:tr>
            <w:tr w14:paraId="367C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2D5D52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4</w:t>
                  </w:r>
                </w:p>
              </w:tc>
              <w:tc>
                <w:tcPr>
                  <w:tcW w:w="764" w:type="pct"/>
                  <w:vAlign w:val="center"/>
                </w:tcPr>
                <w:p w14:paraId="268B44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900-004-S17</w:t>
                  </w:r>
                </w:p>
              </w:tc>
              <w:tc>
                <w:tcPr>
                  <w:tcW w:w="1104" w:type="pct"/>
                  <w:vAlign w:val="center"/>
                </w:tcPr>
                <w:p w14:paraId="7F0EA5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sz w:val="21"/>
                      <w:szCs w:val="21"/>
                      <w:lang w:val="en-US" w:eastAsia="zh-CN"/>
                    </w:rPr>
                    <w:t>废玻璃</w:t>
                  </w:r>
                </w:p>
              </w:tc>
              <w:tc>
                <w:tcPr>
                  <w:tcW w:w="675" w:type="pct"/>
                  <w:vAlign w:val="center"/>
                </w:tcPr>
                <w:p w14:paraId="22B090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4000</w:t>
                  </w:r>
                </w:p>
              </w:tc>
              <w:tc>
                <w:tcPr>
                  <w:tcW w:w="736" w:type="pct"/>
                  <w:vAlign w:val="center"/>
                </w:tcPr>
                <w:p w14:paraId="172751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1C9933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40</w:t>
                  </w:r>
                </w:p>
              </w:tc>
            </w:tr>
            <w:tr w14:paraId="652F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566D1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5</w:t>
                  </w:r>
                </w:p>
              </w:tc>
              <w:tc>
                <w:tcPr>
                  <w:tcW w:w="764" w:type="pct"/>
                  <w:vAlign w:val="center"/>
                </w:tcPr>
                <w:p w14:paraId="37C830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900-005-S17</w:t>
                  </w:r>
                </w:p>
              </w:tc>
              <w:tc>
                <w:tcPr>
                  <w:tcW w:w="1104" w:type="pct"/>
                  <w:vAlign w:val="center"/>
                </w:tcPr>
                <w:p w14:paraId="7D6ED8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废纸</w:t>
                  </w:r>
                </w:p>
              </w:tc>
              <w:tc>
                <w:tcPr>
                  <w:tcW w:w="675" w:type="pct"/>
                  <w:vAlign w:val="center"/>
                </w:tcPr>
                <w:p w14:paraId="10C180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2379B6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99%</w:t>
                  </w:r>
                </w:p>
              </w:tc>
              <w:tc>
                <w:tcPr>
                  <w:tcW w:w="1349" w:type="pct"/>
                  <w:vAlign w:val="center"/>
                </w:tcPr>
                <w:p w14:paraId="755465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30</w:t>
                  </w:r>
                </w:p>
              </w:tc>
            </w:tr>
            <w:tr w14:paraId="7D87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B8928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6</w:t>
                  </w:r>
                </w:p>
              </w:tc>
              <w:tc>
                <w:tcPr>
                  <w:tcW w:w="764" w:type="pct"/>
                  <w:vAlign w:val="center"/>
                </w:tcPr>
                <w:p w14:paraId="46C5163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900-006-S17</w:t>
                  </w:r>
                </w:p>
              </w:tc>
              <w:tc>
                <w:tcPr>
                  <w:tcW w:w="1104" w:type="pct"/>
                  <w:vAlign w:val="center"/>
                </w:tcPr>
                <w:p w14:paraId="43198D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废橡胶</w:t>
                  </w:r>
                </w:p>
              </w:tc>
              <w:tc>
                <w:tcPr>
                  <w:tcW w:w="675" w:type="pct"/>
                  <w:vAlign w:val="center"/>
                </w:tcPr>
                <w:p w14:paraId="545344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3000</w:t>
                  </w:r>
                </w:p>
              </w:tc>
              <w:tc>
                <w:tcPr>
                  <w:tcW w:w="736" w:type="pct"/>
                  <w:vAlign w:val="center"/>
                </w:tcPr>
                <w:p w14:paraId="1599E4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96%</w:t>
                  </w:r>
                </w:p>
              </w:tc>
              <w:tc>
                <w:tcPr>
                  <w:tcW w:w="1349" w:type="pct"/>
                  <w:vAlign w:val="center"/>
                </w:tcPr>
                <w:p w14:paraId="361202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120</w:t>
                  </w:r>
                </w:p>
              </w:tc>
            </w:tr>
            <w:tr w14:paraId="7152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E6F1F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7</w:t>
                  </w:r>
                </w:p>
              </w:tc>
              <w:tc>
                <w:tcPr>
                  <w:tcW w:w="764" w:type="pct"/>
                  <w:vAlign w:val="center"/>
                </w:tcPr>
                <w:p w14:paraId="26BF78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900-007-S17</w:t>
                  </w:r>
                </w:p>
              </w:tc>
              <w:tc>
                <w:tcPr>
                  <w:tcW w:w="1104" w:type="pct"/>
                  <w:vAlign w:val="center"/>
                </w:tcPr>
                <w:p w14:paraId="63F4E5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lang w:val="en-US" w:eastAsia="zh-CN"/>
                    </w:rPr>
                    <w:t>废纺织品</w:t>
                  </w:r>
                </w:p>
              </w:tc>
              <w:tc>
                <w:tcPr>
                  <w:tcW w:w="675" w:type="pct"/>
                  <w:vAlign w:val="center"/>
                </w:tcPr>
                <w:p w14:paraId="3FD670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2000</w:t>
                  </w:r>
                </w:p>
              </w:tc>
              <w:tc>
                <w:tcPr>
                  <w:tcW w:w="736" w:type="pct"/>
                  <w:vAlign w:val="center"/>
                </w:tcPr>
                <w:p w14:paraId="2D75E7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95%</w:t>
                  </w:r>
                </w:p>
              </w:tc>
              <w:tc>
                <w:tcPr>
                  <w:tcW w:w="1349" w:type="pct"/>
                  <w:vAlign w:val="center"/>
                </w:tcPr>
                <w:p w14:paraId="7FAA93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100</w:t>
                  </w:r>
                </w:p>
              </w:tc>
            </w:tr>
            <w:tr w14:paraId="2FCA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3B909C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8</w:t>
                  </w:r>
                </w:p>
              </w:tc>
              <w:tc>
                <w:tcPr>
                  <w:tcW w:w="764" w:type="pct"/>
                  <w:vAlign w:val="center"/>
                </w:tcPr>
                <w:p w14:paraId="7E4AC8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color w:val="auto"/>
                      <w:sz w:val="21"/>
                      <w:szCs w:val="21"/>
                      <w:vertAlign w:val="baseline"/>
                      <w:lang w:val="en-US" w:eastAsia="zh-CN"/>
                    </w:rPr>
                    <w:t>900-009-S17</w:t>
                  </w:r>
                </w:p>
              </w:tc>
              <w:tc>
                <w:tcPr>
                  <w:tcW w:w="1104" w:type="pct"/>
                  <w:vAlign w:val="center"/>
                </w:tcPr>
                <w:p w14:paraId="4840A4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废木材</w:t>
                  </w:r>
                </w:p>
              </w:tc>
              <w:tc>
                <w:tcPr>
                  <w:tcW w:w="675" w:type="pct"/>
                  <w:vAlign w:val="center"/>
                </w:tcPr>
                <w:p w14:paraId="4B977D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1000</w:t>
                  </w:r>
                </w:p>
              </w:tc>
              <w:tc>
                <w:tcPr>
                  <w:tcW w:w="736" w:type="pct"/>
                  <w:vAlign w:val="center"/>
                </w:tcPr>
                <w:p w14:paraId="6EC3A3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98%</w:t>
                  </w:r>
                </w:p>
              </w:tc>
              <w:tc>
                <w:tcPr>
                  <w:tcW w:w="1349" w:type="pct"/>
                  <w:vAlign w:val="center"/>
                </w:tcPr>
                <w:p w14:paraId="73B0E3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20</w:t>
                  </w:r>
                </w:p>
              </w:tc>
            </w:tr>
            <w:tr w14:paraId="178E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77ACDF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9</w:t>
                  </w:r>
                </w:p>
              </w:tc>
              <w:tc>
                <w:tcPr>
                  <w:tcW w:w="764" w:type="pct"/>
                  <w:vAlign w:val="center"/>
                </w:tcPr>
                <w:p w14:paraId="592FD1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lang w:val="en-US"/>
                    </w:rPr>
                  </w:pPr>
                  <w:r>
                    <w:rPr>
                      <w:rFonts w:hint="eastAsia"/>
                      <w:color w:val="auto"/>
                      <w:sz w:val="21"/>
                      <w:szCs w:val="21"/>
                      <w:vertAlign w:val="baseline"/>
                      <w:lang w:val="en-US" w:eastAsia="zh-CN"/>
                    </w:rPr>
                    <w:t>900-099-S59</w:t>
                  </w:r>
                </w:p>
              </w:tc>
              <w:tc>
                <w:tcPr>
                  <w:tcW w:w="1104" w:type="pct"/>
                  <w:vAlign w:val="center"/>
                </w:tcPr>
                <w:p w14:paraId="081B25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1"/>
                      <w:szCs w:val="21"/>
                      <w:lang w:val="en-US" w:eastAsia="zh-CN"/>
                    </w:rPr>
                  </w:pPr>
                  <w:r>
                    <w:rPr>
                      <w:rFonts w:hint="eastAsia"/>
                      <w:color w:val="auto"/>
                      <w:sz w:val="21"/>
                      <w:szCs w:val="21"/>
                      <w:lang w:val="en-US" w:eastAsia="zh-CN"/>
                    </w:rPr>
                    <w:t>其他固体废物</w:t>
                  </w:r>
                </w:p>
              </w:tc>
              <w:tc>
                <w:tcPr>
                  <w:tcW w:w="675" w:type="pct"/>
                  <w:vAlign w:val="center"/>
                </w:tcPr>
                <w:p w14:paraId="316754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vertAlign w:val="baseline"/>
                    </w:rPr>
                  </w:pPr>
                  <w:r>
                    <w:rPr>
                      <w:rFonts w:hint="eastAsia" w:eastAsia="宋体"/>
                      <w:color w:val="auto"/>
                      <w:kern w:val="0"/>
                      <w:sz w:val="21"/>
                      <w:szCs w:val="21"/>
                      <w:lang w:val="en-US" w:eastAsia="zh-CN"/>
                    </w:rPr>
                    <w:t>5</w:t>
                  </w:r>
                  <w:r>
                    <w:rPr>
                      <w:rFonts w:hint="eastAsia"/>
                      <w:color w:val="auto"/>
                      <w:kern w:val="0"/>
                      <w:sz w:val="21"/>
                      <w:szCs w:val="21"/>
                      <w:lang w:val="en-US" w:eastAsia="zh-CN"/>
                    </w:rPr>
                    <w:t>70</w:t>
                  </w:r>
                  <w:r>
                    <w:rPr>
                      <w:rFonts w:hint="eastAsia" w:eastAsia="宋体"/>
                      <w:color w:val="auto"/>
                      <w:kern w:val="0"/>
                      <w:sz w:val="21"/>
                      <w:szCs w:val="21"/>
                      <w:lang w:val="en-US" w:eastAsia="zh-CN"/>
                    </w:rPr>
                    <w:t>00</w:t>
                  </w:r>
                </w:p>
              </w:tc>
              <w:tc>
                <w:tcPr>
                  <w:tcW w:w="736" w:type="pct"/>
                  <w:vAlign w:val="center"/>
                </w:tcPr>
                <w:p w14:paraId="74FFAD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95%</w:t>
                  </w:r>
                </w:p>
              </w:tc>
              <w:tc>
                <w:tcPr>
                  <w:tcW w:w="1349" w:type="pct"/>
                  <w:vAlign w:val="center"/>
                </w:tcPr>
                <w:p w14:paraId="58AA58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2850</w:t>
                  </w:r>
                </w:p>
              </w:tc>
            </w:tr>
            <w:tr w14:paraId="7129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8" w:type="pct"/>
                  <w:gridSpan w:val="3"/>
                  <w:vAlign w:val="center"/>
                </w:tcPr>
                <w:p w14:paraId="1264B9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合计</w:t>
                  </w:r>
                </w:p>
              </w:tc>
              <w:tc>
                <w:tcPr>
                  <w:tcW w:w="675" w:type="pct"/>
                  <w:vAlign w:val="center"/>
                </w:tcPr>
                <w:p w14:paraId="10DDD5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color w:val="auto"/>
                      <w:kern w:val="0"/>
                      <w:sz w:val="21"/>
                      <w:szCs w:val="21"/>
                      <w:lang w:val="en-US" w:eastAsia="zh-CN"/>
                    </w:rPr>
                  </w:pPr>
                  <w:r>
                    <w:rPr>
                      <w:rFonts w:hint="eastAsia"/>
                      <w:color w:val="auto"/>
                      <w:kern w:val="0"/>
                      <w:sz w:val="21"/>
                      <w:szCs w:val="21"/>
                      <w:lang w:val="en-US" w:eastAsia="zh-CN"/>
                    </w:rPr>
                    <w:t>80000</w:t>
                  </w:r>
                </w:p>
              </w:tc>
              <w:tc>
                <w:tcPr>
                  <w:tcW w:w="736" w:type="pct"/>
                  <w:vAlign w:val="center"/>
                </w:tcPr>
                <w:p w14:paraId="415FC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w:t>
                  </w:r>
                </w:p>
              </w:tc>
              <w:tc>
                <w:tcPr>
                  <w:tcW w:w="1349" w:type="pct"/>
                  <w:vAlign w:val="center"/>
                </w:tcPr>
                <w:p w14:paraId="19E970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olor w:val="auto"/>
                      <w:kern w:val="0"/>
                      <w:sz w:val="21"/>
                      <w:szCs w:val="21"/>
                      <w:lang w:val="en-US" w:eastAsia="zh-CN"/>
                    </w:rPr>
                  </w:pPr>
                  <w:r>
                    <w:rPr>
                      <w:rFonts w:hint="eastAsia"/>
                      <w:color w:val="auto"/>
                      <w:kern w:val="0"/>
                      <w:sz w:val="21"/>
                      <w:szCs w:val="21"/>
                      <w:lang w:val="en-US" w:eastAsia="zh-CN"/>
                    </w:rPr>
                    <w:t>3310</w:t>
                  </w:r>
                </w:p>
              </w:tc>
            </w:tr>
          </w:tbl>
          <w:p w14:paraId="7F6ED196">
            <w:pPr>
              <w:keepNext/>
              <w:keepLines/>
              <w:numPr>
                <w:ilvl w:val="4"/>
                <w:numId w:val="0"/>
              </w:numPr>
              <w:tabs>
                <w:tab w:val="left" w:pos="0"/>
              </w:tabs>
              <w:ind w:firstLine="480" w:firstLineChars="20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（3）危险废物</w:t>
            </w:r>
          </w:p>
          <w:p w14:paraId="6D61A339">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危险废物类别根据《国家危险废物名录》（202</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年版）进行辨识，分类收集后委托危险废物资质单位处理。</w:t>
            </w:r>
          </w:p>
          <w:p w14:paraId="0CC7D504">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cs="Times New Roman"/>
                <w:b/>
                <w:bCs/>
                <w:color w:val="auto"/>
                <w:kern w:val="2"/>
                <w:sz w:val="24"/>
                <w:szCs w:val="24"/>
                <w:highlight w:val="none"/>
                <w:lang w:val="en-US" w:eastAsia="zh-CN" w:bidi="ar-SA"/>
              </w:rPr>
              <w:t>①</w:t>
            </w:r>
            <w:r>
              <w:rPr>
                <w:rFonts w:hint="default" w:ascii="Times New Roman" w:hAnsi="Times New Roman" w:eastAsia="宋体" w:cs="Times New Roman"/>
                <w:b/>
                <w:bCs/>
                <w:color w:val="auto"/>
                <w:kern w:val="2"/>
                <w:sz w:val="24"/>
                <w:szCs w:val="24"/>
                <w:highlight w:val="none"/>
                <w:lang w:val="en-US" w:eastAsia="zh-CN" w:bidi="ar-SA"/>
              </w:rPr>
              <w:t>废</w:t>
            </w:r>
            <w:r>
              <w:rPr>
                <w:rFonts w:hint="default" w:ascii="Times New Roman" w:hAnsi="Times New Roman" w:cs="Times New Roman"/>
                <w:b/>
                <w:bCs/>
                <w:color w:val="auto"/>
                <w:kern w:val="2"/>
                <w:sz w:val="24"/>
                <w:szCs w:val="24"/>
                <w:highlight w:val="none"/>
                <w:lang w:val="en-US" w:eastAsia="zh-CN" w:bidi="ar-SA"/>
              </w:rPr>
              <w:t>矿物油及油桶</w:t>
            </w:r>
          </w:p>
          <w:p w14:paraId="2BEB02A3">
            <w:pPr>
              <w:ind w:firstLine="480" w:firstLineChars="200"/>
              <w:rPr>
                <w:rFonts w:hint="default" w:ascii="Times New Roman" w:hAnsi="Times New Roman" w:eastAsia="宋体" w:cs="Times New Roman"/>
                <w:color w:val="auto"/>
                <w:highlight w:val="none"/>
                <w:u w:val="none"/>
                <w:lang w:val="en-US" w:eastAsia="zh-CN"/>
              </w:rPr>
            </w:pPr>
            <w:r>
              <w:rPr>
                <w:rFonts w:hint="default" w:ascii="Times New Roman" w:hAnsi="Times New Roman" w:eastAsia="宋体" w:cs="Times New Roman"/>
                <w:color w:val="auto"/>
                <w:highlight w:val="none"/>
                <w:u w:val="none"/>
              </w:rPr>
              <w:t>保养设备设施会用到</w:t>
            </w:r>
            <w:r>
              <w:rPr>
                <w:rFonts w:hint="default" w:ascii="Times New Roman" w:hAnsi="Times New Roman" w:cs="Times New Roman"/>
                <w:color w:val="auto"/>
                <w:highlight w:val="none"/>
                <w:u w:val="none"/>
                <w:lang w:val="en-US" w:eastAsia="zh-CN"/>
              </w:rPr>
              <w:t>机</w:t>
            </w:r>
            <w:r>
              <w:rPr>
                <w:rFonts w:hint="default" w:ascii="Times New Roman" w:hAnsi="Times New Roman" w:eastAsia="宋体" w:cs="Times New Roman"/>
                <w:color w:val="auto"/>
                <w:highlight w:val="none"/>
                <w:u w:val="none"/>
                <w:lang w:val="en-US" w:eastAsia="zh-CN"/>
              </w:rPr>
              <w:t>油</w:t>
            </w:r>
            <w:r>
              <w:rPr>
                <w:rFonts w:hint="default" w:ascii="Times New Roman" w:hAnsi="Times New Roman" w:eastAsia="宋体" w:cs="Times New Roman"/>
                <w:color w:val="auto"/>
                <w:highlight w:val="none"/>
                <w:u w:val="none"/>
              </w:rPr>
              <w:t>，</w:t>
            </w:r>
            <w:r>
              <w:rPr>
                <w:rFonts w:hint="eastAsia" w:cs="Times New Roman"/>
                <w:color w:val="auto"/>
                <w:highlight w:val="none"/>
                <w:u w:val="none"/>
                <w:lang w:val="en-US" w:eastAsia="zh-CN"/>
              </w:rPr>
              <w:t>液压机会用到液压油。机油</w:t>
            </w:r>
            <w:r>
              <w:rPr>
                <w:rFonts w:hint="default" w:ascii="Times New Roman" w:hAnsi="Times New Roman" w:eastAsia="宋体" w:cs="Times New Roman"/>
                <w:color w:val="auto"/>
                <w:highlight w:val="none"/>
                <w:u w:val="none"/>
                <w:lang w:val="en-US" w:eastAsia="zh-CN"/>
              </w:rPr>
              <w:t>规格为</w:t>
            </w:r>
            <w:r>
              <w:rPr>
                <w:rFonts w:hint="default" w:ascii="Times New Roman" w:hAnsi="Times New Roman" w:cs="Times New Roman"/>
                <w:color w:val="auto"/>
                <w:highlight w:val="none"/>
                <w:u w:val="none"/>
                <w:lang w:val="en-US" w:eastAsia="zh-CN"/>
              </w:rPr>
              <w:t>25</w:t>
            </w:r>
            <w:r>
              <w:rPr>
                <w:rFonts w:hint="default" w:ascii="Times New Roman" w:hAnsi="Times New Roman" w:eastAsia="宋体" w:cs="Times New Roman"/>
                <w:color w:val="auto"/>
                <w:highlight w:val="none"/>
                <w:u w:val="none"/>
              </w:rPr>
              <w:t>kg/桶，</w:t>
            </w:r>
            <w:r>
              <w:rPr>
                <w:rFonts w:hint="eastAsia" w:cs="Times New Roman"/>
                <w:color w:val="auto"/>
                <w:highlight w:val="none"/>
                <w:u w:val="none"/>
                <w:lang w:val="en-US" w:eastAsia="zh-CN"/>
              </w:rPr>
              <w:t>液压油规格为</w:t>
            </w:r>
            <w:r>
              <w:rPr>
                <w:rFonts w:hint="eastAsia" w:ascii="Times New Roman" w:hAnsi="Times New Roman" w:cs="Times New Roman"/>
                <w:color w:val="auto"/>
                <w:highlight w:val="none"/>
                <w:u w:val="none"/>
                <w:lang w:val="en-US" w:eastAsia="zh-CN"/>
              </w:rPr>
              <w:t>20</w:t>
            </w:r>
            <w:r>
              <w:rPr>
                <w:rFonts w:hint="eastAsia" w:cs="Times New Roman"/>
                <w:color w:val="auto"/>
                <w:highlight w:val="none"/>
                <w:u w:val="none"/>
                <w:lang w:val="en-US" w:eastAsia="zh-CN"/>
              </w:rPr>
              <w:t>kg</w:t>
            </w:r>
            <w:r>
              <w:rPr>
                <w:rFonts w:hint="default" w:ascii="Times New Roman" w:hAnsi="Times New Roman" w:eastAsia="宋体" w:cs="Times New Roman"/>
                <w:color w:val="auto"/>
                <w:highlight w:val="none"/>
                <w:u w:val="none"/>
              </w:rPr>
              <w:t>/桶</w:t>
            </w:r>
            <w:r>
              <w:rPr>
                <w:rFonts w:hint="eastAsia" w:cs="Times New Roman"/>
                <w:color w:val="auto"/>
                <w:highlight w:val="none"/>
                <w:u w:val="none"/>
                <w:lang w:val="en-US" w:eastAsia="zh-CN"/>
              </w:rPr>
              <w:t>。废液压油产生量为0.1t，</w:t>
            </w:r>
            <w:r>
              <w:rPr>
                <w:rFonts w:hint="default" w:ascii="Times New Roman" w:hAnsi="Times New Roman" w:cs="Times New Roman"/>
                <w:color w:val="auto"/>
                <w:highlight w:val="none"/>
                <w:u w:val="none"/>
                <w:lang w:val="en-US" w:eastAsia="zh-CN"/>
              </w:rPr>
              <w:t>废</w:t>
            </w:r>
            <w:r>
              <w:rPr>
                <w:rFonts w:hint="eastAsia" w:cs="Times New Roman"/>
                <w:color w:val="auto"/>
                <w:highlight w:val="none"/>
                <w:u w:val="none"/>
                <w:lang w:val="en-US" w:eastAsia="zh-CN"/>
              </w:rPr>
              <w:t>机油</w:t>
            </w:r>
            <w:r>
              <w:rPr>
                <w:rFonts w:hint="default" w:ascii="Times New Roman" w:hAnsi="Times New Roman" w:cs="Times New Roman"/>
                <w:color w:val="auto"/>
                <w:highlight w:val="none"/>
                <w:u w:val="none"/>
                <w:lang w:val="en-US" w:eastAsia="zh-CN"/>
              </w:rPr>
              <w:t>产生量为0.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t</w:t>
            </w:r>
            <w:r>
              <w:rPr>
                <w:rFonts w:hint="eastAsia" w:cs="Times New Roman"/>
                <w:color w:val="auto"/>
                <w:highlight w:val="none"/>
                <w:u w:val="none"/>
                <w:lang w:val="en-US" w:eastAsia="zh-CN"/>
              </w:rPr>
              <w:t>。</w:t>
            </w:r>
            <w:r>
              <w:rPr>
                <w:rFonts w:hint="default" w:ascii="Times New Roman" w:hAnsi="Times New Roman" w:eastAsia="宋体" w:cs="Times New Roman"/>
                <w:color w:val="auto"/>
                <w:highlight w:val="none"/>
                <w:u w:val="none"/>
              </w:rPr>
              <w:t>空桶按</w:t>
            </w:r>
            <w:r>
              <w:rPr>
                <w:rFonts w:hint="default" w:ascii="Times New Roman" w:hAnsi="Times New Roman" w:cs="Times New Roman"/>
                <w:color w:val="auto"/>
                <w:highlight w:val="none"/>
                <w:u w:val="none"/>
                <w:lang w:val="en-US" w:eastAsia="zh-CN"/>
              </w:rPr>
              <w:t>1</w:t>
            </w:r>
            <w:r>
              <w:rPr>
                <w:rFonts w:hint="default" w:ascii="Times New Roman" w:hAnsi="Times New Roman" w:eastAsia="宋体" w:cs="Times New Roman"/>
                <w:color w:val="auto"/>
                <w:highlight w:val="none"/>
                <w:u w:val="none"/>
              </w:rPr>
              <w:t>kg/桶计算</w:t>
            </w:r>
            <w:r>
              <w:rPr>
                <w:rFonts w:hint="default" w:ascii="Times New Roman" w:hAnsi="Times New Roman" w:cs="Times New Roman"/>
                <w:color w:val="auto"/>
                <w:highlight w:val="none"/>
                <w:u w:val="none"/>
                <w:lang w:eastAsia="zh-CN"/>
              </w:rPr>
              <w:t>，</w:t>
            </w:r>
            <w:r>
              <w:rPr>
                <w:rFonts w:hint="default" w:ascii="Times New Roman" w:hAnsi="Times New Roman" w:eastAsia="宋体" w:cs="Times New Roman"/>
                <w:color w:val="auto"/>
                <w:highlight w:val="none"/>
                <w:u w:val="none"/>
                <w:lang w:val="en-US" w:eastAsia="zh-CN"/>
              </w:rPr>
              <w:t>综上，</w:t>
            </w:r>
            <w:r>
              <w:rPr>
                <w:rFonts w:hint="default" w:ascii="Times New Roman" w:hAnsi="Times New Roman" w:eastAsia="宋体" w:cs="Times New Roman"/>
                <w:color w:val="auto"/>
                <w:highlight w:val="none"/>
                <w:u w:val="none"/>
              </w:rPr>
              <w:t>本项目产生废</w:t>
            </w:r>
            <w:r>
              <w:rPr>
                <w:rFonts w:hint="eastAsia" w:cs="Times New Roman"/>
                <w:color w:val="auto"/>
                <w:highlight w:val="none"/>
                <w:u w:val="none"/>
                <w:lang w:val="en-US" w:eastAsia="zh-CN"/>
              </w:rPr>
              <w:t>矿物</w:t>
            </w:r>
            <w:r>
              <w:rPr>
                <w:rFonts w:hint="default" w:ascii="Times New Roman" w:hAnsi="Times New Roman" w:eastAsia="宋体" w:cs="Times New Roman"/>
                <w:color w:val="auto"/>
                <w:highlight w:val="none"/>
                <w:u w:val="none"/>
              </w:rPr>
              <w:t>油</w:t>
            </w:r>
            <w:r>
              <w:rPr>
                <w:rFonts w:hint="default" w:ascii="Times New Roman" w:hAnsi="Times New Roman" w:eastAsia="宋体" w:cs="Times New Roman"/>
                <w:color w:val="auto"/>
                <w:highlight w:val="none"/>
                <w:u w:val="none"/>
                <w:lang w:eastAsia="zh-CN"/>
              </w:rPr>
              <w:t>及</w:t>
            </w:r>
            <w:r>
              <w:rPr>
                <w:rFonts w:hint="default" w:ascii="Times New Roman" w:hAnsi="Times New Roman" w:eastAsia="宋体" w:cs="Times New Roman"/>
                <w:color w:val="auto"/>
                <w:highlight w:val="none"/>
                <w:u w:val="none"/>
              </w:rPr>
              <w:t>桶约</w:t>
            </w:r>
            <w:r>
              <w:rPr>
                <w:rFonts w:hint="eastAsia" w:cs="Times New Roman"/>
                <w:color w:val="auto"/>
                <w:highlight w:val="none"/>
                <w:u w:val="none"/>
                <w:lang w:val="en-US" w:eastAsia="zh-CN"/>
              </w:rPr>
              <w:t>0.1+</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t</w:t>
            </w:r>
            <w:r>
              <w:rPr>
                <w:rFonts w:hint="default" w:ascii="Times New Roman" w:hAnsi="Times New Roman" w:eastAsia="宋体" w:cs="Times New Roman"/>
                <w:color w:val="auto"/>
                <w:highlight w:val="none"/>
                <w:u w:val="none"/>
                <w:lang w:val="en-US" w:eastAsia="zh-CN"/>
              </w:rPr>
              <w:t>+</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05</w:t>
            </w:r>
            <w:r>
              <w:rPr>
                <w:rFonts w:hint="default" w:ascii="Times New Roman" w:hAnsi="Times New Roman" w:cs="Times New Roman"/>
                <w:color w:val="auto"/>
                <w:highlight w:val="none"/>
                <w:u w:val="none"/>
                <w:lang w:val="en-US" w:eastAsia="zh-CN"/>
              </w:rPr>
              <w:t>/0.025</w:t>
            </w:r>
            <w:r>
              <w:rPr>
                <w:rFonts w:hint="eastAsia" w:cs="Times New Roman"/>
                <w:color w:val="auto"/>
                <w:highlight w:val="none"/>
                <w:u w:val="none"/>
                <w:lang w:val="en-US" w:eastAsia="zh-CN"/>
              </w:rPr>
              <w:t>+0.1/0.02</w:t>
            </w:r>
            <w:r>
              <w:rPr>
                <w:rFonts w:hint="default" w:ascii="Times New Roman" w:hAnsi="Times New Roman" w:cs="Times New Roman"/>
                <w:color w:val="auto"/>
                <w:highlight w:val="none"/>
                <w:u w:val="none"/>
                <w:lang w:val="en-US" w:eastAsia="zh-CN"/>
              </w:rPr>
              <w:t>）</w:t>
            </w:r>
            <w:r>
              <w:rPr>
                <w:rFonts w:hint="default" w:ascii="Times New Roman" w:hAnsi="Times New Roman" w:eastAsia="宋体" w:cs="Times New Roman"/>
                <w:color w:val="auto"/>
                <w:highlight w:val="none"/>
                <w:u w:val="none"/>
                <w:lang w:val="en-US" w:eastAsia="zh-CN"/>
              </w:rPr>
              <w:t>×1kg=</w:t>
            </w:r>
            <w:r>
              <w:rPr>
                <w:rFonts w:hint="default" w:ascii="Times New Roman" w:hAnsi="Times New Roman" w:cs="Times New Roman"/>
                <w:color w:val="auto"/>
                <w:highlight w:val="none"/>
                <w:u w:val="none"/>
                <w:lang w:val="en-US" w:eastAsia="zh-CN"/>
              </w:rPr>
              <w:t>0.</w:t>
            </w:r>
            <w:r>
              <w:rPr>
                <w:rFonts w:hint="eastAsia" w:cs="Times New Roman"/>
                <w:color w:val="auto"/>
                <w:highlight w:val="none"/>
                <w:u w:val="none"/>
                <w:lang w:val="en-US" w:eastAsia="zh-CN"/>
              </w:rPr>
              <w:t>157</w:t>
            </w:r>
            <w:r>
              <w:rPr>
                <w:rFonts w:hint="default" w:ascii="Times New Roman" w:hAnsi="Times New Roman" w:eastAsia="宋体" w:cs="Times New Roman"/>
                <w:color w:val="auto"/>
                <w:highlight w:val="none"/>
                <w:u w:val="none"/>
              </w:rPr>
              <w:t>t/a</w:t>
            </w:r>
          </w:p>
          <w:p w14:paraId="07E22479">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根据《国家危险废物名录》（202</w:t>
            </w:r>
            <w:r>
              <w:rPr>
                <w:rFonts w:hint="default" w:ascii="Times New Roman" w:hAnsi="Times New Roman" w:cs="Times New Roman"/>
                <w:color w:val="auto"/>
                <w:highlight w:val="none"/>
                <w:lang w:val="en-US" w:eastAsia="zh-CN"/>
              </w:rPr>
              <w:t>5</w:t>
            </w:r>
            <w:r>
              <w:rPr>
                <w:rFonts w:hint="default" w:ascii="Times New Roman" w:hAnsi="Times New Roman" w:eastAsia="宋体" w:cs="Times New Roman"/>
                <w:color w:val="auto"/>
                <w:highlight w:val="none"/>
              </w:rPr>
              <w:t>年版），废油桶</w:t>
            </w:r>
            <w:r>
              <w:rPr>
                <w:rFonts w:hint="default" w:ascii="Times New Roman" w:hAnsi="Times New Roman" w:eastAsia="宋体" w:cs="Times New Roman"/>
                <w:color w:val="auto"/>
                <w:highlight w:val="none"/>
                <w:lang w:val="en-US" w:eastAsia="zh-CN"/>
              </w:rPr>
              <w:t>按“</w:t>
            </w:r>
            <w:r>
              <w:rPr>
                <w:rFonts w:hint="default" w:ascii="Times New Roman" w:hAnsi="Times New Roman" w:eastAsia="宋体" w:cs="Times New Roman"/>
                <w:color w:val="auto"/>
                <w:highlight w:val="none"/>
              </w:rPr>
              <w:t>HW</w:t>
            </w:r>
            <w:r>
              <w:rPr>
                <w:rFonts w:hint="default" w:ascii="Times New Roman" w:hAnsi="Times New Roman" w:eastAsia="宋体" w:cs="Times New Roman"/>
                <w:color w:val="auto"/>
                <w:highlight w:val="none"/>
                <w:lang w:val="en-US" w:eastAsia="zh-CN"/>
              </w:rPr>
              <w:t>08废矿物油与含矿物油废物”分类</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其</w:t>
            </w:r>
            <w:r>
              <w:rPr>
                <w:rFonts w:hint="default" w:ascii="Times New Roman" w:hAnsi="Times New Roman" w:eastAsia="宋体" w:cs="Times New Roman"/>
                <w:color w:val="auto"/>
                <w:highlight w:val="none"/>
              </w:rPr>
              <w:t>代码</w:t>
            </w:r>
            <w:r>
              <w:rPr>
                <w:rFonts w:hint="default" w:ascii="Times New Roman" w:hAnsi="Times New Roman" w:eastAsia="宋体" w:cs="Times New Roman"/>
                <w:color w:val="auto"/>
                <w:highlight w:val="none"/>
                <w:lang w:val="en-US" w:eastAsia="zh-CN"/>
              </w:rPr>
              <w:t>为</w:t>
            </w:r>
            <w:r>
              <w:rPr>
                <w:rFonts w:hint="default" w:ascii="Times New Roman" w:hAnsi="Times New Roman" w:eastAsia="宋体" w:cs="Times New Roman"/>
                <w:color w:val="auto"/>
                <w:highlight w:val="none"/>
              </w:rPr>
              <w:t>900-249-08</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属于</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其他生产、销售、使用过程中产生的废矿物油及沾染矿物油的废弃包装物”，经统一收集后交由有危险废物处理资质的单位处理。</w:t>
            </w:r>
          </w:p>
          <w:p w14:paraId="11A78CF6">
            <w:pPr>
              <w:ind w:firstLine="480" w:firstLineChars="200"/>
              <w:rPr>
                <w:rFonts w:hint="default" w:ascii="Times New Roman" w:hAnsi="Times New Roman" w:eastAsia="宋体" w:cs="Times New Roman"/>
                <w:b/>
                <w:bCs/>
                <w:color w:val="auto"/>
                <w:szCs w:val="24"/>
                <w:highlight w:val="none"/>
                <w:lang w:val="en-US" w:eastAsia="zh-CN"/>
              </w:rPr>
            </w:pPr>
            <w:r>
              <w:rPr>
                <w:rFonts w:hint="default" w:ascii="Times New Roman" w:hAnsi="Times New Roman" w:cs="Times New Roman"/>
                <w:b/>
                <w:bCs/>
                <w:color w:val="auto"/>
                <w:szCs w:val="24"/>
                <w:highlight w:val="none"/>
                <w:lang w:val="en-US" w:eastAsia="zh-CN"/>
              </w:rPr>
              <w:t>②</w:t>
            </w:r>
            <w:r>
              <w:rPr>
                <w:rFonts w:hint="default" w:ascii="Times New Roman" w:hAnsi="Times New Roman" w:eastAsia="宋体" w:cs="Times New Roman"/>
                <w:b/>
                <w:bCs/>
                <w:color w:val="auto"/>
                <w:szCs w:val="24"/>
                <w:highlight w:val="none"/>
                <w:lang w:val="en-US" w:eastAsia="zh-CN"/>
              </w:rPr>
              <w:t>废含油抹布及手套</w:t>
            </w:r>
          </w:p>
          <w:p w14:paraId="6BDD4697">
            <w:pPr>
              <w:keepNext/>
              <w:keepLines/>
              <w:widowControl w:val="0"/>
              <w:numPr>
                <w:ilvl w:val="5"/>
                <w:numId w:val="0"/>
              </w:numPr>
              <w:spacing w:line="360" w:lineRule="auto"/>
              <w:ind w:firstLine="480" w:firstLineChars="200"/>
              <w:jc w:val="both"/>
              <w:outlineLvl w:val="5"/>
              <w:rPr>
                <w:rFonts w:hint="default" w:ascii="Times New Roman" w:hAnsi="Times New Roman" w:eastAsia="宋体" w:cs="Times New Roman"/>
                <w:color w:val="auto"/>
                <w:kern w:val="0"/>
                <w:sz w:val="24"/>
                <w:szCs w:val="21"/>
                <w:highlight w:val="none"/>
                <w:lang w:val="en-US" w:eastAsia="zh-CN"/>
              </w:rPr>
            </w:pPr>
            <w:r>
              <w:rPr>
                <w:rFonts w:hint="default" w:ascii="Times New Roman" w:hAnsi="Times New Roman" w:eastAsia="宋体" w:cs="Times New Roman"/>
                <w:color w:val="auto"/>
                <w:kern w:val="0"/>
                <w:sz w:val="24"/>
                <w:szCs w:val="21"/>
                <w:highlight w:val="none"/>
                <w:lang w:val="en-US" w:eastAsia="zh-CN"/>
              </w:rPr>
              <w:t>设备维修和维护以及生产过程中会产生的沾染废</w:t>
            </w:r>
            <w:r>
              <w:rPr>
                <w:rFonts w:hint="eastAsia" w:cs="Times New Roman"/>
                <w:color w:val="auto"/>
                <w:kern w:val="0"/>
                <w:sz w:val="24"/>
                <w:szCs w:val="21"/>
                <w:highlight w:val="none"/>
                <w:lang w:val="en-US" w:eastAsia="zh-CN"/>
              </w:rPr>
              <w:t>矿物</w:t>
            </w:r>
            <w:r>
              <w:rPr>
                <w:rFonts w:hint="default" w:ascii="Times New Roman" w:hAnsi="Times New Roman" w:eastAsia="宋体" w:cs="Times New Roman"/>
                <w:color w:val="auto"/>
                <w:kern w:val="0"/>
                <w:sz w:val="24"/>
                <w:szCs w:val="21"/>
                <w:highlight w:val="none"/>
                <w:lang w:val="en-US" w:eastAsia="zh-CN"/>
              </w:rPr>
              <w:t>油的布料及手套，产生量约0.01t/a。</w:t>
            </w:r>
          </w:p>
          <w:p w14:paraId="1A640721">
            <w:pPr>
              <w:adjustRightInd w:val="0"/>
              <w:snapToGrid w:val="0"/>
              <w:spacing w:line="360" w:lineRule="auto"/>
              <w:ind w:firstLine="480" w:firstLineChars="200"/>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kern w:val="2"/>
                <w:sz w:val="24"/>
                <w:szCs w:val="21"/>
                <w:highlight w:val="none"/>
                <w:lang w:val="en-US" w:eastAsia="zh-CN" w:bidi="ar-SA"/>
              </w:rPr>
              <w:t>根据《国家危险废物名录》（202</w:t>
            </w:r>
            <w:r>
              <w:rPr>
                <w:rFonts w:hint="default" w:ascii="Times New Roman" w:hAnsi="Times New Roman" w:cs="Times New Roman"/>
                <w:color w:val="auto"/>
                <w:kern w:val="2"/>
                <w:sz w:val="24"/>
                <w:szCs w:val="21"/>
                <w:highlight w:val="none"/>
                <w:lang w:val="en-US" w:eastAsia="zh-CN" w:bidi="ar-SA"/>
              </w:rPr>
              <w:t>5</w:t>
            </w:r>
            <w:r>
              <w:rPr>
                <w:rFonts w:hint="default" w:ascii="Times New Roman" w:hAnsi="Times New Roman" w:eastAsia="宋体" w:cs="Times New Roman"/>
                <w:color w:val="auto"/>
                <w:kern w:val="2"/>
                <w:sz w:val="24"/>
                <w:szCs w:val="21"/>
                <w:highlight w:val="none"/>
                <w:lang w:val="en-US" w:eastAsia="zh-CN" w:bidi="ar-SA"/>
              </w:rPr>
              <w:t>年版），废含油抹布及手套按“HW49其他废物”分类，其代码为</w:t>
            </w:r>
            <w:r>
              <w:rPr>
                <w:rFonts w:hint="default" w:ascii="Times New Roman" w:hAnsi="Times New Roman" w:eastAsia="宋体" w:cs="Times New Roman"/>
                <w:color w:val="auto"/>
                <w:kern w:val="0"/>
                <w:sz w:val="24"/>
                <w:szCs w:val="21"/>
                <w:highlight w:val="none"/>
                <w:lang w:val="en-US" w:eastAsia="zh-CN"/>
              </w:rPr>
              <w:t>900-041-49</w:t>
            </w:r>
            <w:r>
              <w:rPr>
                <w:rFonts w:hint="default" w:ascii="Times New Roman" w:hAnsi="Times New Roman" w:eastAsia="宋体" w:cs="Times New Roman"/>
                <w:color w:val="auto"/>
                <w:kern w:val="2"/>
                <w:sz w:val="24"/>
                <w:szCs w:val="21"/>
                <w:highlight w:val="none"/>
                <w:lang w:val="en-US" w:eastAsia="zh-CN" w:bidi="ar-SA"/>
              </w:rPr>
              <w:t>，属于“其他生产、销售、使用过程中产生的废矿物油及沾染矿物油的废弃包装物”，经统一收集后交由有危险废物处理资质的单位处理。</w:t>
            </w:r>
          </w:p>
          <w:p w14:paraId="26C7E24F">
            <w:pPr>
              <w:widowControl w:val="0"/>
              <w:spacing w:line="360" w:lineRule="auto"/>
              <w:jc w:val="center"/>
              <w:rPr>
                <w:rFonts w:hint="default" w:ascii="Times New Roman" w:hAnsi="Times New Roman" w:eastAsia="宋体" w:cs="Times New Roman"/>
                <w:b/>
                <w:bCs/>
                <w:color w:val="auto"/>
                <w:kern w:val="2"/>
                <w:sz w:val="21"/>
                <w:szCs w:val="21"/>
                <w:highlight w:val="none"/>
                <w:lang w:val="en-US" w:eastAsia="zh-CN" w:bidi="ar-SA"/>
              </w:rPr>
            </w:pPr>
            <w:bookmarkStart w:id="112" w:name="_Ref10519"/>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bookmarkEnd w:id="112"/>
            <w:r>
              <w:rPr>
                <w:rFonts w:hint="eastAsia" w:cs="Times New Roman"/>
                <w:b/>
                <w:bCs/>
                <w:color w:val="auto"/>
                <w:kern w:val="2"/>
                <w:sz w:val="21"/>
                <w:szCs w:val="21"/>
                <w:highlight w:val="none"/>
                <w:lang w:val="en-US" w:eastAsia="zh-CN" w:bidi="ar-SA"/>
              </w:rPr>
              <w:t>10</w:t>
            </w:r>
            <w:r>
              <w:rPr>
                <w:rFonts w:hint="default" w:ascii="Times New Roman" w:hAnsi="Times New Roman" w:eastAsia="宋体" w:cs="Times New Roman"/>
                <w:b/>
                <w:bCs/>
                <w:color w:val="auto"/>
                <w:kern w:val="2"/>
                <w:sz w:val="21"/>
                <w:szCs w:val="21"/>
                <w:highlight w:val="none"/>
                <w:lang w:val="en-US" w:eastAsia="zh-CN" w:bidi="ar-SA"/>
              </w:rPr>
              <w:t>固体废物污染源源强核算结果及相关参数一览表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7"/>
              <w:gridCol w:w="1050"/>
              <w:gridCol w:w="1343"/>
              <w:gridCol w:w="1050"/>
              <w:gridCol w:w="1052"/>
              <w:gridCol w:w="1050"/>
              <w:gridCol w:w="1055"/>
              <w:gridCol w:w="1058"/>
            </w:tblGrid>
            <w:tr w14:paraId="59AE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Merge w:val="restart"/>
                  <w:vAlign w:val="center"/>
                </w:tcPr>
                <w:p w14:paraId="157437FC">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固体废物名称</w:t>
                  </w:r>
                </w:p>
              </w:tc>
              <w:tc>
                <w:tcPr>
                  <w:tcW w:w="603" w:type="pct"/>
                  <w:vMerge w:val="restart"/>
                  <w:vAlign w:val="center"/>
                </w:tcPr>
                <w:p w14:paraId="780E74C9">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固废属性</w:t>
                  </w:r>
                </w:p>
              </w:tc>
              <w:tc>
                <w:tcPr>
                  <w:tcW w:w="771" w:type="pct"/>
                  <w:vMerge w:val="restart"/>
                  <w:vAlign w:val="center"/>
                </w:tcPr>
                <w:p w14:paraId="29F7E7E3">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代码</w:t>
                  </w:r>
                </w:p>
              </w:tc>
              <w:tc>
                <w:tcPr>
                  <w:tcW w:w="1207" w:type="pct"/>
                  <w:gridSpan w:val="2"/>
                  <w:vAlign w:val="center"/>
                </w:tcPr>
                <w:p w14:paraId="33FB9811">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产生情况</w:t>
                  </w:r>
                </w:p>
              </w:tc>
              <w:tc>
                <w:tcPr>
                  <w:tcW w:w="1209" w:type="pct"/>
                  <w:gridSpan w:val="2"/>
                  <w:vAlign w:val="center"/>
                </w:tcPr>
                <w:p w14:paraId="14EC465F">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处理措施</w:t>
                  </w:r>
                </w:p>
              </w:tc>
              <w:tc>
                <w:tcPr>
                  <w:tcW w:w="607" w:type="pct"/>
                  <w:vMerge w:val="restart"/>
                  <w:vAlign w:val="center"/>
                </w:tcPr>
                <w:p w14:paraId="662A2274">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最终去向</w:t>
                  </w:r>
                </w:p>
              </w:tc>
            </w:tr>
            <w:tr w14:paraId="616D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Merge w:val="continue"/>
                  <w:vAlign w:val="center"/>
                </w:tcPr>
                <w:p w14:paraId="73D1E88C">
                  <w:pPr>
                    <w:pStyle w:val="2"/>
                    <w:spacing w:line="240" w:lineRule="auto"/>
                    <w:jc w:val="center"/>
                    <w:rPr>
                      <w:rFonts w:hint="default" w:ascii="Times New Roman" w:hAnsi="Times New Roman" w:cs="Times New Roman"/>
                      <w:color w:val="auto"/>
                      <w:sz w:val="21"/>
                      <w:szCs w:val="21"/>
                      <w:highlight w:val="none"/>
                    </w:rPr>
                  </w:pPr>
                </w:p>
              </w:tc>
              <w:tc>
                <w:tcPr>
                  <w:tcW w:w="603" w:type="pct"/>
                  <w:vMerge w:val="continue"/>
                  <w:vAlign w:val="center"/>
                </w:tcPr>
                <w:p w14:paraId="66690A08">
                  <w:pPr>
                    <w:pStyle w:val="2"/>
                    <w:spacing w:line="240" w:lineRule="auto"/>
                    <w:jc w:val="center"/>
                    <w:rPr>
                      <w:rFonts w:hint="default" w:ascii="Times New Roman" w:hAnsi="Times New Roman" w:cs="Times New Roman"/>
                      <w:color w:val="auto"/>
                      <w:sz w:val="21"/>
                      <w:szCs w:val="21"/>
                      <w:highlight w:val="none"/>
                    </w:rPr>
                  </w:pPr>
                </w:p>
              </w:tc>
              <w:tc>
                <w:tcPr>
                  <w:tcW w:w="771" w:type="pct"/>
                  <w:vMerge w:val="continue"/>
                  <w:vAlign w:val="center"/>
                </w:tcPr>
                <w:p w14:paraId="06630EC1">
                  <w:pPr>
                    <w:pStyle w:val="2"/>
                    <w:spacing w:line="240" w:lineRule="auto"/>
                    <w:jc w:val="center"/>
                    <w:rPr>
                      <w:rFonts w:hint="default" w:ascii="Times New Roman" w:hAnsi="Times New Roman" w:cs="Times New Roman"/>
                      <w:b/>
                      <w:bCs/>
                      <w:color w:val="auto"/>
                      <w:sz w:val="21"/>
                      <w:szCs w:val="21"/>
                      <w:highlight w:val="none"/>
                    </w:rPr>
                  </w:pPr>
                </w:p>
              </w:tc>
              <w:tc>
                <w:tcPr>
                  <w:tcW w:w="603" w:type="pct"/>
                  <w:vAlign w:val="center"/>
                </w:tcPr>
                <w:p w14:paraId="780D2EB0">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核算方法</w:t>
                  </w:r>
                </w:p>
              </w:tc>
              <w:tc>
                <w:tcPr>
                  <w:tcW w:w="604" w:type="pct"/>
                  <w:vAlign w:val="center"/>
                </w:tcPr>
                <w:p w14:paraId="47EA66C5">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产生量t/a</w:t>
                  </w:r>
                </w:p>
              </w:tc>
              <w:tc>
                <w:tcPr>
                  <w:tcW w:w="603" w:type="pct"/>
                  <w:vAlign w:val="center"/>
                </w:tcPr>
                <w:p w14:paraId="2F86F4DF">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工艺</w:t>
                  </w:r>
                </w:p>
              </w:tc>
              <w:tc>
                <w:tcPr>
                  <w:tcW w:w="605" w:type="pct"/>
                  <w:vAlign w:val="center"/>
                </w:tcPr>
                <w:p w14:paraId="0A80007B">
                  <w:pPr>
                    <w:pStyle w:val="2"/>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处置量t/a</w:t>
                  </w:r>
                </w:p>
              </w:tc>
              <w:tc>
                <w:tcPr>
                  <w:tcW w:w="607" w:type="pct"/>
                  <w:vMerge w:val="continue"/>
                  <w:vAlign w:val="center"/>
                </w:tcPr>
                <w:p w14:paraId="24EC53AC">
                  <w:pPr>
                    <w:pStyle w:val="2"/>
                    <w:spacing w:line="240" w:lineRule="auto"/>
                    <w:jc w:val="center"/>
                    <w:rPr>
                      <w:rFonts w:hint="default" w:ascii="Times New Roman" w:hAnsi="Times New Roman" w:cs="Times New Roman"/>
                      <w:color w:val="auto"/>
                      <w:sz w:val="21"/>
                      <w:szCs w:val="21"/>
                      <w:highlight w:val="none"/>
                    </w:rPr>
                  </w:pPr>
                </w:p>
              </w:tc>
            </w:tr>
            <w:tr w14:paraId="6E50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51B8CF4F">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2"/>
                      <w:sz w:val="21"/>
                      <w:szCs w:val="21"/>
                      <w:highlight w:val="none"/>
                    </w:rPr>
                    <w:t>生活垃圾</w:t>
                  </w:r>
                </w:p>
              </w:tc>
              <w:tc>
                <w:tcPr>
                  <w:tcW w:w="603" w:type="pct"/>
                  <w:vAlign w:val="center"/>
                </w:tcPr>
                <w:p w14:paraId="73BC26BD">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生活垃圾</w:t>
                  </w:r>
                </w:p>
              </w:tc>
              <w:tc>
                <w:tcPr>
                  <w:tcW w:w="771" w:type="pct"/>
                  <w:vAlign w:val="center"/>
                </w:tcPr>
                <w:p w14:paraId="5313FEBE">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900-0</w:t>
                  </w:r>
                  <w:r>
                    <w:rPr>
                      <w:rFonts w:hint="eastAsia" w:ascii="Times New Roman" w:cs="Times New Roman"/>
                      <w:color w:val="auto"/>
                      <w:sz w:val="21"/>
                      <w:szCs w:val="21"/>
                      <w:highlight w:val="none"/>
                      <w:lang w:val="en-US" w:eastAsia="zh-CN"/>
                    </w:rPr>
                    <w:t>02</w:t>
                  </w:r>
                  <w:r>
                    <w:rPr>
                      <w:rFonts w:hint="default" w:ascii="Times New Roman" w:hAnsi="Times New Roman" w:cs="Times New Roman"/>
                      <w:color w:val="auto"/>
                      <w:sz w:val="21"/>
                      <w:szCs w:val="21"/>
                      <w:highlight w:val="none"/>
                      <w:lang w:val="en-US" w:eastAsia="zh-CN"/>
                    </w:rPr>
                    <w:t>-S64</w:t>
                  </w:r>
                </w:p>
              </w:tc>
              <w:tc>
                <w:tcPr>
                  <w:tcW w:w="603" w:type="pct"/>
                  <w:vAlign w:val="center"/>
                </w:tcPr>
                <w:p w14:paraId="71E8C9CD">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产污系数法</w:t>
                  </w:r>
                </w:p>
              </w:tc>
              <w:tc>
                <w:tcPr>
                  <w:tcW w:w="604" w:type="pct"/>
                  <w:vAlign w:val="center"/>
                </w:tcPr>
                <w:p w14:paraId="4C49C44C">
                  <w:pPr>
                    <w:pStyle w:val="2"/>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0.26</w:t>
                  </w:r>
                </w:p>
              </w:tc>
              <w:tc>
                <w:tcPr>
                  <w:tcW w:w="603" w:type="pct"/>
                  <w:vAlign w:val="center"/>
                </w:tcPr>
                <w:p w14:paraId="7BC25279">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交由环卫部门处理</w:t>
                  </w:r>
                </w:p>
              </w:tc>
              <w:tc>
                <w:tcPr>
                  <w:tcW w:w="605" w:type="pct"/>
                  <w:vAlign w:val="center"/>
                </w:tcPr>
                <w:p w14:paraId="50DD8C15">
                  <w:pPr>
                    <w:pStyle w:val="2"/>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0.26</w:t>
                  </w:r>
                </w:p>
              </w:tc>
              <w:tc>
                <w:tcPr>
                  <w:tcW w:w="607" w:type="pct"/>
                  <w:vAlign w:val="center"/>
                </w:tcPr>
                <w:p w14:paraId="11A43956">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交由环卫部门处理</w:t>
                  </w:r>
                </w:p>
              </w:tc>
            </w:tr>
            <w:tr w14:paraId="6757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203E30B5">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不可再生利用类固废</w:t>
                  </w:r>
                </w:p>
              </w:tc>
              <w:tc>
                <w:tcPr>
                  <w:tcW w:w="603" w:type="pct"/>
                  <w:vMerge w:val="restart"/>
                  <w:vAlign w:val="center"/>
                </w:tcPr>
                <w:p w14:paraId="392694D5">
                  <w:pPr>
                    <w:pStyle w:val="2"/>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一般固废</w:t>
                  </w:r>
                </w:p>
              </w:tc>
              <w:tc>
                <w:tcPr>
                  <w:tcW w:w="771" w:type="pct"/>
                  <w:shd w:val="clear" w:color="auto" w:fill="auto"/>
                  <w:vAlign w:val="center"/>
                </w:tcPr>
                <w:p w14:paraId="71568CEC">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default" w:ascii="Times New Roman" w:hAnsi="Times New Roman" w:eastAsia="宋体" w:cs="Times New Roman"/>
                      <w:color w:val="auto"/>
                      <w:kern w:val="0"/>
                      <w:position w:val="-10"/>
                      <w:sz w:val="21"/>
                      <w:szCs w:val="21"/>
                      <w:highlight w:val="none"/>
                      <w:lang w:val="en-US" w:eastAsia="zh-CN"/>
                    </w:rPr>
                    <w:t>900-0</w:t>
                  </w:r>
                  <w:r>
                    <w:rPr>
                      <w:rFonts w:hint="eastAsia" w:cs="Times New Roman"/>
                      <w:color w:val="auto"/>
                      <w:kern w:val="0"/>
                      <w:position w:val="-10"/>
                      <w:sz w:val="21"/>
                      <w:szCs w:val="21"/>
                      <w:highlight w:val="none"/>
                      <w:lang w:val="en-US" w:eastAsia="zh-CN"/>
                    </w:rPr>
                    <w:t>99-</w:t>
                  </w:r>
                  <w:r>
                    <w:rPr>
                      <w:rFonts w:hint="default" w:ascii="Times New Roman" w:hAnsi="Times New Roman" w:eastAsia="宋体" w:cs="Times New Roman"/>
                      <w:color w:val="auto"/>
                      <w:kern w:val="0"/>
                      <w:position w:val="-10"/>
                      <w:sz w:val="21"/>
                      <w:szCs w:val="21"/>
                      <w:highlight w:val="none"/>
                      <w:lang w:val="en-US" w:eastAsia="zh-CN"/>
                    </w:rPr>
                    <w:t>S</w:t>
                  </w:r>
                  <w:r>
                    <w:rPr>
                      <w:rFonts w:hint="eastAsia" w:cs="Times New Roman"/>
                      <w:color w:val="auto"/>
                      <w:kern w:val="0"/>
                      <w:position w:val="-10"/>
                      <w:sz w:val="21"/>
                      <w:szCs w:val="21"/>
                      <w:highlight w:val="none"/>
                      <w:lang w:val="en-US" w:eastAsia="zh-CN"/>
                    </w:rPr>
                    <w:t>59</w:t>
                  </w:r>
                </w:p>
              </w:tc>
              <w:tc>
                <w:tcPr>
                  <w:tcW w:w="603" w:type="pct"/>
                  <w:shd w:val="clear" w:color="auto" w:fill="auto"/>
                  <w:vAlign w:val="center"/>
                </w:tcPr>
                <w:p w14:paraId="11FBC1F5">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default" w:ascii="Times New Roman" w:hAnsi="Times New Roman" w:eastAsia="宋体" w:cs="Times New Roman"/>
                      <w:color w:val="auto"/>
                      <w:kern w:val="0"/>
                      <w:position w:val="-10"/>
                      <w:sz w:val="21"/>
                      <w:szCs w:val="21"/>
                      <w:highlight w:val="none"/>
                    </w:rPr>
                    <w:t>类比法</w:t>
                  </w:r>
                </w:p>
              </w:tc>
              <w:tc>
                <w:tcPr>
                  <w:tcW w:w="604" w:type="pct"/>
                  <w:shd w:val="clear" w:color="auto" w:fill="auto"/>
                  <w:vAlign w:val="center"/>
                </w:tcPr>
                <w:p w14:paraId="23C9336F">
                  <w:pPr>
                    <w:spacing w:line="240" w:lineRule="auto"/>
                    <w:jc w:val="center"/>
                    <w:rPr>
                      <w:rFonts w:hint="default" w:ascii="Times New Roman" w:hAnsi="Times New Roman" w:eastAsia="宋体" w:cs="Times New Roman"/>
                      <w:color w:val="auto"/>
                      <w:kern w:val="0"/>
                      <w:position w:val="-10"/>
                      <w:sz w:val="21"/>
                      <w:szCs w:val="21"/>
                      <w:highlight w:val="none"/>
                      <w:lang w:val="en-US" w:eastAsia="zh-CN" w:bidi="ar-SA"/>
                    </w:rPr>
                  </w:pPr>
                  <w:r>
                    <w:rPr>
                      <w:rFonts w:hint="eastAsia" w:cs="Times New Roman"/>
                      <w:color w:val="auto"/>
                      <w:kern w:val="0"/>
                      <w:position w:val="-10"/>
                      <w:sz w:val="21"/>
                      <w:szCs w:val="21"/>
                      <w:highlight w:val="none"/>
                      <w:lang w:val="en-US" w:eastAsia="zh-CN"/>
                    </w:rPr>
                    <w:t>3285</w:t>
                  </w:r>
                </w:p>
              </w:tc>
              <w:tc>
                <w:tcPr>
                  <w:tcW w:w="603" w:type="pct"/>
                  <w:shd w:val="clear" w:color="auto" w:fill="auto"/>
                  <w:vAlign w:val="center"/>
                </w:tcPr>
                <w:p w14:paraId="5E4C7718">
                  <w:pPr>
                    <w:pStyle w:val="2"/>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cs="Times New Roman"/>
                      <w:color w:val="auto"/>
                      <w:sz w:val="21"/>
                      <w:szCs w:val="21"/>
                      <w:highlight w:val="none"/>
                      <w:lang w:val="en-US" w:eastAsia="zh-CN"/>
                    </w:rPr>
                    <w:t>定期交由</w:t>
                  </w:r>
                  <w:r>
                    <w:rPr>
                      <w:rFonts w:hint="default" w:ascii="Times New Roman" w:hAnsi="Times New Roman" w:cs="Times New Roman"/>
                      <w:color w:val="auto"/>
                      <w:sz w:val="21"/>
                      <w:szCs w:val="21"/>
                      <w:highlight w:val="none"/>
                    </w:rPr>
                    <w:t>相关回收单位处理</w:t>
                  </w:r>
                </w:p>
              </w:tc>
              <w:tc>
                <w:tcPr>
                  <w:tcW w:w="605" w:type="pct"/>
                  <w:shd w:val="clear" w:color="auto" w:fill="auto"/>
                  <w:vAlign w:val="center"/>
                </w:tcPr>
                <w:p w14:paraId="4896C622">
                  <w:pPr>
                    <w:pStyle w:val="2"/>
                    <w:spacing w:line="240" w:lineRule="auto"/>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ascii="Times New Roman" w:cs="Times New Roman"/>
                      <w:color w:val="auto"/>
                      <w:spacing w:val="-2"/>
                      <w:sz w:val="21"/>
                      <w:szCs w:val="21"/>
                      <w:highlight w:val="none"/>
                      <w:lang w:val="en-US" w:eastAsia="zh-CN"/>
                    </w:rPr>
                    <w:t>3310</w:t>
                  </w:r>
                </w:p>
              </w:tc>
              <w:tc>
                <w:tcPr>
                  <w:tcW w:w="607" w:type="pct"/>
                  <w:shd w:val="clear" w:color="auto" w:fill="auto"/>
                  <w:vAlign w:val="center"/>
                </w:tcPr>
                <w:p w14:paraId="7DC3C538">
                  <w:pPr>
                    <w:pStyle w:val="2"/>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外售相关回收单位处理</w:t>
                  </w:r>
                </w:p>
              </w:tc>
            </w:tr>
            <w:tr w14:paraId="6D1E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236766FE">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废矿物油及油桶</w:t>
                  </w:r>
                </w:p>
              </w:tc>
              <w:tc>
                <w:tcPr>
                  <w:tcW w:w="603" w:type="pct"/>
                  <w:vMerge w:val="restart"/>
                  <w:vAlign w:val="center"/>
                </w:tcPr>
                <w:p w14:paraId="2A445EA6">
                  <w:pPr>
                    <w:pStyle w:val="2"/>
                    <w:spacing w:line="240" w:lineRule="auto"/>
                    <w:jc w:val="center"/>
                    <w:rPr>
                      <w:rFonts w:hint="eastAsia"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危险废物</w:t>
                  </w:r>
                </w:p>
              </w:tc>
              <w:tc>
                <w:tcPr>
                  <w:tcW w:w="771" w:type="pct"/>
                  <w:vAlign w:val="center"/>
                </w:tcPr>
                <w:p w14:paraId="2AC29A25">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900-249-08</w:t>
                  </w:r>
                </w:p>
              </w:tc>
              <w:tc>
                <w:tcPr>
                  <w:tcW w:w="603" w:type="pct"/>
                  <w:vAlign w:val="center"/>
                </w:tcPr>
                <w:p w14:paraId="43122D6B">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产污系数法</w:t>
                  </w:r>
                </w:p>
              </w:tc>
              <w:tc>
                <w:tcPr>
                  <w:tcW w:w="604" w:type="pct"/>
                  <w:vAlign w:val="center"/>
                </w:tcPr>
                <w:p w14:paraId="4CCC65DE">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0.157</w:t>
                  </w:r>
                </w:p>
              </w:tc>
              <w:tc>
                <w:tcPr>
                  <w:tcW w:w="603" w:type="pct"/>
                  <w:vMerge w:val="restart"/>
                  <w:vAlign w:val="center"/>
                </w:tcPr>
                <w:p w14:paraId="0362800E">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定期交由有资质的单位回收处理</w:t>
                  </w:r>
                </w:p>
              </w:tc>
              <w:tc>
                <w:tcPr>
                  <w:tcW w:w="605" w:type="pct"/>
                  <w:vAlign w:val="center"/>
                </w:tcPr>
                <w:p w14:paraId="5CE0945B">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0.157</w:t>
                  </w:r>
                </w:p>
              </w:tc>
              <w:tc>
                <w:tcPr>
                  <w:tcW w:w="607" w:type="pct"/>
                  <w:vMerge w:val="restart"/>
                  <w:vAlign w:val="center"/>
                </w:tcPr>
                <w:p w14:paraId="0336823F">
                  <w:pPr>
                    <w:pStyle w:val="2"/>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定期交由有资质的单位回收处理</w:t>
                  </w:r>
                </w:p>
              </w:tc>
            </w:tr>
            <w:tr w14:paraId="16DA6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01" w:type="pct"/>
                  <w:vAlign w:val="center"/>
                </w:tcPr>
                <w:p w14:paraId="5D5B5E56">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lang w:val="en-US" w:eastAsia="zh-CN"/>
                    </w:rPr>
                    <w:t>废含油抹布及手套</w:t>
                  </w:r>
                </w:p>
              </w:tc>
              <w:tc>
                <w:tcPr>
                  <w:tcW w:w="603" w:type="pct"/>
                  <w:vMerge w:val="continue"/>
                  <w:vAlign w:val="center"/>
                </w:tcPr>
                <w:p w14:paraId="2508526C">
                  <w:pPr>
                    <w:pStyle w:val="2"/>
                    <w:spacing w:line="240" w:lineRule="auto"/>
                    <w:jc w:val="center"/>
                    <w:rPr>
                      <w:rFonts w:hint="default" w:ascii="Times New Roman" w:hAnsi="Times New Roman" w:eastAsia="宋体" w:cs="Times New Roman"/>
                      <w:color w:val="auto"/>
                      <w:spacing w:val="-2"/>
                      <w:sz w:val="21"/>
                      <w:szCs w:val="21"/>
                      <w:highlight w:val="none"/>
                    </w:rPr>
                  </w:pPr>
                </w:p>
              </w:tc>
              <w:tc>
                <w:tcPr>
                  <w:tcW w:w="771" w:type="pct"/>
                  <w:vAlign w:val="center"/>
                </w:tcPr>
                <w:p w14:paraId="3DA92DCD">
                  <w:pPr>
                    <w:pStyle w:val="2"/>
                    <w:spacing w:line="240" w:lineRule="auto"/>
                    <w:jc w:val="center"/>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900-0</w:t>
                  </w:r>
                  <w:r>
                    <w:rPr>
                      <w:rFonts w:hint="default" w:ascii="Times New Roman" w:hAnsi="Times New Roman" w:eastAsia="宋体" w:cs="Times New Roman"/>
                      <w:color w:val="auto"/>
                      <w:spacing w:val="-2"/>
                      <w:sz w:val="21"/>
                      <w:szCs w:val="21"/>
                      <w:highlight w:val="none"/>
                      <w:lang w:val="en-US" w:eastAsia="zh-CN"/>
                    </w:rPr>
                    <w:t>41</w:t>
                  </w:r>
                  <w:r>
                    <w:rPr>
                      <w:rFonts w:hint="default" w:ascii="Times New Roman" w:hAnsi="Times New Roman" w:eastAsia="宋体" w:cs="Times New Roman"/>
                      <w:color w:val="auto"/>
                      <w:spacing w:val="-2"/>
                      <w:sz w:val="21"/>
                      <w:szCs w:val="21"/>
                      <w:highlight w:val="none"/>
                    </w:rPr>
                    <w:t>-49</w:t>
                  </w:r>
                </w:p>
              </w:tc>
              <w:tc>
                <w:tcPr>
                  <w:tcW w:w="603" w:type="pct"/>
                  <w:vAlign w:val="center"/>
                </w:tcPr>
                <w:p w14:paraId="194EAF25">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类比法</w:t>
                  </w:r>
                </w:p>
              </w:tc>
              <w:tc>
                <w:tcPr>
                  <w:tcW w:w="604" w:type="pct"/>
                  <w:vAlign w:val="center"/>
                </w:tcPr>
                <w:p w14:paraId="7606B1D6">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0.01</w:t>
                  </w:r>
                </w:p>
              </w:tc>
              <w:tc>
                <w:tcPr>
                  <w:tcW w:w="603" w:type="pct"/>
                  <w:vMerge w:val="continue"/>
                  <w:vAlign w:val="center"/>
                </w:tcPr>
                <w:p w14:paraId="7700AA55">
                  <w:pPr>
                    <w:pStyle w:val="2"/>
                    <w:spacing w:line="240" w:lineRule="auto"/>
                    <w:jc w:val="center"/>
                    <w:rPr>
                      <w:rFonts w:hint="default" w:ascii="Times New Roman" w:hAnsi="Times New Roman" w:eastAsia="宋体" w:cs="Times New Roman"/>
                      <w:color w:val="auto"/>
                      <w:spacing w:val="-2"/>
                      <w:sz w:val="21"/>
                      <w:szCs w:val="21"/>
                      <w:highlight w:val="none"/>
                    </w:rPr>
                  </w:pPr>
                </w:p>
              </w:tc>
              <w:tc>
                <w:tcPr>
                  <w:tcW w:w="605" w:type="pct"/>
                  <w:vAlign w:val="center"/>
                </w:tcPr>
                <w:p w14:paraId="6D3B92C8">
                  <w:pPr>
                    <w:pStyle w:val="2"/>
                    <w:spacing w:line="240" w:lineRule="auto"/>
                    <w:jc w:val="center"/>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0.01</w:t>
                  </w:r>
                </w:p>
              </w:tc>
              <w:tc>
                <w:tcPr>
                  <w:tcW w:w="607" w:type="pct"/>
                  <w:vMerge w:val="continue"/>
                  <w:vAlign w:val="center"/>
                </w:tcPr>
                <w:p w14:paraId="55E23045">
                  <w:pPr>
                    <w:pStyle w:val="2"/>
                    <w:spacing w:line="240" w:lineRule="auto"/>
                    <w:jc w:val="center"/>
                    <w:rPr>
                      <w:rFonts w:hint="default" w:ascii="Times New Roman" w:hAnsi="Times New Roman" w:cs="Times New Roman"/>
                      <w:color w:val="auto"/>
                      <w:sz w:val="21"/>
                      <w:szCs w:val="21"/>
                      <w:highlight w:val="none"/>
                    </w:rPr>
                  </w:pPr>
                </w:p>
              </w:tc>
            </w:tr>
          </w:tbl>
          <w:p w14:paraId="12DD77EB">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2、固体废物贮存和处置情况</w:t>
            </w:r>
          </w:p>
          <w:p w14:paraId="01282BF3">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bookmarkStart w:id="113" w:name="_Ref10526"/>
            <w:r>
              <w:rPr>
                <w:rFonts w:hint="default" w:ascii="Times New Roman" w:hAnsi="Times New Roman" w:eastAsia="宋体" w:cs="Times New Roman"/>
                <w:color w:val="auto"/>
                <w:kern w:val="2"/>
                <w:sz w:val="24"/>
                <w:szCs w:val="24"/>
                <w:highlight w:val="none"/>
                <w:lang w:val="en-US" w:eastAsia="zh-CN" w:bidi="ar-SA"/>
              </w:rPr>
              <w:t>根据《国家危险废物名录》（202</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年版），危险废物从产生、收集、贮运、转运、处置等各个环节都可能因管理不善而进入环境，因此在各个环节中，抛落、渗漏、丢弃等问题都可能存在，为了使各种危险废物能合法合理处置，本次评价拟按照《危险废物贮存污染控制标准》（GB18597-2023）等国家相关法律，提出相应的治理措施，进一步规范收集、贮运、处置等操作过程。</w:t>
            </w:r>
          </w:p>
          <w:p w14:paraId="1C4D8FA1">
            <w:pPr>
              <w:widowControl w:val="0"/>
              <w:spacing w:line="36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11</w:t>
            </w:r>
            <w:r>
              <w:rPr>
                <w:rFonts w:hint="default" w:ascii="Times New Roman" w:hAnsi="Times New Roman" w:eastAsia="宋体" w:cs="Times New Roman"/>
                <w:b/>
                <w:bCs/>
                <w:color w:val="auto"/>
                <w:kern w:val="2"/>
                <w:sz w:val="21"/>
                <w:szCs w:val="21"/>
                <w:highlight w:val="none"/>
                <w:lang w:val="en-US" w:eastAsia="zh-CN" w:bidi="ar-SA"/>
              </w:rPr>
              <w:t>危险废物汇总表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783"/>
              <w:gridCol w:w="787"/>
              <w:gridCol w:w="787"/>
              <w:gridCol w:w="787"/>
              <w:gridCol w:w="787"/>
              <w:gridCol w:w="787"/>
              <w:gridCol w:w="789"/>
              <w:gridCol w:w="789"/>
              <w:gridCol w:w="789"/>
              <w:gridCol w:w="837"/>
            </w:tblGrid>
            <w:tr w14:paraId="6214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3B3E25C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危险废物名称</w:t>
                  </w:r>
                </w:p>
              </w:tc>
              <w:tc>
                <w:tcPr>
                  <w:tcW w:w="450" w:type="pct"/>
                  <w:vAlign w:val="center"/>
                </w:tcPr>
                <w:p w14:paraId="162931C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危险废物类别</w:t>
                  </w:r>
                </w:p>
              </w:tc>
              <w:tc>
                <w:tcPr>
                  <w:tcW w:w="452" w:type="pct"/>
                  <w:vAlign w:val="center"/>
                </w:tcPr>
                <w:p w14:paraId="4021255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危险废物代码</w:t>
                  </w:r>
                </w:p>
              </w:tc>
              <w:tc>
                <w:tcPr>
                  <w:tcW w:w="452" w:type="pct"/>
                  <w:vAlign w:val="center"/>
                </w:tcPr>
                <w:p w14:paraId="65A0308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产生量</w:t>
                  </w:r>
                </w:p>
                <w:p w14:paraId="71DBAC0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t/a</w:t>
                  </w:r>
                </w:p>
              </w:tc>
              <w:tc>
                <w:tcPr>
                  <w:tcW w:w="452" w:type="pct"/>
                  <w:vAlign w:val="center"/>
                </w:tcPr>
                <w:p w14:paraId="0C48ABE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产生工序及装置</w:t>
                  </w:r>
                </w:p>
              </w:tc>
              <w:tc>
                <w:tcPr>
                  <w:tcW w:w="452" w:type="pct"/>
                  <w:vAlign w:val="center"/>
                </w:tcPr>
                <w:p w14:paraId="76F1F0E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形态</w:t>
                  </w:r>
                </w:p>
              </w:tc>
              <w:tc>
                <w:tcPr>
                  <w:tcW w:w="452" w:type="pct"/>
                  <w:vAlign w:val="center"/>
                </w:tcPr>
                <w:p w14:paraId="562588D3">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主要成分</w:t>
                  </w:r>
                </w:p>
              </w:tc>
              <w:tc>
                <w:tcPr>
                  <w:tcW w:w="453" w:type="pct"/>
                  <w:vAlign w:val="center"/>
                </w:tcPr>
                <w:p w14:paraId="3DD3F6B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有害成分</w:t>
                  </w:r>
                </w:p>
              </w:tc>
              <w:tc>
                <w:tcPr>
                  <w:tcW w:w="453" w:type="pct"/>
                  <w:vAlign w:val="center"/>
                </w:tcPr>
                <w:p w14:paraId="6799960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产废周期</w:t>
                  </w:r>
                </w:p>
              </w:tc>
              <w:tc>
                <w:tcPr>
                  <w:tcW w:w="453" w:type="pct"/>
                  <w:vAlign w:val="center"/>
                </w:tcPr>
                <w:p w14:paraId="781CA455">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危险特性</w:t>
                  </w:r>
                </w:p>
              </w:tc>
              <w:tc>
                <w:tcPr>
                  <w:tcW w:w="479" w:type="pct"/>
                  <w:vAlign w:val="center"/>
                </w:tcPr>
                <w:p w14:paraId="239C695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污染防治措施</w:t>
                  </w:r>
                </w:p>
              </w:tc>
            </w:tr>
            <w:tr w14:paraId="2E69A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6F879B48">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eastAsia="宋体" w:cs="Times New Roman"/>
                      <w:b w:val="0"/>
                      <w:bCs w:val="0"/>
                      <w:color w:val="auto"/>
                      <w:szCs w:val="24"/>
                      <w:highlight w:val="none"/>
                      <w:lang w:val="en-US" w:eastAsia="zh-CN"/>
                    </w:rPr>
                    <w:t>废含油抹布及手套</w:t>
                  </w:r>
                </w:p>
              </w:tc>
              <w:tc>
                <w:tcPr>
                  <w:tcW w:w="450" w:type="pct"/>
                  <w:vAlign w:val="center"/>
                </w:tcPr>
                <w:p w14:paraId="559794E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HW49</w:t>
                  </w:r>
                </w:p>
              </w:tc>
              <w:tc>
                <w:tcPr>
                  <w:tcW w:w="452" w:type="pct"/>
                  <w:vAlign w:val="center"/>
                </w:tcPr>
                <w:p w14:paraId="6B009D12">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900-0</w:t>
                  </w:r>
                  <w:r>
                    <w:rPr>
                      <w:rFonts w:hint="default" w:ascii="Times New Roman" w:hAnsi="Times New Roman" w:cs="Times New Roman"/>
                      <w:color w:val="auto"/>
                      <w:highlight w:val="none"/>
                      <w:lang w:val="en-US" w:eastAsia="zh-CN"/>
                    </w:rPr>
                    <w:t>41</w:t>
                  </w:r>
                  <w:r>
                    <w:rPr>
                      <w:rFonts w:hint="default" w:ascii="Times New Roman" w:hAnsi="Times New Roman" w:cs="Times New Roman"/>
                      <w:color w:val="auto"/>
                      <w:highlight w:val="none"/>
                    </w:rPr>
                    <w:t>-49</w:t>
                  </w:r>
                </w:p>
              </w:tc>
              <w:tc>
                <w:tcPr>
                  <w:tcW w:w="452" w:type="pct"/>
                  <w:vAlign w:val="center"/>
                </w:tcPr>
                <w:p w14:paraId="0B7679B9">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0.01</w:t>
                  </w:r>
                </w:p>
              </w:tc>
              <w:tc>
                <w:tcPr>
                  <w:tcW w:w="452" w:type="pct"/>
                  <w:vAlign w:val="center"/>
                </w:tcPr>
                <w:p w14:paraId="45FF37DC">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设备维保</w:t>
                  </w:r>
                </w:p>
              </w:tc>
              <w:tc>
                <w:tcPr>
                  <w:tcW w:w="452" w:type="pct"/>
                  <w:vAlign w:val="center"/>
                </w:tcPr>
                <w:p w14:paraId="1914C31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固体、液体</w:t>
                  </w:r>
                </w:p>
              </w:tc>
              <w:tc>
                <w:tcPr>
                  <w:tcW w:w="452" w:type="pct"/>
                  <w:vAlign w:val="center"/>
                </w:tcPr>
                <w:p w14:paraId="37A5C2B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6B87A8C9">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3DB328A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每天</w:t>
                  </w:r>
                </w:p>
              </w:tc>
              <w:tc>
                <w:tcPr>
                  <w:tcW w:w="453" w:type="pct"/>
                  <w:vAlign w:val="center"/>
                </w:tcPr>
                <w:p w14:paraId="401375B7">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T</w:t>
                  </w:r>
                </w:p>
              </w:tc>
              <w:tc>
                <w:tcPr>
                  <w:tcW w:w="479" w:type="pct"/>
                  <w:vMerge w:val="restart"/>
                  <w:vAlign w:val="center"/>
                </w:tcPr>
                <w:p w14:paraId="2A3AF66A">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定期交由危险废物资质单位处理</w:t>
                  </w:r>
                </w:p>
              </w:tc>
            </w:tr>
            <w:tr w14:paraId="33E1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50" w:type="pct"/>
                  <w:vAlign w:val="center"/>
                </w:tcPr>
                <w:p w14:paraId="07F5963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废矿物油及油桶</w:t>
                  </w:r>
                </w:p>
              </w:tc>
              <w:tc>
                <w:tcPr>
                  <w:tcW w:w="450" w:type="pct"/>
                  <w:vAlign w:val="center"/>
                </w:tcPr>
                <w:p w14:paraId="6302D2A5">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HW08</w:t>
                  </w:r>
                </w:p>
              </w:tc>
              <w:tc>
                <w:tcPr>
                  <w:tcW w:w="452" w:type="pct"/>
                  <w:vAlign w:val="center"/>
                </w:tcPr>
                <w:p w14:paraId="5F3E5D52">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900-249-08</w:t>
                  </w:r>
                </w:p>
              </w:tc>
              <w:tc>
                <w:tcPr>
                  <w:tcW w:w="452" w:type="pct"/>
                  <w:vAlign w:val="center"/>
                </w:tcPr>
                <w:p w14:paraId="08BA5B6B">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w:t>
                  </w:r>
                  <w:r>
                    <w:rPr>
                      <w:rFonts w:hint="eastAsia" w:cs="Times New Roman"/>
                      <w:color w:val="auto"/>
                      <w:highlight w:val="none"/>
                      <w:lang w:val="en-US" w:eastAsia="zh-CN"/>
                    </w:rPr>
                    <w:t>157</w:t>
                  </w:r>
                </w:p>
              </w:tc>
              <w:tc>
                <w:tcPr>
                  <w:tcW w:w="452" w:type="pct"/>
                  <w:vAlign w:val="center"/>
                </w:tcPr>
                <w:p w14:paraId="3598834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设备维保</w:t>
                  </w:r>
                </w:p>
              </w:tc>
              <w:tc>
                <w:tcPr>
                  <w:tcW w:w="452" w:type="pct"/>
                  <w:vAlign w:val="center"/>
                </w:tcPr>
                <w:p w14:paraId="64FDC681">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固体、液体</w:t>
                  </w:r>
                </w:p>
              </w:tc>
              <w:tc>
                <w:tcPr>
                  <w:tcW w:w="452" w:type="pct"/>
                  <w:vAlign w:val="center"/>
                </w:tcPr>
                <w:p w14:paraId="5A91831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7595210E">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矿物油</w:t>
                  </w:r>
                </w:p>
              </w:tc>
              <w:tc>
                <w:tcPr>
                  <w:tcW w:w="453" w:type="pct"/>
                  <w:vAlign w:val="center"/>
                </w:tcPr>
                <w:p w14:paraId="20104644">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3个月</w:t>
                  </w:r>
                </w:p>
              </w:tc>
              <w:tc>
                <w:tcPr>
                  <w:tcW w:w="453" w:type="pct"/>
                  <w:vAlign w:val="center"/>
                </w:tcPr>
                <w:p w14:paraId="2F5D3396">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T</w:t>
                  </w:r>
                </w:p>
              </w:tc>
              <w:tc>
                <w:tcPr>
                  <w:tcW w:w="479" w:type="pct"/>
                  <w:vMerge w:val="continue"/>
                  <w:vAlign w:val="center"/>
                </w:tcPr>
                <w:p w14:paraId="49787DFD">
                  <w:pPr>
                    <w:pStyle w:val="61"/>
                    <w:keepNext w:val="0"/>
                    <w:keepLines w:val="0"/>
                    <w:pageBreakBefore w:val="0"/>
                    <w:widowControl w:val="0"/>
                    <w:kinsoku/>
                    <w:wordWrap w:val="0"/>
                    <w:overflowPunct/>
                    <w:topLinePunct w:val="0"/>
                    <w:autoSpaceDE w:val="0"/>
                    <w:autoSpaceDN w:val="0"/>
                    <w:bidi w:val="0"/>
                    <w:adjustRightInd/>
                    <w:snapToGrid/>
                    <w:spacing w:line="240" w:lineRule="auto"/>
                    <w:jc w:val="center"/>
                    <w:textAlignment w:val="center"/>
                    <w:rPr>
                      <w:rFonts w:hint="default" w:ascii="Times New Roman" w:hAnsi="Times New Roman" w:cs="Times New Roman"/>
                      <w:color w:val="auto"/>
                      <w:highlight w:val="none"/>
                    </w:rPr>
                  </w:pPr>
                </w:p>
              </w:tc>
            </w:tr>
            <w:tr w14:paraId="3C94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000" w:type="pct"/>
                  <w:gridSpan w:val="11"/>
                  <w:vAlign w:val="center"/>
                </w:tcPr>
                <w:p w14:paraId="1E1A4D95">
                  <w:pPr>
                    <w:pStyle w:val="61"/>
                    <w:keepNext w:val="0"/>
                    <w:keepLines w:val="0"/>
                    <w:pageBreakBefore w:val="0"/>
                    <w:widowControl w:val="0"/>
                    <w:kinsoku/>
                    <w:wordWrap w:val="0"/>
                    <w:overflowPunct/>
                    <w:topLinePunct w:val="0"/>
                    <w:autoSpaceDE w:val="0"/>
                    <w:autoSpaceDN w:val="0"/>
                    <w:bidi w:val="0"/>
                    <w:adjustRightInd/>
                    <w:snapToGrid/>
                    <w:spacing w:line="240" w:lineRule="auto"/>
                    <w:jc w:val="left"/>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注：T表示毒性</w:t>
                  </w:r>
                </w:p>
              </w:tc>
            </w:tr>
          </w:tbl>
          <w:p w14:paraId="6E166AAF">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（1）产生和收集</w:t>
            </w:r>
          </w:p>
          <w:p w14:paraId="3AC58EE7">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本项目危险废物单次产生量很少，部分危险废物有</w:t>
            </w:r>
            <w:r>
              <w:rPr>
                <w:rFonts w:hint="default" w:ascii="Times New Roman" w:hAnsi="Times New Roman" w:cs="Times New Roman"/>
                <w:color w:val="auto"/>
                <w:kern w:val="2"/>
                <w:sz w:val="24"/>
                <w:szCs w:val="24"/>
                <w:highlight w:val="none"/>
                <w:lang w:val="en-US" w:eastAsia="zh-CN" w:bidi="ar-SA"/>
              </w:rPr>
              <w:t>易燃</w:t>
            </w:r>
            <w:r>
              <w:rPr>
                <w:rFonts w:hint="default" w:ascii="Times New Roman" w:hAnsi="Times New Roman" w:eastAsia="宋体" w:cs="Times New Roman"/>
                <w:color w:val="auto"/>
                <w:kern w:val="2"/>
                <w:sz w:val="24"/>
                <w:szCs w:val="24"/>
                <w:highlight w:val="none"/>
                <w:lang w:val="en-US" w:eastAsia="zh-CN" w:bidi="ar-SA"/>
              </w:rPr>
              <w:t>性和毒性，其性质相对比较稳定，如果露天堆放，沾染、吸附的有机废气可能会因为日晒雨淋而逐步释放出来，进入大气、地表水体、土壤等环境要素，造成污染影响。</w:t>
            </w:r>
          </w:p>
          <w:p w14:paraId="06C0265F">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这些危险废物如果收集不当，随意丢弃，其中的有害成分容易因为跑冒滴漏或者混入其他生活垃圾而进入外部环境，造成污染影响。对此，各类危险废物在产生源头需要立即采用密闭性好、耐腐蚀、相容的塑料容器分类封装，避免遗漏和撒漏；然后移入厂区内部独立专用的贮存设施存放。本项目从产生源头到贮存设施的收集过程基本上都在本项目内部进行，不涉及外部运输和厂区外部环境，因此产生和收集阶段不会对外部环境造成影响。</w:t>
            </w:r>
          </w:p>
          <w:p w14:paraId="155D35B8">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（2）</w:t>
            </w:r>
            <w:r>
              <w:rPr>
                <w:rFonts w:hint="eastAsia" w:cs="Times New Roman"/>
                <w:b/>
                <w:bCs/>
                <w:color w:val="auto"/>
                <w:sz w:val="24"/>
                <w:szCs w:val="24"/>
                <w:highlight w:val="none"/>
                <w:lang w:val="en-US" w:eastAsia="zh-CN" w:bidi="ar-SA"/>
              </w:rPr>
              <w:t>危废暂存间</w:t>
            </w:r>
          </w:p>
          <w:p w14:paraId="278B0737">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项目设置一个固定的</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，危险废物贮存过程满足《危险废物贮存污染控制标准》（GB18597-2023）的要求，建设单位应根据废物特性设置符合《危险废物贮存污染控制标准》</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GB18597-2023</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要求的危险废物暂存场所，且在暂存场所上空设有防雨淋设施，地面采取防渗措施，危险废物收集后分别临时贮存于</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根据生产需要合理设置贮存量，尽量减少厂内的物料贮存量：严禁将危险废物混入生活垃圾；堆放危险废物的地方要有明显的标志。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危险废物贮存过程产生的液态废物和固态废物应分类收集，按其环境管理要求妥善处理。贮存库内不同贮存分区之间应采取隔离措施。隔离措施可根据危险废物特性采用过道、隔板或隔墙等方式。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color w:val="auto"/>
                <w:kern w:val="2"/>
                <w:sz w:val="24"/>
                <w:szCs w:val="24"/>
                <w:highlight w:val="none"/>
                <w:vertAlign w:val="superscript"/>
                <w:lang w:val="en-US" w:eastAsia="zh-CN" w:bidi="ar-SA"/>
              </w:rPr>
              <w:t>-7</w:t>
            </w:r>
            <w:r>
              <w:rPr>
                <w:rFonts w:hint="default" w:ascii="Times New Roman" w:hAnsi="Times New Roman" w:eastAsia="宋体" w:cs="Times New Roman"/>
                <w:color w:val="auto"/>
                <w:kern w:val="2"/>
                <w:sz w:val="24"/>
                <w:szCs w:val="24"/>
                <w:highlight w:val="none"/>
                <w:lang w:val="en-US" w:eastAsia="zh-CN" w:bidi="ar-SA"/>
              </w:rPr>
              <w:t>cm/s），或至少2mm厚高密度聚乙烯膜等人工防渗材料（渗透系数不大于10</w:t>
            </w:r>
            <w:r>
              <w:rPr>
                <w:rFonts w:hint="default" w:ascii="Times New Roman" w:hAnsi="Times New Roman" w:eastAsia="宋体" w:cs="Times New Roman"/>
                <w:color w:val="auto"/>
                <w:kern w:val="2"/>
                <w:sz w:val="24"/>
                <w:szCs w:val="24"/>
                <w:highlight w:val="none"/>
                <w:vertAlign w:val="superscript"/>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cm/s），或其他防渗性能等效的材料。</w:t>
            </w:r>
          </w:p>
          <w:p w14:paraId="7F3D5803">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w:t>
            </w: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r>
              <w:rPr>
                <w:rFonts w:hint="default" w:ascii="Times New Roman" w:hAnsi="Times New Roman" w:eastAsia="宋体" w:cs="Times New Roman"/>
                <w:color w:val="auto"/>
                <w:kern w:val="2"/>
                <w:sz w:val="24"/>
                <w:szCs w:val="24"/>
                <w:highlight w:val="none"/>
                <w:lang w:val="en-US" w:eastAsia="zh-CN" w:bidi="ar-SA"/>
              </w:rPr>
              <w:t>基本情况见下表。</w:t>
            </w:r>
          </w:p>
          <w:p w14:paraId="276820C4">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12</w:t>
            </w:r>
            <w:r>
              <w:rPr>
                <w:rFonts w:hint="default" w:ascii="Times New Roman" w:hAnsi="Times New Roman" w:eastAsia="宋体" w:cs="Times New Roman"/>
                <w:b/>
                <w:bCs/>
                <w:color w:val="auto"/>
                <w:kern w:val="2"/>
                <w:sz w:val="21"/>
                <w:szCs w:val="21"/>
                <w:highlight w:val="none"/>
                <w:lang w:val="en-US" w:eastAsia="zh-CN" w:bidi="ar-SA"/>
              </w:rPr>
              <w:t>危废</w:t>
            </w:r>
            <w:r>
              <w:rPr>
                <w:rFonts w:hint="eastAsia" w:ascii="Times New Roman" w:hAnsi="Times New Roman" w:eastAsia="宋体" w:cs="Times New Roman"/>
                <w:b/>
                <w:bCs/>
                <w:color w:val="auto"/>
                <w:kern w:val="2"/>
                <w:sz w:val="21"/>
                <w:szCs w:val="21"/>
                <w:highlight w:val="none"/>
                <w:lang w:val="en-US" w:eastAsia="zh-CN" w:bidi="ar-SA"/>
              </w:rPr>
              <w:t>暂存</w:t>
            </w:r>
            <w:r>
              <w:rPr>
                <w:rFonts w:hint="default" w:ascii="Times New Roman" w:hAnsi="Times New Roman" w:eastAsia="宋体" w:cs="Times New Roman"/>
                <w:b/>
                <w:bCs/>
                <w:color w:val="auto"/>
                <w:kern w:val="2"/>
                <w:sz w:val="21"/>
                <w:szCs w:val="21"/>
                <w:highlight w:val="none"/>
                <w:lang w:val="en-US" w:eastAsia="zh-CN" w:bidi="ar-SA"/>
              </w:rPr>
              <w:t>间基本情况表</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1369"/>
              <w:gridCol w:w="826"/>
              <w:gridCol w:w="1267"/>
              <w:gridCol w:w="739"/>
              <w:gridCol w:w="671"/>
              <w:gridCol w:w="1096"/>
              <w:gridCol w:w="697"/>
              <w:gridCol w:w="807"/>
            </w:tblGrid>
            <w:tr w14:paraId="2769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pct"/>
                  <w:vMerge w:val="restart"/>
                  <w:vAlign w:val="center"/>
                </w:tcPr>
                <w:p w14:paraId="021E4CF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贮存场所（设施）名称</w:t>
                  </w:r>
                </w:p>
              </w:tc>
              <w:tc>
                <w:tcPr>
                  <w:tcW w:w="1987" w:type="pct"/>
                  <w:gridSpan w:val="3"/>
                  <w:vAlign w:val="center"/>
                </w:tcPr>
                <w:p w14:paraId="09BACB1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危险废物</w:t>
                  </w:r>
                </w:p>
              </w:tc>
              <w:tc>
                <w:tcPr>
                  <w:tcW w:w="424" w:type="pct"/>
                  <w:vMerge w:val="restart"/>
                  <w:vAlign w:val="center"/>
                </w:tcPr>
                <w:p w14:paraId="1B4D038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位置</w:t>
                  </w:r>
                </w:p>
              </w:tc>
              <w:tc>
                <w:tcPr>
                  <w:tcW w:w="385" w:type="pct"/>
                  <w:vMerge w:val="restart"/>
                  <w:vAlign w:val="center"/>
                </w:tcPr>
                <w:p w14:paraId="597427A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占地面积</w:t>
                  </w:r>
                </w:p>
              </w:tc>
              <w:tc>
                <w:tcPr>
                  <w:tcW w:w="629" w:type="pct"/>
                  <w:vMerge w:val="restart"/>
                  <w:vAlign w:val="center"/>
                </w:tcPr>
                <w:p w14:paraId="29F93D31">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贮存方式</w:t>
                  </w:r>
                </w:p>
              </w:tc>
              <w:tc>
                <w:tcPr>
                  <w:tcW w:w="400" w:type="pct"/>
                  <w:vMerge w:val="restart"/>
                  <w:vAlign w:val="center"/>
                </w:tcPr>
                <w:p w14:paraId="47D3510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贮存能力</w:t>
                  </w:r>
                </w:p>
              </w:tc>
              <w:tc>
                <w:tcPr>
                  <w:tcW w:w="463" w:type="pct"/>
                  <w:vMerge w:val="restart"/>
                  <w:vAlign w:val="center"/>
                </w:tcPr>
                <w:p w14:paraId="173E30F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贮存周期</w:t>
                  </w:r>
                </w:p>
              </w:tc>
            </w:tr>
            <w:tr w14:paraId="2B0D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8" w:type="pct"/>
                  <w:vMerge w:val="continue"/>
                  <w:vAlign w:val="center"/>
                </w:tcPr>
                <w:p w14:paraId="594B2B3B">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786" w:type="pct"/>
                  <w:vAlign w:val="center"/>
                </w:tcPr>
                <w:p w14:paraId="6A2619D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名称</w:t>
                  </w:r>
                </w:p>
              </w:tc>
              <w:tc>
                <w:tcPr>
                  <w:tcW w:w="474" w:type="pct"/>
                  <w:vAlign w:val="center"/>
                </w:tcPr>
                <w:p w14:paraId="599DD62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类别</w:t>
                  </w:r>
                </w:p>
              </w:tc>
              <w:tc>
                <w:tcPr>
                  <w:tcW w:w="726" w:type="pct"/>
                  <w:vAlign w:val="center"/>
                </w:tcPr>
                <w:p w14:paraId="50B4A2B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b/>
                      <w:bCs/>
                      <w:color w:val="auto"/>
                      <w:position w:val="-10"/>
                      <w:sz w:val="21"/>
                      <w:szCs w:val="21"/>
                      <w:highlight w:val="none"/>
                      <w:lang w:val="en-US" w:eastAsia="zh-CN" w:bidi="ar-SA"/>
                    </w:rPr>
                  </w:pPr>
                  <w:r>
                    <w:rPr>
                      <w:rFonts w:hint="default" w:ascii="Times New Roman" w:hAnsi="Times New Roman" w:eastAsia="宋体" w:cs="Times New Roman"/>
                      <w:b/>
                      <w:bCs/>
                      <w:color w:val="auto"/>
                      <w:position w:val="-10"/>
                      <w:sz w:val="21"/>
                      <w:szCs w:val="21"/>
                      <w:highlight w:val="none"/>
                      <w:lang w:val="en-US" w:eastAsia="zh-CN" w:bidi="ar-SA"/>
                    </w:rPr>
                    <w:t>代码</w:t>
                  </w:r>
                </w:p>
              </w:tc>
              <w:tc>
                <w:tcPr>
                  <w:tcW w:w="424" w:type="pct"/>
                  <w:vMerge w:val="continue"/>
                  <w:vAlign w:val="center"/>
                </w:tcPr>
                <w:p w14:paraId="75A7B236">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85" w:type="pct"/>
                  <w:vMerge w:val="continue"/>
                  <w:vAlign w:val="center"/>
                </w:tcPr>
                <w:p w14:paraId="3227D7A4">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629" w:type="pct"/>
                  <w:vMerge w:val="continue"/>
                  <w:vAlign w:val="center"/>
                </w:tcPr>
                <w:p w14:paraId="346C251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00" w:type="pct"/>
                  <w:vMerge w:val="continue"/>
                  <w:vAlign w:val="center"/>
                </w:tcPr>
                <w:p w14:paraId="63563E6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63" w:type="pct"/>
                  <w:vMerge w:val="continue"/>
                  <w:vAlign w:val="center"/>
                </w:tcPr>
                <w:p w14:paraId="0D3D6EAA">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r>
            <w:tr w14:paraId="13D6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08" w:type="pct"/>
                  <w:vMerge w:val="restart"/>
                  <w:vAlign w:val="center"/>
                </w:tcPr>
                <w:p w14:paraId="280F5927">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w:t>
                  </w:r>
                </w:p>
              </w:tc>
              <w:tc>
                <w:tcPr>
                  <w:tcW w:w="786" w:type="pct"/>
                  <w:vAlign w:val="center"/>
                </w:tcPr>
                <w:p w14:paraId="387A6EC1">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474" w:type="pct"/>
                  <w:vAlign w:val="center"/>
                </w:tcPr>
                <w:p w14:paraId="36C301AB">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HW</w:t>
                  </w:r>
                  <w:r>
                    <w:rPr>
                      <w:rFonts w:hint="default" w:ascii="Times New Roman" w:hAnsi="Times New Roman" w:cs="Times New Roman"/>
                      <w:color w:val="auto"/>
                      <w:position w:val="-10"/>
                      <w:sz w:val="21"/>
                      <w:szCs w:val="21"/>
                      <w:highlight w:val="none"/>
                      <w:lang w:val="en-US" w:eastAsia="zh-CN" w:bidi="ar-SA"/>
                    </w:rPr>
                    <w:t>08</w:t>
                  </w:r>
                </w:p>
              </w:tc>
              <w:tc>
                <w:tcPr>
                  <w:tcW w:w="726" w:type="pct"/>
                  <w:vAlign w:val="center"/>
                </w:tcPr>
                <w:p w14:paraId="1E54EC2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900-249-08</w:t>
                  </w:r>
                </w:p>
              </w:tc>
              <w:tc>
                <w:tcPr>
                  <w:tcW w:w="424" w:type="pct"/>
                  <w:vMerge w:val="restart"/>
                  <w:vAlign w:val="center"/>
                </w:tcPr>
                <w:p w14:paraId="25EB662C">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厂房</w:t>
                  </w:r>
                  <w:r>
                    <w:rPr>
                      <w:rFonts w:hint="eastAsia" w:cs="Times New Roman"/>
                      <w:color w:val="auto"/>
                      <w:position w:val="-10"/>
                      <w:sz w:val="21"/>
                      <w:szCs w:val="21"/>
                      <w:highlight w:val="none"/>
                      <w:lang w:val="en-US" w:eastAsia="zh-CN" w:bidi="ar-SA"/>
                    </w:rPr>
                    <w:t>东</w:t>
                  </w:r>
                  <w:r>
                    <w:rPr>
                      <w:rFonts w:hint="default" w:ascii="Times New Roman" w:hAnsi="Times New Roman" w:cs="Times New Roman"/>
                      <w:color w:val="auto"/>
                      <w:position w:val="-10"/>
                      <w:sz w:val="21"/>
                      <w:szCs w:val="21"/>
                      <w:highlight w:val="none"/>
                      <w:lang w:val="en-US" w:eastAsia="zh-CN" w:bidi="ar-SA"/>
                    </w:rPr>
                    <w:t>侧</w:t>
                  </w:r>
                </w:p>
              </w:tc>
              <w:tc>
                <w:tcPr>
                  <w:tcW w:w="385" w:type="pct"/>
                  <w:vMerge w:val="restart"/>
                  <w:vAlign w:val="center"/>
                </w:tcPr>
                <w:p w14:paraId="0C53C7D4">
                  <w:pPr>
                    <w:keepNext w:val="0"/>
                    <w:keepLines w:val="0"/>
                    <w:pageBreakBefore w:val="0"/>
                    <w:widowControl w:val="0"/>
                    <w:kinsoku/>
                    <w:wordWrap w:val="0"/>
                    <w:overflowPunct/>
                    <w:topLinePunct w:val="0"/>
                    <w:autoSpaceDE w:val="0"/>
                    <w:autoSpaceDN w:val="0"/>
                    <w:bidi w:val="0"/>
                    <w:adjustRightInd/>
                    <w:spacing w:line="240" w:lineRule="auto"/>
                    <w:jc w:val="both"/>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5m</w:t>
                  </w:r>
                  <w:r>
                    <w:rPr>
                      <w:rFonts w:hint="default" w:ascii="Times New Roman" w:hAnsi="Times New Roman" w:cs="Times New Roman"/>
                      <w:color w:val="auto"/>
                      <w:position w:val="-10"/>
                      <w:sz w:val="21"/>
                      <w:szCs w:val="21"/>
                      <w:highlight w:val="none"/>
                      <w:vertAlign w:val="superscript"/>
                      <w:lang w:val="en-US" w:eastAsia="zh-CN" w:bidi="ar-SA"/>
                    </w:rPr>
                    <w:t>2</w:t>
                  </w:r>
                </w:p>
              </w:tc>
              <w:tc>
                <w:tcPr>
                  <w:tcW w:w="629" w:type="pct"/>
                  <w:vMerge w:val="restart"/>
                  <w:vAlign w:val="center"/>
                </w:tcPr>
                <w:p w14:paraId="4EF60363">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采用密闭性好、耐腐蚀的塑料容器封存</w:t>
                  </w:r>
                </w:p>
              </w:tc>
              <w:tc>
                <w:tcPr>
                  <w:tcW w:w="400" w:type="pct"/>
                  <w:vMerge w:val="restart"/>
                  <w:vAlign w:val="center"/>
                </w:tcPr>
                <w:p w14:paraId="34E8DC63">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position w:val="-10"/>
                      <w:sz w:val="21"/>
                      <w:szCs w:val="21"/>
                      <w:highlight w:val="none"/>
                      <w:lang w:val="en-US" w:eastAsia="zh-CN" w:bidi="ar-SA"/>
                    </w:rPr>
                    <w:t>4t</w:t>
                  </w:r>
                </w:p>
              </w:tc>
              <w:tc>
                <w:tcPr>
                  <w:tcW w:w="463" w:type="pct"/>
                  <w:vAlign w:val="center"/>
                </w:tcPr>
                <w:p w14:paraId="633355B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3个月</w:t>
                  </w:r>
                </w:p>
              </w:tc>
            </w:tr>
            <w:tr w14:paraId="1974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8" w:type="pct"/>
                  <w:vMerge w:val="continue"/>
                  <w:vAlign w:val="center"/>
                </w:tcPr>
                <w:p w14:paraId="2EC40210">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786" w:type="pct"/>
                  <w:vAlign w:val="center"/>
                </w:tcPr>
                <w:p w14:paraId="2D618EB9">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废含油抹布及手套</w:t>
                  </w:r>
                </w:p>
              </w:tc>
              <w:tc>
                <w:tcPr>
                  <w:tcW w:w="474" w:type="pct"/>
                  <w:vAlign w:val="center"/>
                </w:tcPr>
                <w:p w14:paraId="7D3D81F2">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HW</w:t>
                  </w:r>
                  <w:r>
                    <w:rPr>
                      <w:rFonts w:hint="eastAsia" w:cs="Times New Roman"/>
                      <w:color w:val="auto"/>
                      <w:position w:val="-10"/>
                      <w:sz w:val="21"/>
                      <w:szCs w:val="21"/>
                      <w:highlight w:val="none"/>
                      <w:lang w:val="en-US" w:eastAsia="zh-CN" w:bidi="ar-SA"/>
                    </w:rPr>
                    <w:t>49</w:t>
                  </w:r>
                </w:p>
              </w:tc>
              <w:tc>
                <w:tcPr>
                  <w:tcW w:w="726" w:type="pct"/>
                  <w:vAlign w:val="center"/>
                </w:tcPr>
                <w:p w14:paraId="251023BA">
                  <w:pPr>
                    <w:keepNext w:val="0"/>
                    <w:keepLines w:val="0"/>
                    <w:pageBreakBefore w:val="0"/>
                    <w:widowControl w:val="0"/>
                    <w:kinsoku/>
                    <w:wordWrap w:val="0"/>
                    <w:overflowPunct/>
                    <w:topLinePunct w:val="0"/>
                    <w:autoSpaceDE w:val="0"/>
                    <w:autoSpaceDN w:val="0"/>
                    <w:bidi w:val="0"/>
                    <w:snapToGrid w:val="0"/>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900-</w:t>
                  </w:r>
                  <w:r>
                    <w:rPr>
                      <w:rFonts w:hint="eastAsia" w:cs="Times New Roman"/>
                      <w:color w:val="auto"/>
                      <w:position w:val="-10"/>
                      <w:sz w:val="21"/>
                      <w:szCs w:val="21"/>
                      <w:highlight w:val="none"/>
                      <w:lang w:val="en-US" w:eastAsia="zh-CN" w:bidi="ar-SA"/>
                    </w:rPr>
                    <w:t>041</w:t>
                  </w:r>
                  <w:r>
                    <w:rPr>
                      <w:rFonts w:hint="default" w:ascii="Times New Roman" w:hAnsi="Times New Roman" w:eastAsia="宋体" w:cs="Times New Roman"/>
                      <w:color w:val="auto"/>
                      <w:position w:val="-10"/>
                      <w:sz w:val="21"/>
                      <w:szCs w:val="21"/>
                      <w:highlight w:val="none"/>
                      <w:lang w:val="en-US" w:eastAsia="zh-CN" w:bidi="ar-SA"/>
                    </w:rPr>
                    <w:t>-</w:t>
                  </w:r>
                  <w:r>
                    <w:rPr>
                      <w:rFonts w:hint="eastAsia" w:cs="Times New Roman"/>
                      <w:color w:val="auto"/>
                      <w:position w:val="-10"/>
                      <w:sz w:val="21"/>
                      <w:szCs w:val="21"/>
                      <w:highlight w:val="none"/>
                      <w:lang w:val="en-US" w:eastAsia="zh-CN" w:bidi="ar-SA"/>
                    </w:rPr>
                    <w:t>49</w:t>
                  </w:r>
                </w:p>
              </w:tc>
              <w:tc>
                <w:tcPr>
                  <w:tcW w:w="424" w:type="pct"/>
                  <w:vMerge w:val="continue"/>
                  <w:vAlign w:val="center"/>
                </w:tcPr>
                <w:p w14:paraId="437A28DE">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385" w:type="pct"/>
                  <w:vMerge w:val="continue"/>
                  <w:vAlign w:val="center"/>
                </w:tcPr>
                <w:p w14:paraId="12289FAD">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629" w:type="pct"/>
                  <w:vMerge w:val="continue"/>
                  <w:vAlign w:val="center"/>
                </w:tcPr>
                <w:p w14:paraId="6D5A2585">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00" w:type="pct"/>
                  <w:vMerge w:val="continue"/>
                  <w:vAlign w:val="center"/>
                </w:tcPr>
                <w:p w14:paraId="691545BF">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p>
              </w:tc>
              <w:tc>
                <w:tcPr>
                  <w:tcW w:w="463" w:type="pct"/>
                  <w:vAlign w:val="center"/>
                </w:tcPr>
                <w:p w14:paraId="5D50F8D9">
                  <w:pPr>
                    <w:keepNext w:val="0"/>
                    <w:keepLines w:val="0"/>
                    <w:pageBreakBefore w:val="0"/>
                    <w:widowControl w:val="0"/>
                    <w:kinsoku/>
                    <w:wordWrap w:val="0"/>
                    <w:overflowPunct/>
                    <w:topLinePunct w:val="0"/>
                    <w:autoSpaceDE w:val="0"/>
                    <w:autoSpaceDN w:val="0"/>
                    <w:bidi w:val="0"/>
                    <w:adjustRightInd/>
                    <w:spacing w:line="240" w:lineRule="auto"/>
                    <w:jc w:val="center"/>
                    <w:textAlignment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3个月</w:t>
                  </w:r>
                </w:p>
              </w:tc>
            </w:tr>
          </w:tbl>
          <w:p w14:paraId="231C727B">
            <w:pPr>
              <w:keepNext/>
              <w:keepLines/>
              <w:tabs>
                <w:tab w:val="left" w:pos="0"/>
              </w:tabs>
              <w:ind w:left="480"/>
              <w:outlineLvl w:val="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（3）转运、处置</w:t>
            </w:r>
          </w:p>
          <w:bookmarkEnd w:id="113"/>
          <w:p w14:paraId="0DF8660B">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项目内部无利用或处置危险废物的能力和设施，需要委托具有危险废物处理资质的单位处置。根据广东省生态环境厅危险废物经营许可证颁发情况，广东省有可以处置本项目危险废物的企业，处理能力充足。建设单位可直接委托其转移处理。</w:t>
            </w:r>
          </w:p>
          <w:p w14:paraId="6C47BE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kern w:val="2"/>
                <w:sz w:val="21"/>
                <w:szCs w:val="21"/>
                <w:highlight w:val="none"/>
                <w:lang w:val="en-US" w:eastAsia="zh-CN" w:bidi="ar-SA"/>
              </w:rPr>
              <w:fldChar w:fldCharType="begin"/>
            </w:r>
            <w:r>
              <w:rPr>
                <w:rFonts w:hint="default" w:ascii="Times New Roman" w:hAnsi="Times New Roman" w:eastAsia="宋体" w:cs="Times New Roman"/>
                <w:b/>
                <w:bCs/>
                <w:color w:val="auto"/>
                <w:kern w:val="2"/>
                <w:sz w:val="21"/>
                <w:szCs w:val="21"/>
                <w:highlight w:val="none"/>
                <w:lang w:val="en-US" w:eastAsia="zh-CN" w:bidi="ar-SA"/>
              </w:rPr>
              <w:instrText xml:space="preserve"> STYLEREF 1 \s </w:instrText>
            </w:r>
            <w:r>
              <w:rPr>
                <w:rFonts w:hint="default" w:ascii="Times New Roman" w:hAnsi="Times New Roman" w:eastAsia="宋体" w:cs="Times New Roman"/>
                <w:b/>
                <w:bCs/>
                <w:color w:val="auto"/>
                <w:kern w:val="2"/>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fldChar w:fldCharType="end"/>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13</w:t>
            </w:r>
            <w:r>
              <w:rPr>
                <w:rFonts w:hint="default" w:ascii="Times New Roman" w:hAnsi="Times New Roman" w:eastAsia="宋体" w:cs="Times New Roman"/>
                <w:b/>
                <w:bCs/>
                <w:color w:val="auto"/>
                <w:kern w:val="2"/>
                <w:sz w:val="21"/>
                <w:szCs w:val="21"/>
                <w:highlight w:val="none"/>
                <w:lang w:val="en-US" w:eastAsia="zh-CN" w:bidi="ar-SA"/>
              </w:rPr>
              <w:t>广东省内可接收本项目危险废物的处理单位一览表（摘录）</w:t>
            </w:r>
          </w:p>
          <w:tbl>
            <w:tblPr>
              <w:tblStyle w:val="44"/>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38"/>
              <w:gridCol w:w="1093"/>
              <w:gridCol w:w="976"/>
              <w:gridCol w:w="706"/>
              <w:gridCol w:w="967"/>
              <w:gridCol w:w="4630"/>
            </w:tblGrid>
            <w:tr w14:paraId="3E79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1783378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627" w:type="pct"/>
                  <w:vAlign w:val="center"/>
                </w:tcPr>
                <w:p w14:paraId="184B76A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企业名称</w:t>
                  </w:r>
                </w:p>
              </w:tc>
              <w:tc>
                <w:tcPr>
                  <w:tcW w:w="560" w:type="pct"/>
                  <w:vAlign w:val="center"/>
                </w:tcPr>
                <w:p w14:paraId="2A540618">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设施地址</w:t>
                  </w:r>
                </w:p>
              </w:tc>
              <w:tc>
                <w:tcPr>
                  <w:tcW w:w="405" w:type="pct"/>
                  <w:vAlign w:val="center"/>
                </w:tcPr>
                <w:p w14:paraId="27CD690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许可证编号</w:t>
                  </w:r>
                </w:p>
              </w:tc>
              <w:tc>
                <w:tcPr>
                  <w:tcW w:w="555" w:type="pct"/>
                  <w:vAlign w:val="center"/>
                </w:tcPr>
                <w:p w14:paraId="099EBECD">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经营时间有效期</w:t>
                  </w:r>
                </w:p>
              </w:tc>
              <w:tc>
                <w:tcPr>
                  <w:tcW w:w="2656" w:type="pct"/>
                  <w:vAlign w:val="center"/>
                </w:tcPr>
                <w:p w14:paraId="27579EA5">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核准经营范围、类别</w:t>
                  </w:r>
                </w:p>
              </w:tc>
            </w:tr>
            <w:tr w14:paraId="653F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118AFDF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627" w:type="pct"/>
                  <w:vAlign w:val="center"/>
                </w:tcPr>
                <w:p w14:paraId="0D9A643F">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韶关鹏瑞环保科技有限公司</w:t>
                  </w:r>
                </w:p>
              </w:tc>
              <w:tc>
                <w:tcPr>
                  <w:tcW w:w="560" w:type="pct"/>
                  <w:vAlign w:val="center"/>
                </w:tcPr>
                <w:p w14:paraId="2B60EF4C">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韶关市翁源县官渡镇官渡经济开发区</w:t>
                  </w:r>
                </w:p>
              </w:tc>
              <w:tc>
                <w:tcPr>
                  <w:tcW w:w="405" w:type="pct"/>
                  <w:vAlign w:val="center"/>
                </w:tcPr>
                <w:p w14:paraId="6E2C13E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440229190731</w:t>
                  </w:r>
                </w:p>
              </w:tc>
              <w:tc>
                <w:tcPr>
                  <w:tcW w:w="555" w:type="pct"/>
                  <w:vAlign w:val="center"/>
                </w:tcPr>
                <w:p w14:paraId="7AB6FE9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至2025年7月30日</w:t>
                  </w:r>
                </w:p>
              </w:tc>
              <w:tc>
                <w:tcPr>
                  <w:tcW w:w="2656" w:type="pct"/>
                  <w:vAlign w:val="center"/>
                </w:tcPr>
                <w:p w14:paraId="0EA09EA3">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利用】感光材料废物（HW16类中266-009~010-16、231-001~002-16、398-001-16、873-001-16、806-001-16、900-019-16，限感光废菲林2000吨/年、废定影液和显影液1000吨/年）3000吨/年，表面处理废物（HW17类中336-050-17、336-052-17、336-054~059-17、336-062~064-17、336-066-17，仅限污泥）50000吨/年，含铜废物（HW22类中304-001-22、398-004-22、398-005-22、398-051-22，仅限污泥）、有色金属采选和冶炼废物（HW48类中321-002-48，仅限污泥）50000吨/年，无机氰化物废物（HW33类中336-104-33、900-027~029-33）1000吨/年；</w:t>
                  </w:r>
                </w:p>
                <w:p w14:paraId="7F9B030E">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【收集、贮存、处置】废酸（HW34类中398-005~007-34、900-300~308-34、900-349-34）10000吨/年，废碱（HW35类中900-350~356-35、900-399-35）10000吨/年；共计124000吨/年。</w:t>
                  </w:r>
                </w:p>
              </w:tc>
            </w:tr>
            <w:tr w14:paraId="2D95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2841715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627" w:type="pct"/>
                  <w:vAlign w:val="center"/>
                </w:tcPr>
                <w:p w14:paraId="0AFEA2A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韶关东江环保再生资源发展有限公司</w:t>
                  </w:r>
                </w:p>
              </w:tc>
              <w:tc>
                <w:tcPr>
                  <w:tcW w:w="560" w:type="pct"/>
                  <w:vAlign w:val="center"/>
                </w:tcPr>
                <w:p w14:paraId="59A86B5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韶关市翁源县铁龙林场将军屯</w:t>
                  </w:r>
                </w:p>
              </w:tc>
              <w:tc>
                <w:tcPr>
                  <w:tcW w:w="405" w:type="pct"/>
                  <w:vAlign w:val="center"/>
                </w:tcPr>
                <w:p w14:paraId="5F4DBE76">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440229210121</w:t>
                  </w:r>
                </w:p>
              </w:tc>
              <w:tc>
                <w:tcPr>
                  <w:tcW w:w="555" w:type="pct"/>
                  <w:vAlign w:val="center"/>
                </w:tcPr>
                <w:p w14:paraId="785B3F90">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至2027年3月5日</w:t>
                  </w:r>
                </w:p>
              </w:tc>
              <w:tc>
                <w:tcPr>
                  <w:tcW w:w="2656" w:type="pct"/>
                  <w:vAlign w:val="center"/>
                </w:tcPr>
                <w:p w14:paraId="65C8B15E">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处置（填埋）】焚烧处置残渣（HW18类中的772-002~004-18）、含铍废物（HW20类）、含铬废物（HW21类中的193-001-21、261-041~044-21、314-001~003-21、336-100-21、398-002-21）、含铜废物（HW22类中的398-005-22、304-001-22）、含锌废物（HW23类中的336-103-23、384-001-23、312-001-23、900-021-23）、含砷废物（HW24类）、含硒废物（HW25类）、含镉废物（HW26类）、含锑废物（HW27类）、含碲废物（HW28类）、含汞废物（HW29类中的261-051~052-29、261-054-29、265-004-29、900-452-29，仅限低含汞污泥）、含铊废物（HW30类）、含铅废物（HW31类中的304-002-31）、石棉废物（HW36类）、含镍废物（HW46类）、含钡废物（HW47类）、有色金属冶炼废物（HW48类中的321-002~014-48、321-016~029-48）、其他废物（HW49类中的900-041~042-49、900-046~047-49），共3.45万吨/年。</w:t>
                  </w:r>
                </w:p>
              </w:tc>
            </w:tr>
            <w:tr w14:paraId="7048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94" w:type="pct"/>
                  <w:vAlign w:val="center"/>
                </w:tcPr>
                <w:p w14:paraId="36567D2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w:t>
                  </w:r>
                </w:p>
              </w:tc>
              <w:tc>
                <w:tcPr>
                  <w:tcW w:w="627" w:type="pct"/>
                  <w:vAlign w:val="center"/>
                </w:tcPr>
                <w:p w14:paraId="4003DE9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广东华欣环保科技有限公司</w:t>
                  </w:r>
                </w:p>
              </w:tc>
              <w:tc>
                <w:tcPr>
                  <w:tcW w:w="560" w:type="pct"/>
                  <w:vAlign w:val="center"/>
                </w:tcPr>
                <w:p w14:paraId="565038A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韶关市曲江区广东韶钢松山股份有限公司厂区内</w:t>
                  </w:r>
                </w:p>
              </w:tc>
              <w:tc>
                <w:tcPr>
                  <w:tcW w:w="405" w:type="pct"/>
                  <w:vAlign w:val="center"/>
                </w:tcPr>
                <w:p w14:paraId="2495D739">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440205220412</w:t>
                  </w:r>
                </w:p>
              </w:tc>
              <w:tc>
                <w:tcPr>
                  <w:tcW w:w="555" w:type="pct"/>
                  <w:vAlign w:val="center"/>
                </w:tcPr>
                <w:p w14:paraId="37B9B18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至2028年4月9日</w:t>
                  </w:r>
                </w:p>
              </w:tc>
              <w:tc>
                <w:tcPr>
                  <w:tcW w:w="2656" w:type="pct"/>
                  <w:vAlign w:val="center"/>
                </w:tcPr>
                <w:p w14:paraId="7952B881">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color w:val="auto"/>
                      <w:kern w:val="2"/>
                      <w:sz w:val="21"/>
                      <w:szCs w:val="21"/>
                      <w:highlight w:val="none"/>
                      <w:shd w:val="clear" w:color="auto" w:fill="FFFFFF"/>
                      <w:lang w:val="en-US" w:eastAsia="zh-CN" w:bidi="ar-SA"/>
                    </w:rPr>
                    <w:t>【收集、贮存、利用】废矿物油与含矿物油废物（HW08类中的900-249-08，仅限沾染矿物油的废铁质包装桶）1.8万吨/年、其他废物（HW49类中的900-041-49，仅限废铁质包装桶）3.2万吨/年、含铬废物（HW21类中的314-001~002-21）10万吨/年、含锌废物（HW23类中的312-001-23、336-103-23（仅限集尘、除尘装置收集的粉尘））1万吨/年，共计16万吨/年。</w:t>
                  </w:r>
                </w:p>
              </w:tc>
            </w:tr>
          </w:tbl>
          <w:p w14:paraId="6A9EBBF1">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本项目的危险废物种类不多，单次产生量不大，性质较稳定，落实好上述措施后，从产生到转移处置的全过程环境风险均可得到有效控制，不存在重大隐患，不会对外部环境造成重大影响。</w:t>
            </w:r>
          </w:p>
          <w:p w14:paraId="691D4FEB">
            <w:pPr>
              <w:keepNext/>
              <w:keepLines/>
              <w:widowControl w:val="0"/>
              <w:numPr>
                <w:ilvl w:val="2"/>
                <w:numId w:val="0"/>
              </w:numPr>
              <w:spacing w:line="360" w:lineRule="auto"/>
              <w:ind w:firstLine="480" w:firstLineChars="200"/>
              <w:jc w:val="both"/>
              <w:outlineLvl w:val="2"/>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五、土壤、地下水环境影响分析</w:t>
            </w:r>
          </w:p>
          <w:p w14:paraId="5B514F5F">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本项目属于“</w:t>
            </w:r>
            <w:r>
              <w:rPr>
                <w:rFonts w:hint="default" w:ascii="Times New Roman" w:hAnsi="Times New Roman" w:cs="Times New Roman"/>
                <w:color w:val="auto"/>
                <w:kern w:val="2"/>
                <w:sz w:val="24"/>
                <w:szCs w:val="24"/>
                <w:highlight w:val="none"/>
                <w:lang w:val="en-US" w:eastAsia="zh-CN" w:bidi="ar-SA"/>
              </w:rPr>
              <w:t>四十七、生态保护和环境治理业-103一般工业固体废物（含污水处理污泥）、建筑施工废弃物处置及综合利用</w:t>
            </w:r>
            <w:r>
              <w:rPr>
                <w:rFonts w:hint="default" w:ascii="Times New Roman" w:hAnsi="Times New Roman" w:eastAsia="宋体" w:cs="Times New Roman"/>
                <w:color w:val="auto"/>
                <w:kern w:val="2"/>
                <w:sz w:val="24"/>
                <w:szCs w:val="24"/>
                <w:highlight w:val="none"/>
                <w:lang w:val="en-US" w:eastAsia="zh-CN" w:bidi="ar-SA"/>
              </w:rPr>
              <w:t>”，厂区地面已全部硬化，危废</w:t>
            </w:r>
            <w:r>
              <w:rPr>
                <w:rFonts w:hint="eastAsia" w:cs="Times New Roman"/>
                <w:color w:val="auto"/>
                <w:kern w:val="2"/>
                <w:sz w:val="24"/>
                <w:szCs w:val="24"/>
                <w:highlight w:val="none"/>
                <w:lang w:val="en-US" w:eastAsia="zh-CN" w:bidi="ar-SA"/>
              </w:rPr>
              <w:t>暂存</w:t>
            </w:r>
            <w:r>
              <w:rPr>
                <w:rFonts w:hint="default" w:ascii="Times New Roman" w:hAnsi="Times New Roman" w:eastAsia="宋体" w:cs="Times New Roman"/>
                <w:color w:val="auto"/>
                <w:kern w:val="2"/>
                <w:sz w:val="24"/>
                <w:szCs w:val="24"/>
                <w:highlight w:val="none"/>
                <w:lang w:val="en-US" w:eastAsia="zh-CN" w:bidi="ar-SA"/>
              </w:rPr>
              <w:t>间地面硬化，并刷环氧树脂漆防渗层、设置围堰，正常情况下可有效阻止地下水污染途径，对地下水环境不产生影响。本项目所采用的原辅材料组成不含重金属等土壤污染成分，对土壤环境影响极小。本项目厂区按照规范和要求对生产车间、</w:t>
            </w:r>
            <w:r>
              <w:rPr>
                <w:rFonts w:hint="default" w:ascii="Times New Roman" w:hAnsi="Times New Roman" w:cs="Times New Roman"/>
                <w:color w:val="auto"/>
                <w:kern w:val="2"/>
                <w:sz w:val="24"/>
                <w:szCs w:val="24"/>
                <w:highlight w:val="none"/>
                <w:lang w:val="en-US" w:eastAsia="zh-CN" w:bidi="ar-SA"/>
              </w:rPr>
              <w:t>一般固废暂存区</w:t>
            </w:r>
            <w:r>
              <w:rPr>
                <w:rFonts w:hint="default" w:ascii="Times New Roman" w:hAnsi="Times New Roman" w:eastAsia="宋体" w:cs="Times New Roman"/>
                <w:color w:val="auto"/>
                <w:kern w:val="2"/>
                <w:sz w:val="24"/>
                <w:szCs w:val="24"/>
                <w:highlight w:val="none"/>
                <w:lang w:val="en-US" w:eastAsia="zh-CN" w:bidi="ar-SA"/>
              </w:rPr>
              <w:t>以及</w:t>
            </w:r>
            <w:r>
              <w:rPr>
                <w:rFonts w:hint="eastAsia" w:cs="Times New Roman"/>
                <w:color w:val="auto"/>
                <w:kern w:val="2"/>
                <w:sz w:val="24"/>
                <w:szCs w:val="24"/>
                <w:highlight w:val="none"/>
                <w:lang w:val="en-US" w:eastAsia="zh-CN" w:bidi="ar-SA"/>
              </w:rPr>
              <w:t>危废暂存间</w:t>
            </w:r>
            <w:r>
              <w:rPr>
                <w:rFonts w:hint="default" w:ascii="Times New Roman" w:hAnsi="Times New Roman" w:eastAsia="宋体" w:cs="Times New Roman"/>
                <w:color w:val="auto"/>
                <w:kern w:val="2"/>
                <w:sz w:val="24"/>
                <w:szCs w:val="24"/>
                <w:highlight w:val="none"/>
                <w:lang w:val="en-US" w:eastAsia="zh-CN" w:bidi="ar-SA"/>
              </w:rPr>
              <w:t>等采取有效的防雨、防渗漏、防溢流等措施，</w:t>
            </w:r>
            <w:r>
              <w:rPr>
                <w:rFonts w:hint="eastAsia" w:cs="Times New Roman"/>
                <w:color w:val="auto"/>
                <w:kern w:val="2"/>
                <w:sz w:val="24"/>
                <w:szCs w:val="24"/>
                <w:highlight w:val="none"/>
                <w:lang w:val="en-US" w:eastAsia="zh-CN" w:bidi="ar-SA"/>
              </w:rPr>
              <w:t>厂房</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一般固废暂存区</w:t>
            </w:r>
            <w:r>
              <w:rPr>
                <w:rFonts w:hint="default" w:ascii="Times New Roman" w:hAnsi="Times New Roman" w:eastAsia="宋体" w:cs="Times New Roman"/>
                <w:color w:val="auto"/>
                <w:kern w:val="2"/>
                <w:sz w:val="24"/>
                <w:szCs w:val="24"/>
                <w:highlight w:val="none"/>
                <w:lang w:val="en-US" w:eastAsia="zh-CN" w:bidi="ar-SA"/>
              </w:rPr>
              <w:t>以及</w:t>
            </w:r>
            <w:r>
              <w:rPr>
                <w:rFonts w:hint="eastAsia" w:cs="Times New Roman"/>
                <w:color w:val="auto"/>
                <w:kern w:val="2"/>
                <w:sz w:val="24"/>
                <w:szCs w:val="24"/>
                <w:highlight w:val="none"/>
                <w:lang w:val="en-US" w:eastAsia="zh-CN" w:bidi="ar-SA"/>
              </w:rPr>
              <w:t>危废暂存间</w:t>
            </w:r>
            <w:r>
              <w:rPr>
                <w:rFonts w:hint="default" w:ascii="Times New Roman" w:hAnsi="Times New Roman" w:eastAsia="宋体" w:cs="Times New Roman"/>
                <w:color w:val="auto"/>
                <w:kern w:val="2"/>
                <w:sz w:val="24"/>
                <w:szCs w:val="24"/>
                <w:highlight w:val="none"/>
                <w:lang w:val="en-US" w:eastAsia="zh-CN" w:bidi="ar-SA"/>
              </w:rPr>
              <w:t>已进行场地硬化，因此不进行土壤现状监测。</w:t>
            </w:r>
          </w:p>
          <w:p w14:paraId="3CA622F4">
            <w:pPr>
              <w:widowControl w:val="0"/>
              <w:wordWrap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各原料组分不含有毒有害的重金属等污染物，也不涉及建设用地、农用地土壤污染风险筛选值和管制值的其他污染物，即项目不涉及土壤影响特征因子，不会引起土壤环境的盐化、酸化、碱化等生态环境变化，因此本次评价不做进一步的土壤累积影响预测。</w:t>
            </w:r>
          </w:p>
          <w:p w14:paraId="06EC53C2">
            <w:pPr>
              <w:widowControl w:val="0"/>
              <w:autoSpaceDE w:val="0"/>
              <w:autoSpaceDN w:val="0"/>
              <w:adjustRightInd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分区管控：</w:t>
            </w:r>
          </w:p>
          <w:p w14:paraId="63E2A8AE">
            <w:pPr>
              <w:widowControl w:val="0"/>
              <w:spacing w:line="360" w:lineRule="auto"/>
              <w:ind w:left="0"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①简单防渗区：办公室</w:t>
            </w:r>
            <w:r>
              <w:rPr>
                <w:rFonts w:hint="default" w:ascii="Times New Roman" w:hAnsi="Times New Roman" w:cs="Times New Roman"/>
                <w:b w:val="0"/>
                <w:bCs w:val="0"/>
                <w:color w:val="auto"/>
                <w:kern w:val="2"/>
                <w:sz w:val="24"/>
                <w:szCs w:val="24"/>
                <w:highlight w:val="none"/>
                <w:lang w:val="en-US" w:eastAsia="zh-CN" w:bidi="ar-SA"/>
              </w:rPr>
              <w:t>及仓库</w:t>
            </w:r>
            <w:r>
              <w:rPr>
                <w:rFonts w:hint="default" w:ascii="Times New Roman" w:hAnsi="Times New Roman" w:eastAsia="宋体" w:cs="Times New Roman"/>
                <w:b w:val="0"/>
                <w:bCs w:val="0"/>
                <w:color w:val="auto"/>
                <w:kern w:val="2"/>
                <w:sz w:val="24"/>
                <w:szCs w:val="24"/>
                <w:highlight w:val="none"/>
                <w:lang w:val="en-US" w:eastAsia="zh-CN" w:bidi="ar-SA"/>
              </w:rPr>
              <w:t>区域仅进行一般地面硬化，无需进行防渗处理。</w:t>
            </w:r>
          </w:p>
          <w:p w14:paraId="1FC5C067">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②一般防渗区：</w:t>
            </w:r>
            <w:r>
              <w:rPr>
                <w:rFonts w:hint="default" w:ascii="Times New Roman" w:hAnsi="Times New Roman" w:cs="Times New Roman"/>
                <w:color w:val="auto"/>
                <w:highlight w:val="none"/>
                <w:lang w:val="en-US" w:eastAsia="zh-CN"/>
              </w:rPr>
              <w:t>一般固废间、原料仓等区域</w:t>
            </w:r>
            <w:r>
              <w:rPr>
                <w:rFonts w:hint="default" w:ascii="Times New Roman" w:hAnsi="Times New Roman" w:eastAsia="宋体" w:cs="Times New Roman"/>
                <w:color w:val="auto"/>
                <w:highlight w:val="none"/>
              </w:rPr>
              <w:t>进行一般防渗处理，防渗要求按照等效黏土防渗层Mb≥1.5m，K≤1×10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cm/s或参照GB16889执行；</w:t>
            </w:r>
          </w:p>
          <w:p w14:paraId="378C0C7E">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③重点防渗区：</w:t>
            </w:r>
            <w:r>
              <w:rPr>
                <w:rFonts w:hint="default" w:ascii="Times New Roman" w:hAnsi="Times New Roman" w:cs="Times New Roman"/>
                <w:color w:val="auto"/>
                <w:highlight w:val="none"/>
                <w:lang w:val="en-US" w:eastAsia="zh-CN"/>
              </w:rPr>
              <w:t>危废</w:t>
            </w:r>
            <w:r>
              <w:rPr>
                <w:rFonts w:hint="eastAsia" w:cs="Times New Roman"/>
                <w:color w:val="auto"/>
                <w:highlight w:val="none"/>
                <w:lang w:val="en-US" w:eastAsia="zh-CN"/>
              </w:rPr>
              <w:t>暂存</w:t>
            </w:r>
            <w:r>
              <w:rPr>
                <w:rFonts w:hint="default" w:ascii="Times New Roman" w:hAnsi="Times New Roman" w:cs="Times New Roman"/>
                <w:color w:val="auto"/>
                <w:highlight w:val="none"/>
                <w:lang w:val="en-US" w:eastAsia="zh-CN"/>
              </w:rPr>
              <w:t>间</w:t>
            </w:r>
            <w:r>
              <w:rPr>
                <w:rFonts w:hint="default" w:ascii="Times New Roman" w:hAnsi="Times New Roman" w:eastAsia="宋体" w:cs="Times New Roman"/>
                <w:color w:val="auto"/>
                <w:highlight w:val="none"/>
              </w:rPr>
              <w:t>进行重点防渗处理，要求按照等效黏土防渗层Mb≥6.0m，K≤1×10</w:t>
            </w:r>
            <w:r>
              <w:rPr>
                <w:rFonts w:hint="default" w:ascii="Times New Roman" w:hAnsi="Times New Roman" w:eastAsia="宋体" w:cs="Times New Roman"/>
                <w:color w:val="auto"/>
                <w:highlight w:val="none"/>
                <w:vertAlign w:val="superscript"/>
              </w:rPr>
              <w:t>-7</w:t>
            </w:r>
            <w:r>
              <w:rPr>
                <w:rFonts w:hint="default" w:ascii="Times New Roman" w:hAnsi="Times New Roman" w:eastAsia="宋体" w:cs="Times New Roman"/>
                <w:color w:val="auto"/>
                <w:highlight w:val="none"/>
              </w:rPr>
              <w:t>cm/s或参照GB18598执行</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并设置围堰</w:t>
            </w:r>
            <w:r>
              <w:rPr>
                <w:rFonts w:hint="default" w:ascii="Times New Roman" w:hAnsi="Times New Roman" w:eastAsia="宋体" w:cs="Times New Roman"/>
                <w:color w:val="auto"/>
                <w:highlight w:val="none"/>
              </w:rPr>
              <w:t>。</w:t>
            </w:r>
          </w:p>
          <w:p w14:paraId="70F1BC8B">
            <w:pPr>
              <w:keepNext/>
              <w:keepLines/>
              <w:tabs>
                <w:tab w:val="left" w:pos="0"/>
              </w:tabs>
              <w:ind w:firstLine="480" w:firstLineChars="200"/>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六、生态环境影响分析</w:t>
            </w:r>
          </w:p>
          <w:p w14:paraId="4AFFA01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经现场调查，项目周边500m范围内未发现珍稀、濒危植物，主要为人工绿化植物群落，植被覆盖率一般，无明显水土流失区；陆生动物以家禽、家畜为主；项目所在地周围100m范围内由于人为开发活动，已逐渐由自然生态环境转为城市人工生态环境，项目所在地属于非重要生境，没有特别受保护的生境和生物及水产资源，对周边生态环境影响较小。</w:t>
            </w:r>
          </w:p>
          <w:p w14:paraId="2D3E32D3">
            <w:pPr>
              <w:keepNext/>
              <w:keepLines/>
              <w:tabs>
                <w:tab w:val="left" w:pos="0"/>
              </w:tabs>
              <w:ind w:left="478"/>
              <w:outlineLvl w:val="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七、环境风险影响分析</w:t>
            </w:r>
          </w:p>
          <w:p w14:paraId="20C5F022">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1、环境风险识别</w:t>
            </w:r>
          </w:p>
          <w:p w14:paraId="04BEF2EC">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风险评价应以突发事故导致的危险物质环境急性损害防控为目标，对建设项目的环境风险进行分析、预测和评估，提出环境风险预防、控制、减缓措施，明确环境风险监控及应急建议要求，为建设项目环境风险防控提供科学依据。</w:t>
            </w:r>
          </w:p>
          <w:p w14:paraId="26EAB0E5">
            <w:pPr>
              <w:keepNext/>
              <w:keepLines/>
              <w:tabs>
                <w:tab w:val="left" w:pos="0"/>
              </w:tabs>
              <w:ind w:left="480" w:leftChars="200"/>
              <w:outlineLvl w:val="3"/>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2、评价依据</w:t>
            </w:r>
          </w:p>
          <w:p w14:paraId="7F24E5FB">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根据《建设项目环境影响报告表编制技术指南（污染影响类）</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试行</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》表1专项评价设置原则表，环境风险设置专项评价原则为有毒有害和易燃易爆危险物质存储量超过临界量的建设项目，临界量及其计算方法参考《建设项目环境风险评价技术导则》（HJ169-2018）附录B、附录C。</w:t>
            </w:r>
          </w:p>
          <w:p w14:paraId="307868A4">
            <w:pPr>
              <w:ind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rPr>
              <w:t>本项目涉及的风险物质</w:t>
            </w:r>
            <w:r>
              <w:rPr>
                <w:rFonts w:hint="default" w:ascii="Times New Roman" w:hAnsi="Times New Roman" w:cs="Times New Roman"/>
                <w:color w:val="auto"/>
                <w:highlight w:val="none"/>
                <w:lang w:val="en-US" w:eastAsia="zh-CN"/>
              </w:rPr>
              <w:t>中</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val="en-US" w:eastAsia="zh-CN"/>
              </w:rPr>
              <w:t>机油、</w:t>
            </w:r>
            <w:r>
              <w:rPr>
                <w:rFonts w:hint="eastAsia" w:cs="Times New Roman"/>
                <w:color w:val="auto"/>
                <w:highlight w:val="none"/>
                <w:lang w:val="en-US" w:eastAsia="zh-CN"/>
              </w:rPr>
              <w:t>液压油、</w:t>
            </w:r>
            <w:r>
              <w:rPr>
                <w:rFonts w:hint="default" w:ascii="Times New Roman" w:hAnsi="Times New Roman" w:cs="Times New Roman"/>
                <w:color w:val="auto"/>
                <w:highlight w:val="none"/>
                <w:lang w:val="en-US" w:eastAsia="zh-CN"/>
              </w:rPr>
              <w:t>废</w:t>
            </w:r>
            <w:r>
              <w:rPr>
                <w:rFonts w:hint="eastAsia" w:cs="Times New Roman"/>
                <w:color w:val="auto"/>
                <w:highlight w:val="none"/>
                <w:lang w:val="en-US" w:eastAsia="zh-CN"/>
              </w:rPr>
              <w:t>矿物</w:t>
            </w:r>
            <w:r>
              <w:rPr>
                <w:rFonts w:hint="default" w:ascii="Times New Roman" w:hAnsi="Times New Roman" w:cs="Times New Roman"/>
                <w:color w:val="auto"/>
                <w:highlight w:val="none"/>
                <w:lang w:val="en-US" w:eastAsia="zh-CN"/>
              </w:rPr>
              <w:t>油及</w:t>
            </w:r>
            <w:r>
              <w:rPr>
                <w:rFonts w:hint="eastAsia" w:cs="Times New Roman"/>
                <w:color w:val="auto"/>
                <w:highlight w:val="none"/>
                <w:lang w:val="en-US" w:eastAsia="zh-CN"/>
              </w:rPr>
              <w:t>油</w:t>
            </w:r>
            <w:r>
              <w:rPr>
                <w:rFonts w:hint="default" w:ascii="Times New Roman" w:hAnsi="Times New Roman" w:cs="Times New Roman"/>
                <w:color w:val="auto"/>
                <w:highlight w:val="none"/>
                <w:lang w:val="en-US" w:eastAsia="zh-CN"/>
              </w:rPr>
              <w:t>桶按“</w:t>
            </w:r>
            <w:r>
              <w:rPr>
                <w:rFonts w:hint="default" w:ascii="Times New Roman" w:hAnsi="Times New Roman" w:eastAsia="宋体" w:cs="Times New Roman"/>
                <w:color w:val="auto"/>
                <w:highlight w:val="none"/>
              </w:rPr>
              <w:t>表B.1油类物质（矿物油类，如石油、汽油、柴油等；生物柴油等）</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临界值</w:t>
            </w:r>
            <w:r>
              <w:rPr>
                <w:rFonts w:hint="default" w:ascii="Times New Roman" w:hAnsi="Times New Roman" w:cs="Times New Roman"/>
                <w:color w:val="auto"/>
                <w:highlight w:val="none"/>
                <w:lang w:val="en-US" w:eastAsia="zh-CN"/>
              </w:rPr>
              <w:t>取</w:t>
            </w:r>
            <w:r>
              <w:rPr>
                <w:rFonts w:hint="default" w:ascii="Times New Roman" w:hAnsi="Times New Roman" w:eastAsia="宋体" w:cs="Times New Roman"/>
                <w:color w:val="auto"/>
                <w:highlight w:val="none"/>
              </w:rPr>
              <w:t>2500</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lang w:eastAsia="zh-CN"/>
              </w:rPr>
              <w:t>；</w:t>
            </w:r>
          </w:p>
          <w:p w14:paraId="60B85E54">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废含油抹布及手套</w:t>
            </w:r>
            <w:r>
              <w:rPr>
                <w:rFonts w:hint="default" w:ascii="Times New Roman" w:hAnsi="Times New Roman" w:eastAsia="宋体" w:cs="Times New Roman"/>
                <w:color w:val="auto"/>
                <w:highlight w:val="none"/>
              </w:rPr>
              <w:t>Q值参照《建设项目环境风险评价技术导则》（HJ169-2018）中“表B.2其他危险物质临界量推荐值--健康危险急性毒性物质（类别2、类别3）的临界值50</w:t>
            </w:r>
            <w:r>
              <w:rPr>
                <w:rFonts w:hint="default" w:ascii="Times New Roman" w:hAnsi="Times New Roman" w:cs="Times New Roman"/>
                <w:color w:val="auto"/>
                <w:highlight w:val="none"/>
                <w:lang w:val="en-US" w:eastAsia="zh-CN"/>
              </w:rPr>
              <w:t>t</w:t>
            </w:r>
            <w:r>
              <w:rPr>
                <w:rFonts w:hint="default" w:ascii="Times New Roman" w:hAnsi="Times New Roman" w:eastAsia="宋体" w:cs="Times New Roman"/>
                <w:color w:val="auto"/>
                <w:highlight w:val="none"/>
              </w:rPr>
              <w:t>”。</w:t>
            </w:r>
          </w:p>
          <w:p w14:paraId="2D6AC8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14</w:t>
            </w:r>
            <w:r>
              <w:rPr>
                <w:rFonts w:hint="default" w:ascii="Times New Roman" w:hAnsi="Times New Roman" w:eastAsia="宋体" w:cs="Times New Roman"/>
                <w:b/>
                <w:bCs/>
                <w:color w:val="auto"/>
                <w:kern w:val="2"/>
                <w:sz w:val="21"/>
                <w:szCs w:val="21"/>
                <w:highlight w:val="none"/>
                <w:lang w:val="en-US" w:eastAsia="zh-CN" w:bidi="ar-SA"/>
              </w:rPr>
              <w:t>危险物质识别一览表</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6"/>
              <w:gridCol w:w="1805"/>
              <w:gridCol w:w="2463"/>
              <w:gridCol w:w="2221"/>
              <w:gridCol w:w="1742"/>
            </w:tblGrid>
            <w:tr w14:paraId="3F7F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43DDB7D">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5872010A">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物质名称</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25CE8915">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风险特性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5B1BFEF1">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危险物质</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9BB3D0C">
                  <w:pPr>
                    <w:widowControl w:val="0"/>
                    <w:spacing w:line="240" w:lineRule="auto"/>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判断依据</w:t>
                  </w:r>
                </w:p>
              </w:tc>
            </w:tr>
            <w:tr w14:paraId="333A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1786A3F1">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1</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21067B1B">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机</w:t>
                  </w:r>
                  <w:r>
                    <w:rPr>
                      <w:rFonts w:hint="default" w:ascii="Times New Roman" w:hAnsi="Times New Roman" w:eastAsia="宋体" w:cs="Times New Roman"/>
                      <w:b w:val="0"/>
                      <w:color w:val="auto"/>
                      <w:kern w:val="2"/>
                      <w:sz w:val="21"/>
                      <w:szCs w:val="21"/>
                      <w:highlight w:val="none"/>
                      <w:lang w:val="en-US" w:eastAsia="zh-CN" w:bidi="ar-SA"/>
                    </w:rPr>
                    <w:t>油</w:t>
                  </w:r>
                  <w:r>
                    <w:rPr>
                      <w:rFonts w:hint="eastAsia" w:cs="Times New Roman"/>
                      <w:b w:val="0"/>
                      <w:color w:val="auto"/>
                      <w:kern w:val="2"/>
                      <w:sz w:val="21"/>
                      <w:szCs w:val="21"/>
                      <w:highlight w:val="none"/>
                      <w:lang w:val="en-US" w:eastAsia="zh-CN" w:bidi="ar-SA"/>
                    </w:rPr>
                    <w:t>、液压油</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3EFC379">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vMerge w:val="restart"/>
                  <w:tcBorders>
                    <w:top w:val="single" w:color="auto" w:sz="4" w:space="0"/>
                    <w:left w:val="single" w:color="auto" w:sz="4" w:space="0"/>
                    <w:right w:val="single" w:color="auto" w:sz="4" w:space="0"/>
                    <w:tl2br w:val="nil"/>
                    <w:tr2bl w:val="nil"/>
                  </w:tcBorders>
                  <w:vAlign w:val="center"/>
                </w:tcPr>
                <w:p w14:paraId="5E3E2E30">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矿物油</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337E11A3">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r w14:paraId="1442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5ACDC525">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2</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62F7E802">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35C6665B">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vMerge w:val="continue"/>
                  <w:tcBorders>
                    <w:left w:val="single" w:color="auto" w:sz="4" w:space="0"/>
                    <w:right w:val="single" w:color="auto" w:sz="4" w:space="0"/>
                    <w:tl2br w:val="nil"/>
                    <w:tr2bl w:val="nil"/>
                  </w:tcBorders>
                  <w:vAlign w:val="center"/>
                </w:tcPr>
                <w:p w14:paraId="1FA513B8">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40200EC3">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r w14:paraId="6F3B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73" w:type="pct"/>
                  <w:tcBorders>
                    <w:top w:val="single" w:color="auto" w:sz="4" w:space="0"/>
                    <w:left w:val="single" w:color="auto" w:sz="4" w:space="0"/>
                    <w:bottom w:val="single" w:color="auto" w:sz="4" w:space="0"/>
                    <w:right w:val="single" w:color="auto" w:sz="4" w:space="0"/>
                    <w:tl2br w:val="nil"/>
                    <w:tr2bl w:val="nil"/>
                  </w:tcBorders>
                  <w:vAlign w:val="center"/>
                </w:tcPr>
                <w:p w14:paraId="55DA844E">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3</w:t>
                  </w:r>
                </w:p>
              </w:tc>
              <w:tc>
                <w:tcPr>
                  <w:tcW w:w="1036" w:type="pct"/>
                  <w:tcBorders>
                    <w:top w:val="single" w:color="auto" w:sz="4" w:space="0"/>
                    <w:left w:val="single" w:color="auto" w:sz="4" w:space="0"/>
                    <w:bottom w:val="single" w:color="auto" w:sz="4" w:space="0"/>
                    <w:right w:val="single" w:color="auto" w:sz="4" w:space="0"/>
                    <w:tl2br w:val="nil"/>
                    <w:tr2bl w:val="nil"/>
                  </w:tcBorders>
                  <w:vAlign w:val="center"/>
                </w:tcPr>
                <w:p w14:paraId="4BAC4CA7">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废含油抹布及手套</w:t>
                  </w:r>
                </w:p>
              </w:tc>
              <w:tc>
                <w:tcPr>
                  <w:tcW w:w="1414" w:type="pct"/>
                  <w:tcBorders>
                    <w:top w:val="single" w:color="auto" w:sz="4" w:space="0"/>
                    <w:left w:val="single" w:color="auto" w:sz="4" w:space="0"/>
                    <w:bottom w:val="single" w:color="auto" w:sz="4" w:space="0"/>
                    <w:right w:val="single" w:color="auto" w:sz="4" w:space="0"/>
                    <w:tl2br w:val="nil"/>
                    <w:tr2bl w:val="nil"/>
                  </w:tcBorders>
                  <w:vAlign w:val="center"/>
                </w:tcPr>
                <w:p w14:paraId="74AAAB52">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易燃性</w:t>
                  </w:r>
                </w:p>
              </w:tc>
              <w:tc>
                <w:tcPr>
                  <w:tcW w:w="1275" w:type="pct"/>
                  <w:tcBorders>
                    <w:top w:val="single" w:color="auto" w:sz="4" w:space="0"/>
                    <w:left w:val="single" w:color="auto" w:sz="4" w:space="0"/>
                    <w:bottom w:val="single" w:color="auto" w:sz="4" w:space="0"/>
                    <w:right w:val="single" w:color="auto" w:sz="4" w:space="0"/>
                    <w:tl2br w:val="nil"/>
                    <w:tr2bl w:val="nil"/>
                  </w:tcBorders>
                  <w:vAlign w:val="center"/>
                </w:tcPr>
                <w:p w14:paraId="059F7764">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危险废物</w:t>
                  </w:r>
                </w:p>
              </w:tc>
              <w:tc>
                <w:tcPr>
                  <w:tcW w:w="1000" w:type="pct"/>
                  <w:tcBorders>
                    <w:top w:val="single" w:color="auto" w:sz="4" w:space="0"/>
                    <w:left w:val="single" w:color="auto" w:sz="4" w:space="0"/>
                    <w:bottom w:val="single" w:color="auto" w:sz="4" w:space="0"/>
                    <w:right w:val="single" w:color="auto" w:sz="4" w:space="0"/>
                    <w:tl2br w:val="nil"/>
                    <w:tr2bl w:val="nil"/>
                  </w:tcBorders>
                  <w:vAlign w:val="center"/>
                </w:tcPr>
                <w:p w14:paraId="24AD9C1A">
                  <w:pPr>
                    <w:widowControl w:val="0"/>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b w:val="0"/>
                      <w:color w:val="auto"/>
                      <w:kern w:val="2"/>
                      <w:sz w:val="21"/>
                      <w:szCs w:val="21"/>
                      <w:highlight w:val="none"/>
                      <w:lang w:val="en-US" w:eastAsia="zh-CN" w:bidi="ar-SA"/>
                    </w:rPr>
                    <w:t>HJ169-2018</w:t>
                  </w:r>
                </w:p>
              </w:tc>
            </w:tr>
          </w:tbl>
          <w:p w14:paraId="6D12E08E">
            <w:pPr>
              <w:adjustRightInd w:val="0"/>
              <w:ind w:firstLine="472" w:firstLineChars="200"/>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spacing w:val="-2"/>
                <w:highlight w:val="none"/>
              </w:rPr>
              <w:t>则本项目Q值确定见下表</w:t>
            </w:r>
            <w:r>
              <w:rPr>
                <w:rFonts w:hint="default" w:ascii="Times New Roman" w:hAnsi="Times New Roman" w:eastAsia="宋体" w:cs="Times New Roman"/>
                <w:color w:val="auto"/>
                <w:kern w:val="0"/>
                <w:highlight w:val="none"/>
              </w:rPr>
              <w:t>。</w:t>
            </w:r>
          </w:p>
          <w:p w14:paraId="13A26B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p>
          <w:p w14:paraId="51B3C3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15</w:t>
            </w:r>
            <w:r>
              <w:rPr>
                <w:rFonts w:hint="default" w:ascii="Times New Roman" w:hAnsi="Times New Roman" w:eastAsia="宋体" w:cs="Times New Roman"/>
                <w:b/>
                <w:bCs/>
                <w:color w:val="auto"/>
                <w:kern w:val="2"/>
                <w:sz w:val="21"/>
                <w:szCs w:val="21"/>
                <w:highlight w:val="none"/>
                <w:lang w:val="en-US" w:eastAsia="zh-CN" w:bidi="ar-SA"/>
              </w:rPr>
              <w:t>建设项目Q值确定表</w:t>
            </w:r>
          </w:p>
          <w:tbl>
            <w:tblPr>
              <w:tblStyle w:val="45"/>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950"/>
              <w:gridCol w:w="1271"/>
              <w:gridCol w:w="1881"/>
              <w:gridCol w:w="1343"/>
              <w:gridCol w:w="1451"/>
            </w:tblGrid>
            <w:tr w14:paraId="5FFB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vAlign w:val="center"/>
                </w:tcPr>
                <w:p w14:paraId="5DAC6045">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1950" w:type="dxa"/>
                  <w:vAlign w:val="center"/>
                </w:tcPr>
                <w:p w14:paraId="55DBE9C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危险物质名称</w:t>
                  </w:r>
                </w:p>
              </w:tc>
              <w:tc>
                <w:tcPr>
                  <w:tcW w:w="1271" w:type="dxa"/>
                  <w:vAlign w:val="center"/>
                </w:tcPr>
                <w:p w14:paraId="6BB67E46">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CAS号</w:t>
                  </w:r>
                </w:p>
              </w:tc>
              <w:tc>
                <w:tcPr>
                  <w:tcW w:w="1881" w:type="dxa"/>
                  <w:vAlign w:val="center"/>
                </w:tcPr>
                <w:p w14:paraId="332D7EFF">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最大存储总量（t）</w:t>
                  </w:r>
                </w:p>
              </w:tc>
              <w:tc>
                <w:tcPr>
                  <w:tcW w:w="1343" w:type="dxa"/>
                  <w:vAlign w:val="center"/>
                </w:tcPr>
                <w:p w14:paraId="159A481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临界量Qn/t</w:t>
                  </w:r>
                </w:p>
              </w:tc>
              <w:tc>
                <w:tcPr>
                  <w:tcW w:w="1451" w:type="dxa"/>
                  <w:vAlign w:val="center"/>
                </w:tcPr>
                <w:p w14:paraId="30CDDF39">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该种危险物质Q值</w:t>
                  </w:r>
                </w:p>
              </w:tc>
            </w:tr>
            <w:tr w14:paraId="54BF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6E0B830F">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1</w:t>
                  </w:r>
                </w:p>
              </w:tc>
              <w:tc>
                <w:tcPr>
                  <w:tcW w:w="1950" w:type="dxa"/>
                  <w:vAlign w:val="center"/>
                </w:tcPr>
                <w:p w14:paraId="6650A6D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机油</w:t>
                  </w:r>
                  <w:r>
                    <w:rPr>
                      <w:rFonts w:hint="eastAsia" w:cs="Times New Roman"/>
                      <w:b w:val="0"/>
                      <w:color w:val="auto"/>
                      <w:kern w:val="2"/>
                      <w:sz w:val="21"/>
                      <w:szCs w:val="21"/>
                      <w:highlight w:val="none"/>
                      <w:lang w:val="en-US" w:eastAsia="zh-CN" w:bidi="ar-SA"/>
                    </w:rPr>
                    <w:t>、液压油</w:t>
                  </w:r>
                </w:p>
              </w:tc>
              <w:tc>
                <w:tcPr>
                  <w:tcW w:w="1271" w:type="dxa"/>
                  <w:vAlign w:val="center"/>
                </w:tcPr>
                <w:p w14:paraId="26BDD22C">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881" w:type="dxa"/>
                  <w:vAlign w:val="center"/>
                </w:tcPr>
                <w:p w14:paraId="6CC79DE8">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0.1</w:t>
                  </w:r>
                  <w:r>
                    <w:rPr>
                      <w:rFonts w:hint="eastAsia" w:cs="Times New Roman"/>
                      <w:color w:val="auto"/>
                      <w:sz w:val="21"/>
                      <w:szCs w:val="21"/>
                      <w:highlight w:val="none"/>
                      <w:lang w:val="en-US" w:eastAsia="zh-CN"/>
                    </w:rPr>
                    <w:t>5</w:t>
                  </w:r>
                </w:p>
              </w:tc>
              <w:tc>
                <w:tcPr>
                  <w:tcW w:w="1343" w:type="dxa"/>
                  <w:vAlign w:val="center"/>
                </w:tcPr>
                <w:p w14:paraId="490302B3">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2500</w:t>
                  </w:r>
                </w:p>
              </w:tc>
              <w:tc>
                <w:tcPr>
                  <w:tcW w:w="1451" w:type="dxa"/>
                  <w:vAlign w:val="center"/>
                </w:tcPr>
                <w:p w14:paraId="1F60BF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0.0000</w:t>
                  </w:r>
                  <w:r>
                    <w:rPr>
                      <w:rFonts w:hint="eastAsia" w:cs="Times New Roman"/>
                      <w:i w:val="0"/>
                      <w:iCs w:val="0"/>
                      <w:color w:val="auto"/>
                      <w:kern w:val="0"/>
                      <w:sz w:val="21"/>
                      <w:szCs w:val="21"/>
                      <w:highlight w:val="none"/>
                      <w:u w:val="none"/>
                      <w:lang w:val="en-US" w:eastAsia="zh-CN"/>
                    </w:rPr>
                    <w:t>6</w:t>
                  </w:r>
                </w:p>
              </w:tc>
            </w:tr>
            <w:tr w14:paraId="2EAE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2B6CB1DE">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2</w:t>
                  </w:r>
                </w:p>
              </w:tc>
              <w:tc>
                <w:tcPr>
                  <w:tcW w:w="1950" w:type="dxa"/>
                  <w:vAlign w:val="center"/>
                </w:tcPr>
                <w:p w14:paraId="0FDDBEF8">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eastAsia="宋体" w:cs="Times New Roman"/>
                      <w:color w:val="auto"/>
                      <w:position w:val="-10"/>
                      <w:sz w:val="21"/>
                      <w:szCs w:val="21"/>
                      <w:highlight w:val="none"/>
                      <w:lang w:val="en-US" w:eastAsia="zh-CN" w:bidi="ar-SA"/>
                    </w:rPr>
                    <w:t>废矿物油及油桶</w:t>
                  </w:r>
                </w:p>
              </w:tc>
              <w:tc>
                <w:tcPr>
                  <w:tcW w:w="1271" w:type="dxa"/>
                  <w:vAlign w:val="center"/>
                </w:tcPr>
                <w:p w14:paraId="12148CA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881" w:type="dxa"/>
                  <w:vAlign w:val="center"/>
                </w:tcPr>
                <w:p w14:paraId="24981EE2">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bidi="ar-SA"/>
                    </w:rPr>
                    <w:t>0.</w:t>
                  </w:r>
                  <w:r>
                    <w:rPr>
                      <w:rFonts w:hint="eastAsia" w:cs="Times New Roman"/>
                      <w:color w:val="auto"/>
                      <w:kern w:val="2"/>
                      <w:position w:val="0"/>
                      <w:sz w:val="21"/>
                      <w:szCs w:val="21"/>
                      <w:highlight w:val="none"/>
                      <w:lang w:val="en-US" w:eastAsia="zh-CN" w:bidi="ar-SA"/>
                    </w:rPr>
                    <w:t>157</w:t>
                  </w:r>
                </w:p>
              </w:tc>
              <w:tc>
                <w:tcPr>
                  <w:tcW w:w="1343" w:type="dxa"/>
                  <w:vAlign w:val="center"/>
                </w:tcPr>
                <w:p w14:paraId="20ED4F30">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2500</w:t>
                  </w:r>
                </w:p>
              </w:tc>
              <w:tc>
                <w:tcPr>
                  <w:tcW w:w="1451" w:type="dxa"/>
                  <w:vAlign w:val="center"/>
                </w:tcPr>
                <w:p w14:paraId="331686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w:t>
                  </w:r>
                  <w:r>
                    <w:rPr>
                      <w:rFonts w:hint="eastAsia" w:cs="Times New Roman"/>
                      <w:i w:val="0"/>
                      <w:iCs w:val="0"/>
                      <w:color w:val="auto"/>
                      <w:kern w:val="0"/>
                      <w:sz w:val="21"/>
                      <w:szCs w:val="21"/>
                      <w:highlight w:val="none"/>
                      <w:u w:val="none"/>
                      <w:lang w:val="en-US" w:eastAsia="zh-CN"/>
                    </w:rPr>
                    <w:t>0628</w:t>
                  </w:r>
                </w:p>
              </w:tc>
            </w:tr>
            <w:tr w14:paraId="2481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97" w:type="dxa"/>
                  <w:shd w:val="clear" w:color="auto" w:fill="auto"/>
                  <w:vAlign w:val="center"/>
                </w:tcPr>
                <w:p w14:paraId="1D3B0BC8">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3</w:t>
                  </w:r>
                </w:p>
              </w:tc>
              <w:tc>
                <w:tcPr>
                  <w:tcW w:w="1950" w:type="dxa"/>
                  <w:vAlign w:val="center"/>
                </w:tcPr>
                <w:p w14:paraId="257EAF07">
                  <w:pPr>
                    <w:keepNext w:val="0"/>
                    <w:keepLines w:val="0"/>
                    <w:pageBreakBefore w:val="0"/>
                    <w:widowControl w:val="0"/>
                    <w:kinsoku/>
                    <w:wordWrap/>
                    <w:overflowPunct/>
                    <w:topLinePunct w:val="0"/>
                    <w:autoSpaceDE/>
                    <w:autoSpaceDN/>
                    <w:bidi w:val="0"/>
                    <w:snapToGrid/>
                    <w:spacing w:line="240" w:lineRule="auto"/>
                    <w:jc w:val="center"/>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b w:val="0"/>
                      <w:color w:val="auto"/>
                      <w:kern w:val="2"/>
                      <w:sz w:val="21"/>
                      <w:szCs w:val="21"/>
                      <w:highlight w:val="none"/>
                      <w:lang w:val="en-US" w:eastAsia="zh-CN" w:bidi="ar-SA"/>
                    </w:rPr>
                    <w:t>废含油抹布及手套</w:t>
                  </w:r>
                </w:p>
              </w:tc>
              <w:tc>
                <w:tcPr>
                  <w:tcW w:w="1271" w:type="dxa"/>
                  <w:vAlign w:val="center"/>
                </w:tcPr>
                <w:p w14:paraId="3EF58E44">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881" w:type="dxa"/>
                  <w:vAlign w:val="center"/>
                </w:tcPr>
                <w:p w14:paraId="129E656B">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0.01</w:t>
                  </w:r>
                </w:p>
              </w:tc>
              <w:tc>
                <w:tcPr>
                  <w:tcW w:w="1343" w:type="dxa"/>
                  <w:vAlign w:val="center"/>
                </w:tcPr>
                <w:p w14:paraId="6D19CAC7">
                  <w:pPr>
                    <w:keepNext w:val="0"/>
                    <w:keepLines w:val="0"/>
                    <w:pageBreakBefore w:val="0"/>
                    <w:kinsoku/>
                    <w:wordWrap/>
                    <w:overflowPunct/>
                    <w:topLinePunct w:val="0"/>
                    <w:autoSpaceDE/>
                    <w:autoSpaceDN/>
                    <w:bidi w:val="0"/>
                    <w:adjustRightInd w:val="0"/>
                    <w:snapToGrid/>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50</w:t>
                  </w:r>
                </w:p>
              </w:tc>
              <w:tc>
                <w:tcPr>
                  <w:tcW w:w="1451" w:type="dxa"/>
                  <w:vAlign w:val="center"/>
                </w:tcPr>
                <w:p w14:paraId="715C61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0.0002</w:t>
                  </w:r>
                </w:p>
              </w:tc>
            </w:tr>
            <w:tr w14:paraId="4C98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42" w:type="dxa"/>
                  <w:gridSpan w:val="5"/>
                  <w:vAlign w:val="center"/>
                </w:tcPr>
                <w:p w14:paraId="11F0EB10">
                  <w:pPr>
                    <w:keepNext w:val="0"/>
                    <w:keepLines w:val="0"/>
                    <w:pageBreakBefore w:val="0"/>
                    <w:widowControl/>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项目Q值</w:t>
                  </w:r>
                </w:p>
              </w:tc>
              <w:tc>
                <w:tcPr>
                  <w:tcW w:w="1451" w:type="dxa"/>
                  <w:shd w:val="clear" w:color="auto" w:fill="auto"/>
                  <w:vAlign w:val="center"/>
                </w:tcPr>
                <w:p w14:paraId="79E628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0003228</w:t>
                  </w:r>
                </w:p>
              </w:tc>
            </w:tr>
          </w:tbl>
          <w:p w14:paraId="5DC306B1">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spacing w:val="-2"/>
                <w:highlight w:val="none"/>
              </w:rPr>
              <w:t>《建设项目环境</w:t>
            </w:r>
            <w:r>
              <w:rPr>
                <w:rFonts w:hint="default" w:ascii="Times New Roman" w:hAnsi="Times New Roman" w:eastAsia="宋体" w:cs="Times New Roman"/>
                <w:color w:val="auto"/>
                <w:spacing w:val="-2"/>
                <w:highlight w:val="none"/>
                <w:lang w:val="en-US" w:eastAsia="zh-CN"/>
              </w:rPr>
              <w:t>影响报告表编制技术指南</w:t>
            </w:r>
            <w:r>
              <w:rPr>
                <w:rFonts w:hint="eastAsia" w:cs="Times New Roman"/>
                <w:color w:val="auto"/>
                <w:spacing w:val="-2"/>
                <w:highlight w:val="none"/>
                <w:lang w:eastAsia="zh-CN"/>
              </w:rPr>
              <w:t>（</w:t>
            </w:r>
            <w:r>
              <w:rPr>
                <w:rFonts w:hint="default" w:ascii="Times New Roman" w:hAnsi="Times New Roman" w:eastAsia="宋体" w:cs="Times New Roman"/>
                <w:color w:val="auto"/>
                <w:spacing w:val="-2"/>
                <w:highlight w:val="none"/>
                <w:lang w:val="en-US" w:eastAsia="zh-CN"/>
              </w:rPr>
              <w:t>试行</w:t>
            </w:r>
            <w:r>
              <w:rPr>
                <w:rFonts w:hint="eastAsia" w:cs="Times New Roman"/>
                <w:color w:val="auto"/>
                <w:spacing w:val="-2"/>
                <w:highlight w:val="none"/>
                <w:lang w:val="en-US" w:eastAsia="zh-CN"/>
              </w:rPr>
              <w:t>）</w:t>
            </w:r>
            <w:r>
              <w:rPr>
                <w:rFonts w:hint="default" w:ascii="Times New Roman" w:hAnsi="Times New Roman" w:eastAsia="宋体" w:cs="Times New Roman"/>
                <w:color w:val="auto"/>
                <w:spacing w:val="-2"/>
                <w:highlight w:val="none"/>
              </w:rPr>
              <w:t>》（</w:t>
            </w:r>
            <w:r>
              <w:rPr>
                <w:rFonts w:hint="default" w:ascii="Times New Roman" w:hAnsi="Times New Roman" w:eastAsia="宋体" w:cs="Times New Roman"/>
                <w:color w:val="auto"/>
                <w:spacing w:val="-2"/>
                <w:highlight w:val="none"/>
                <w:lang w:val="en-US" w:eastAsia="zh-CN"/>
              </w:rPr>
              <w:t>污染影响类</w:t>
            </w:r>
            <w:r>
              <w:rPr>
                <w:rFonts w:hint="default" w:ascii="Times New Roman" w:hAnsi="Times New Roman" w:eastAsia="宋体" w:cs="Times New Roman"/>
                <w:color w:val="auto"/>
                <w:spacing w:val="-2"/>
                <w:highlight w:val="none"/>
              </w:rPr>
              <w:t>），当Q</w:t>
            </w:r>
            <w:r>
              <w:rPr>
                <w:rFonts w:hint="default" w:ascii="Times New Roman" w:hAnsi="Times New Roman" w:cs="Times New Roman"/>
                <w:color w:val="auto"/>
                <w:spacing w:val="-2"/>
                <w:highlight w:val="none"/>
                <w:lang w:val="en-US" w:eastAsia="zh-CN"/>
              </w:rPr>
              <w:t>&lt;</w:t>
            </w:r>
            <w:r>
              <w:rPr>
                <w:rFonts w:hint="default" w:ascii="Times New Roman" w:hAnsi="Times New Roman" w:eastAsia="宋体" w:cs="Times New Roman"/>
                <w:color w:val="auto"/>
                <w:spacing w:val="-2"/>
                <w:highlight w:val="none"/>
              </w:rPr>
              <w:t>1时，</w:t>
            </w:r>
            <w:r>
              <w:rPr>
                <w:rFonts w:hint="default" w:ascii="Times New Roman" w:hAnsi="Times New Roman" w:cs="Times New Roman"/>
                <w:color w:val="auto"/>
                <w:sz w:val="24"/>
                <w:szCs w:val="32"/>
                <w:highlight w:val="none"/>
                <w:lang w:val="en-US" w:eastAsia="zh-CN"/>
              </w:rPr>
              <w:t>项目环境风险潜势为Ⅰ</w:t>
            </w:r>
            <w:r>
              <w:rPr>
                <w:rFonts w:hint="default" w:ascii="Times New Roman" w:hAnsi="Times New Roman" w:eastAsia="宋体" w:cs="Times New Roman"/>
                <w:color w:val="auto"/>
                <w:spacing w:val="-2"/>
                <w:highlight w:val="none"/>
              </w:rPr>
              <w:t>。</w:t>
            </w:r>
          </w:p>
          <w:p w14:paraId="7BAF5541">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3、环境敏感目标调查</w:t>
            </w:r>
          </w:p>
          <w:p w14:paraId="2BD3E118">
            <w:pPr>
              <w:ind w:firstLine="480" w:firstLineChars="200"/>
              <w:jc w:val="left"/>
              <w:rPr>
                <w:rFonts w:hint="default" w:ascii="Times New Roman" w:hAnsi="Times New Roman" w:eastAsia="宋体" w:cs="Times New Roman"/>
                <w:color w:val="auto"/>
                <w:highlight w:val="none"/>
              </w:rPr>
            </w:pPr>
            <w:r>
              <w:rPr>
                <w:rFonts w:hint="default" w:ascii="Times New Roman" w:hAnsi="Times New Roman" w:cs="Times New Roman"/>
                <w:color w:val="auto"/>
                <w:kern w:val="0"/>
                <w:sz w:val="24"/>
                <w:szCs w:val="24"/>
                <w:highlight w:val="none"/>
                <w:lang w:val="en-US" w:eastAsia="zh-CN"/>
              </w:rPr>
              <w:t>本项目位于广东省乐昌市乐廊路六公里乐昌市产业转移园鸿图工艺厂房A2</w:t>
            </w:r>
            <w:r>
              <w:rPr>
                <w:rFonts w:hint="default" w:ascii="Times New Roman" w:hAnsi="Times New Roman" w:eastAsia="宋体" w:cs="Times New Roman"/>
                <w:color w:val="auto"/>
                <w:highlight w:val="none"/>
              </w:rPr>
              <w:t>，厂区四周为其他企业、园区公园、空地、山地，项目边界周围500m范围内无学校、医院、文物古迹、风景名胜区、自然保护区、水源保护区。本项目</w:t>
            </w:r>
            <w:r>
              <w:rPr>
                <w:rFonts w:hint="eastAsia" w:cs="Times New Roman"/>
                <w:color w:val="auto"/>
                <w:highlight w:val="none"/>
                <w:lang w:val="en-US" w:eastAsia="zh-CN"/>
              </w:rPr>
              <w:t>附近无</w:t>
            </w:r>
            <w:r>
              <w:rPr>
                <w:rFonts w:hint="default" w:ascii="Times New Roman" w:hAnsi="Times New Roman" w:eastAsia="宋体" w:cs="Times New Roman"/>
                <w:color w:val="auto"/>
                <w:highlight w:val="none"/>
              </w:rPr>
              <w:t>环境保护目标。</w:t>
            </w:r>
          </w:p>
          <w:p w14:paraId="19542862">
            <w:pPr>
              <w:keepNext/>
              <w:keepLines/>
              <w:numPr>
                <w:ilvl w:val="4"/>
                <w:numId w:val="0"/>
              </w:numPr>
              <w:spacing w:line="360" w:lineRule="auto"/>
              <w:ind w:firstLine="480" w:firstLineChars="200"/>
              <w:outlineLvl w:val="4"/>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4、环境风险</w:t>
            </w:r>
            <w:r>
              <w:rPr>
                <w:rFonts w:hint="default" w:ascii="Times New Roman" w:hAnsi="Times New Roman" w:cs="Times New Roman"/>
                <w:b/>
                <w:bCs/>
                <w:color w:val="auto"/>
                <w:sz w:val="24"/>
                <w:szCs w:val="24"/>
                <w:highlight w:val="none"/>
                <w:lang w:val="en-US" w:eastAsia="zh-CN" w:bidi="ar-SA"/>
              </w:rPr>
              <w:t>识别</w:t>
            </w:r>
          </w:p>
          <w:p w14:paraId="36EEC2ED">
            <w:pPr>
              <w:keepNext/>
              <w:keepLines/>
              <w:numPr>
                <w:ilvl w:val="4"/>
                <w:numId w:val="0"/>
              </w:numPr>
              <w:spacing w:line="360" w:lineRule="auto"/>
              <w:ind w:firstLine="480" w:firstLineChars="200"/>
              <w:outlineLvl w:val="4"/>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本项目风险物质储存量较小，未构成重大危险源，环境风险识别见下表。</w:t>
            </w:r>
          </w:p>
          <w:p w14:paraId="5C2E9422">
            <w:pPr>
              <w:pStyle w:val="17"/>
              <w:spacing w:line="360" w:lineRule="auto"/>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1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eastAsia" w:cs="Times New Roman"/>
                <w:color w:val="auto"/>
                <w:highlight w:val="none"/>
                <w:lang w:val="en-US" w:eastAsia="zh-CN"/>
              </w:rPr>
              <w:t>16</w:t>
            </w:r>
            <w:r>
              <w:rPr>
                <w:rFonts w:hint="default" w:ascii="Times New Roman" w:hAnsi="Times New Roman" w:cs="Times New Roman"/>
                <w:color w:val="auto"/>
                <w:highlight w:val="none"/>
              </w:rPr>
              <w:t>建设项目环境风险识别表</w:t>
            </w:r>
          </w:p>
          <w:tbl>
            <w:tblPr>
              <w:tblStyle w:val="44"/>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98"/>
              <w:gridCol w:w="1820"/>
              <w:gridCol w:w="1179"/>
              <w:gridCol w:w="1742"/>
              <w:gridCol w:w="2966"/>
            </w:tblGrid>
            <w:tr w14:paraId="0C1262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Align w:val="center"/>
                </w:tcPr>
                <w:p w14:paraId="79681D24">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事故起因</w:t>
                  </w:r>
                </w:p>
              </w:tc>
              <w:tc>
                <w:tcPr>
                  <w:tcW w:w="1045" w:type="pct"/>
                  <w:vAlign w:val="center"/>
                </w:tcPr>
                <w:p w14:paraId="401D85D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环境风险描述</w:t>
                  </w:r>
                </w:p>
              </w:tc>
              <w:tc>
                <w:tcPr>
                  <w:tcW w:w="677" w:type="pct"/>
                  <w:vAlign w:val="center"/>
                </w:tcPr>
                <w:p w14:paraId="5E4583D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危险物质</w:t>
                  </w:r>
                </w:p>
              </w:tc>
              <w:tc>
                <w:tcPr>
                  <w:tcW w:w="1000" w:type="pct"/>
                  <w:vAlign w:val="center"/>
                </w:tcPr>
                <w:p w14:paraId="14B71E89">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环境风险类型</w:t>
                  </w:r>
                </w:p>
              </w:tc>
              <w:tc>
                <w:tcPr>
                  <w:tcW w:w="1703" w:type="pct"/>
                  <w:vAlign w:val="center"/>
                </w:tcPr>
                <w:p w14:paraId="3670A36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环境影响途径</w:t>
                  </w:r>
                </w:p>
              </w:tc>
            </w:tr>
            <w:tr w14:paraId="0E2E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3" w:type="pct"/>
                  <w:vAlign w:val="center"/>
                </w:tcPr>
                <w:p w14:paraId="309274A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危险废物</w:t>
                  </w:r>
                </w:p>
                <w:p w14:paraId="3157541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泄漏</w:t>
                  </w:r>
                </w:p>
              </w:tc>
              <w:tc>
                <w:tcPr>
                  <w:tcW w:w="1045" w:type="pct"/>
                  <w:vAlign w:val="center"/>
                </w:tcPr>
                <w:p w14:paraId="26BEC90A">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泄漏危险废物污染地表水及地下水</w:t>
                  </w:r>
                </w:p>
              </w:tc>
              <w:tc>
                <w:tcPr>
                  <w:tcW w:w="677" w:type="pct"/>
                  <w:vAlign w:val="center"/>
                </w:tcPr>
                <w:p w14:paraId="1A2FE854">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危险废物</w:t>
                  </w:r>
                </w:p>
              </w:tc>
              <w:tc>
                <w:tcPr>
                  <w:tcW w:w="1000" w:type="pct"/>
                  <w:vAlign w:val="center"/>
                </w:tcPr>
                <w:p w14:paraId="727E5966">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rPr>
                    <w:t>水环境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地下水环境</w:t>
                  </w:r>
                </w:p>
              </w:tc>
              <w:tc>
                <w:tcPr>
                  <w:tcW w:w="1703" w:type="pct"/>
                  <w:vAlign w:val="center"/>
                </w:tcPr>
                <w:p w14:paraId="01060AA9">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通过雨水管排放到附近水体，影响内河涌水质，影响水生环境</w:t>
                  </w:r>
                </w:p>
              </w:tc>
            </w:tr>
            <w:tr w14:paraId="7CE4BB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Merge w:val="restart"/>
                  <w:vAlign w:val="center"/>
                </w:tcPr>
                <w:p w14:paraId="16EAD230">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火灾、爆炸</w:t>
                  </w:r>
                </w:p>
              </w:tc>
              <w:tc>
                <w:tcPr>
                  <w:tcW w:w="1045" w:type="pct"/>
                  <w:vAlign w:val="center"/>
                </w:tcPr>
                <w:p w14:paraId="78B0A69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燃烧烟尘及污染物污染周围大气环境</w:t>
                  </w:r>
                </w:p>
              </w:tc>
              <w:tc>
                <w:tcPr>
                  <w:tcW w:w="677" w:type="pct"/>
                  <w:vAlign w:val="center"/>
                </w:tcPr>
                <w:p w14:paraId="61A8F466">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CO、颗粒物</w:t>
                  </w:r>
                </w:p>
              </w:tc>
              <w:tc>
                <w:tcPr>
                  <w:tcW w:w="1000" w:type="pct"/>
                  <w:vAlign w:val="center"/>
                </w:tcPr>
                <w:p w14:paraId="682C4AC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703" w:type="pct"/>
                  <w:vAlign w:val="center"/>
                </w:tcPr>
                <w:p w14:paraId="5F292920">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通过燃烧烟气扩散，对周围大气环境造成短时污染</w:t>
                  </w:r>
                </w:p>
              </w:tc>
            </w:tr>
            <w:tr w14:paraId="30584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573" w:type="pct"/>
                  <w:vMerge w:val="continue"/>
                  <w:vAlign w:val="center"/>
                </w:tcPr>
                <w:p w14:paraId="3DF30291">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p>
              </w:tc>
              <w:tc>
                <w:tcPr>
                  <w:tcW w:w="1045" w:type="pct"/>
                  <w:vAlign w:val="center"/>
                </w:tcPr>
                <w:p w14:paraId="7416E227">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消防废水进入附近水体</w:t>
                  </w:r>
                </w:p>
              </w:tc>
              <w:tc>
                <w:tcPr>
                  <w:tcW w:w="677" w:type="pct"/>
                  <w:vAlign w:val="center"/>
                </w:tcPr>
                <w:p w14:paraId="011A871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COD</w:t>
                  </w:r>
                  <w:r>
                    <w:rPr>
                      <w:rFonts w:hint="default" w:ascii="Times New Roman" w:hAnsi="Times New Roman" w:cs="Times New Roman"/>
                      <w:color w:val="auto"/>
                      <w:sz w:val="21"/>
                      <w:szCs w:val="21"/>
                      <w:highlight w:val="none"/>
                      <w:lang w:val="en-US" w:eastAsia="zh-CN"/>
                    </w:rPr>
                    <w:t>cr、氨氮、SS</w:t>
                  </w:r>
                  <w:r>
                    <w:rPr>
                      <w:rFonts w:hint="default" w:ascii="Times New Roman" w:hAnsi="Times New Roman" w:cs="Times New Roman"/>
                      <w:color w:val="auto"/>
                      <w:sz w:val="21"/>
                      <w:szCs w:val="21"/>
                      <w:highlight w:val="none"/>
                      <w:lang w:eastAsia="zh-CN"/>
                    </w:rPr>
                    <w:t>等</w:t>
                  </w:r>
                </w:p>
              </w:tc>
              <w:tc>
                <w:tcPr>
                  <w:tcW w:w="1000" w:type="pct"/>
                  <w:vAlign w:val="center"/>
                </w:tcPr>
                <w:p w14:paraId="49DFC3BF">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地表</w:t>
                  </w:r>
                  <w:r>
                    <w:rPr>
                      <w:rFonts w:hint="default" w:ascii="Times New Roman" w:hAnsi="Times New Roman" w:eastAsia="宋体" w:cs="Times New Roman"/>
                      <w:color w:val="auto"/>
                      <w:sz w:val="21"/>
                      <w:szCs w:val="21"/>
                      <w:highlight w:val="none"/>
                    </w:rPr>
                    <w:t>水环境</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地下水环境</w:t>
                  </w:r>
                </w:p>
              </w:tc>
              <w:tc>
                <w:tcPr>
                  <w:tcW w:w="1703" w:type="pct"/>
                  <w:vAlign w:val="center"/>
                </w:tcPr>
                <w:p w14:paraId="5C193F5D">
                  <w:pPr>
                    <w:pStyle w:val="115"/>
                    <w:keepNext w:val="0"/>
                    <w:keepLines w:val="0"/>
                    <w:pageBreakBefore w:val="0"/>
                    <w:widowControl w:val="0"/>
                    <w:kinsoku/>
                    <w:wordWrap/>
                    <w:overflowPunct/>
                    <w:topLinePunct w:val="0"/>
                    <w:autoSpaceDE w:val="0"/>
                    <w:autoSpaceDN w:val="0"/>
                    <w:bidi w:val="0"/>
                    <w:adjustRightInd/>
                    <w:snapToGrid/>
                    <w:spacing w:before="20" w:after="2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通过雨水管对附近内河涌水质造成影响</w:t>
                  </w:r>
                </w:p>
              </w:tc>
            </w:tr>
          </w:tbl>
          <w:p w14:paraId="174BD826">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5、环境风险分析</w:t>
            </w:r>
          </w:p>
          <w:p w14:paraId="5A56087A">
            <w:pPr>
              <w:pStyle w:val="11"/>
              <w:numPr>
                <w:ilvl w:val="0"/>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（1）大气环境风险分析</w:t>
            </w:r>
          </w:p>
          <w:p w14:paraId="1E754E85">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物料在运输、装卸、储存和使用过程中发生泄漏、火灾，有毒有害物质在高温情况下散发到空气中，泄漏的物料、物料燃烧产生的次生污染物如烟尘、CO等将对周边的环境空气带来较为严重的污染甚至对人群健康造成危害。</w:t>
            </w:r>
          </w:p>
          <w:p w14:paraId="41B960F9">
            <w:pPr>
              <w:pStyle w:val="11"/>
              <w:numPr>
                <w:ilvl w:val="0"/>
                <w:numId w:val="0"/>
              </w:num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（2）地表水、地下水环境风险分析</w:t>
            </w:r>
          </w:p>
          <w:p w14:paraId="638EF38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液态有毒有害物质经地表径流或雨水管进入周边水体，或通过地表下渗污染地下水水质，严重污染河涌、水道水质，比如，液态有毒有害物质在运输、装卸、储存和使用过程中发生泄漏，危废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间防渗层损坏等，对地表水、地下水环境带来较为严重的污染。本项目</w:t>
            </w:r>
            <w:r>
              <w:rPr>
                <w:rFonts w:hint="default" w:ascii="Times New Roman" w:hAnsi="Times New Roman" w:cs="Times New Roman"/>
                <w:color w:val="auto"/>
                <w:highlight w:val="none"/>
                <w:lang w:eastAsia="zh-CN"/>
              </w:rPr>
              <w:t>机油</w:t>
            </w:r>
            <w:r>
              <w:rPr>
                <w:rFonts w:hint="default" w:ascii="Times New Roman" w:hAnsi="Times New Roman" w:cs="Times New Roman"/>
                <w:color w:val="auto"/>
                <w:highlight w:val="none"/>
              </w:rPr>
              <w:t>使用量较少，不使用时密闭封存，本项目厂区内均已进行地面硬化，因此不存在地表水、地下水环境污染途径。</w:t>
            </w:r>
          </w:p>
          <w:p w14:paraId="17845662">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6、环境风险防范措施及应急要求</w:t>
            </w:r>
          </w:p>
          <w:p w14:paraId="49323641">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①</w:t>
            </w:r>
            <w:r>
              <w:rPr>
                <w:rFonts w:hint="default" w:ascii="Times New Roman" w:hAnsi="Times New Roman" w:cs="Times New Roman"/>
                <w:color w:val="auto"/>
                <w:highlight w:val="none"/>
              </w:rPr>
              <w:t>严格执行应急管理、消防等相关规范，从总图布置和建筑安全方面进行风险防范，预留疏散通道或安置场所。</w:t>
            </w:r>
          </w:p>
          <w:p w14:paraId="23021977">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②</w:t>
            </w:r>
            <w:r>
              <w:rPr>
                <w:rFonts w:hint="default" w:ascii="Times New Roman" w:hAnsi="Times New Roman" w:cs="Times New Roman"/>
                <w:color w:val="auto"/>
                <w:highlight w:val="none"/>
              </w:rPr>
              <w:t>从优化改进生产工艺、减少储存量、改善储存条件等方面降低风险程度。</w:t>
            </w:r>
          </w:p>
          <w:p w14:paraId="13FB2B57">
            <w:pPr>
              <w:pStyle w:val="12"/>
              <w:numPr>
                <w:ilvl w:val="5"/>
                <w:numId w:val="0"/>
              </w:numPr>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③</w:t>
            </w:r>
            <w:r>
              <w:rPr>
                <w:rFonts w:hint="default" w:ascii="Times New Roman" w:hAnsi="Times New Roman" w:cs="Times New Roman"/>
                <w:color w:val="auto"/>
                <w:highlight w:val="none"/>
              </w:rPr>
              <w:t>加强日常管理，降低管理失误而出现的风险事故，提高员工规范性操作水平，减少误操作引发的风险事故。</w:t>
            </w:r>
          </w:p>
          <w:p w14:paraId="14B8FFB0">
            <w:pPr>
              <w:pStyle w:val="39"/>
              <w:spacing w:after="0" w:line="360" w:lineRule="auto"/>
              <w:ind w:firstLine="482"/>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w:t>④</w:t>
            </w:r>
            <w:r>
              <w:rPr>
                <w:rFonts w:hint="default" w:ascii="Times New Roman" w:hAnsi="Times New Roman" w:cs="Times New Roman"/>
                <w:color w:val="auto"/>
                <w:highlight w:val="none"/>
              </w:rPr>
              <w:t>根据贮存的相关要求进行贮存、使用，设置满足要求的围堰区。遵循“源头控制，分区防渗”的原则，做好仓库、车间、危废暂存间的防渗措施，满足相应标准要求。危废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间在建筑物内部，达到防风防雨防晒要求，地面硬化并刷环氧树脂漆防渗，四周设置围堰，满足四防要求。</w:t>
            </w:r>
          </w:p>
          <w:p w14:paraId="62F7CD8D">
            <w:pPr>
              <w:pStyle w:val="39"/>
              <w:spacing w:after="0" w:line="360" w:lineRule="auto"/>
              <w:ind w:firstLine="482"/>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⑤事故应急池：</w:t>
            </w:r>
          </w:p>
          <w:p w14:paraId="06A9DC3A">
            <w:pPr>
              <w:pStyle w:val="39"/>
              <w:spacing w:after="0" w:line="360" w:lineRule="auto"/>
              <w:ind w:firstLine="482"/>
              <w:rPr>
                <w:rFonts w:hint="default" w:ascii="Times New Roman" w:hAnsi="Times New Roman" w:eastAsia="宋体" w:cs="Times New Roman"/>
                <w:color w:val="auto"/>
                <w:spacing w:val="-1"/>
                <w:sz w:val="24"/>
                <w:szCs w:val="24"/>
                <w:lang w:val="en-US" w:eastAsia="zh-CN"/>
              </w:rPr>
            </w:pPr>
            <w:r>
              <w:rPr>
                <w:rFonts w:hint="eastAsia" w:cs="Times New Roman"/>
                <w:color w:val="auto"/>
                <w:spacing w:val="-1"/>
                <w:sz w:val="24"/>
                <w:szCs w:val="24"/>
                <w:lang w:val="en-US" w:eastAsia="zh-CN"/>
              </w:rPr>
              <w:t>根据生态环境主管部门要求，本项目需设置事故应急池。</w:t>
            </w:r>
          </w:p>
          <w:p w14:paraId="2AACE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事故应急池容积计算参考《事故状态下水体污染的预防与控制技术要求》（Q/SY 1190-2013）的规定进行核算。</w:t>
            </w:r>
          </w:p>
          <w:p w14:paraId="2C2AE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vertAlign w:val="subscript"/>
              </w:rPr>
              <w:t>max</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p>
          <w:p w14:paraId="77BC0D3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—收集系统范围内发生事故的一个罐组或一套装置的物料量。</w:t>
            </w:r>
          </w:p>
          <w:p w14:paraId="0993741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项目所用化学品、原辅材料等不使用时封闭储存于化学品仓或原料仓中，化学品仓和危废间已做好防渗措施，</w:t>
            </w:r>
            <w:r>
              <w:rPr>
                <w:rFonts w:hint="default" w:ascii="Times New Roman" w:hAnsi="Times New Roman" w:cs="Times New Roman"/>
                <w:color w:val="auto"/>
                <w:sz w:val="24"/>
                <w:szCs w:val="24"/>
                <w:highlight w:val="none"/>
                <w:lang w:val="en-US" w:eastAsia="zh-CN"/>
              </w:rPr>
              <w:t>取各构筑物内最大一个液态物料储存容器的容积，本项目</w:t>
            </w:r>
            <w:r>
              <w:rPr>
                <w:rFonts w:hint="eastAsia" w:cs="Times New Roman"/>
                <w:color w:val="auto"/>
                <w:sz w:val="24"/>
                <w:szCs w:val="24"/>
                <w:highlight w:val="none"/>
                <w:lang w:val="en-US" w:eastAsia="zh-CN"/>
              </w:rPr>
              <w:t>不涉及液体物理</w:t>
            </w:r>
            <w:r>
              <w:rPr>
                <w:rFonts w:hint="default" w:ascii="Times New Roman" w:hAnsi="Times New Roman" w:cs="Times New Roman"/>
                <w:color w:val="auto"/>
                <w:sz w:val="24"/>
                <w:szCs w:val="24"/>
                <w:highlight w:val="none"/>
                <w:vertAlign w:val="baseline"/>
                <w:lang w:val="en-US" w:eastAsia="zh-CN"/>
              </w:rPr>
              <w:t>，即</w:t>
            </w:r>
            <w:r>
              <w:rPr>
                <w:rFonts w:hint="default" w:ascii="Times New Roman" w:hAnsi="Times New Roman" w:cs="Times New Roman"/>
                <w:color w:val="auto"/>
                <w:sz w:val="24"/>
                <w:szCs w:val="24"/>
                <w:highlight w:val="none"/>
                <w:lang w:eastAsia="zh-CN"/>
              </w:rPr>
              <w:t>V</w:t>
            </w:r>
            <w:r>
              <w:rPr>
                <w:rFonts w:hint="default" w:ascii="Times New Roman" w:hAnsi="Times New Roman" w:cs="Times New Roman"/>
                <w:color w:val="auto"/>
                <w:sz w:val="24"/>
                <w:szCs w:val="24"/>
                <w:highlight w:val="none"/>
                <w:vertAlign w:val="subscript"/>
                <w:lang w:val="en-US" w:eastAsia="zh-CN"/>
              </w:rPr>
              <w:t>1</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22F4E1BB">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—发生事故的储罐或装置的消防水量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0F275A78">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根据《消防给水及消火栓系统技术规范》（GB50974-2014），“1 工厂、堆场和储罐区等，当占地面积小于等于 100hm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，且附有居住区人数小于等于 1.5 万人时，同一时间内的火灾起数应按 1 起确定”，因此，确定项目同一时间内的火灾起数为 1，按最不利原则，建筑面积最大的生产楼火灾事故计。</w:t>
            </w:r>
          </w:p>
          <w:p w14:paraId="57BDB611">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本项目生产楼总高度约为</w:t>
            </w:r>
            <w:r>
              <w:rPr>
                <w:rFonts w:hint="eastAsia" w:asci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m，占地面积为</w:t>
            </w:r>
            <w:r>
              <w:rPr>
                <w:rFonts w:hint="eastAsia" w:ascii="Times New Roman" w:eastAsia="宋体" w:cs="Times New Roman"/>
                <w:color w:val="auto"/>
                <w:sz w:val="24"/>
                <w:szCs w:val="24"/>
                <w:highlight w:val="none"/>
                <w:lang w:val="en-US" w:eastAsia="zh-CN"/>
              </w:rPr>
              <w:t>3420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，建筑体积为</w:t>
            </w:r>
            <w:r>
              <w:rPr>
                <w:rFonts w:hint="eastAsia" w:ascii="Times New Roman" w:eastAsia="宋体" w:cs="Times New Roman"/>
                <w:color w:val="auto"/>
                <w:sz w:val="24"/>
                <w:szCs w:val="24"/>
                <w:highlight w:val="none"/>
                <w:lang w:val="en-US" w:eastAsia="zh-CN"/>
              </w:rPr>
              <w:t>27360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。根据《消防给水及消防栓系统技术规范》（GB50974-2014）表 3.6.2，本项目厂房为</w:t>
            </w:r>
            <w:r>
              <w:rPr>
                <w:rFonts w:hint="eastAsia" w:ascii="Times New Roman" w:eastAsia="宋体" w:cs="Times New Roman"/>
                <w:color w:val="auto"/>
                <w:sz w:val="24"/>
                <w:szCs w:val="24"/>
                <w:highlight w:val="none"/>
                <w:lang w:val="en-US" w:eastAsia="zh-CN"/>
              </w:rPr>
              <w:t>丁</w:t>
            </w:r>
            <w:r>
              <w:rPr>
                <w:rFonts w:hint="default" w:ascii="Times New Roman" w:hAnsi="Times New Roman" w:eastAsia="宋体" w:cs="Times New Roman"/>
                <w:color w:val="auto"/>
                <w:sz w:val="24"/>
                <w:szCs w:val="24"/>
                <w:highlight w:val="none"/>
                <w:lang w:val="en-US" w:eastAsia="zh-CN"/>
              </w:rPr>
              <w:t xml:space="preserve">类厂房的火灾延续时间按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h 计，根据消防用水量计算值，室外消防栓设计流量为 </w:t>
            </w:r>
            <w:r>
              <w:rPr>
                <w:rFonts w:hint="eastAsia" w:asci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 xml:space="preserve">L/s，火灾延续时间为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小时；室内消防栓设计流量为25L/s，火灾延续时间为 3 小时，V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（室外）=20/1000*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*3600=</w:t>
            </w:r>
            <w:r>
              <w:rPr>
                <w:rFonts w:hint="eastAsia" w:ascii="Times New Roman" w:eastAsia="宋体" w:cs="Times New Roman"/>
                <w:color w:val="auto"/>
                <w:sz w:val="24"/>
                <w:szCs w:val="24"/>
                <w:highlight w:val="none"/>
                <w:lang w:val="en-US" w:eastAsia="zh-CN"/>
              </w:rPr>
              <w:t>216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（室内）25/1000*3600*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r>
              <w:rPr>
                <w:rFonts w:hint="eastAsia" w:asci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216+270=486</w:t>
            </w:r>
            <w:r>
              <w:rPr>
                <w:rFonts w:hint="default" w:ascii="Times New Roman" w:hAnsi="Times New Roman" w:cs="Times New Roman"/>
                <w:color w:val="auto"/>
                <w:sz w:val="24"/>
                <w:szCs w:val="24"/>
                <w:highlight w:val="none"/>
                <w:lang w:eastAsia="zh-CN"/>
              </w:rPr>
              <w:t>m</w:t>
            </w:r>
            <w:r>
              <w:rPr>
                <w:rFonts w:hint="default" w:ascii="Times New Roman" w:hAnsi="Times New Roman" w:cs="Times New Roman"/>
                <w:color w:val="auto"/>
                <w:sz w:val="24"/>
                <w:szCs w:val="24"/>
                <w:highlight w:val="none"/>
                <w:vertAlign w:val="superscript"/>
                <w:lang w:eastAsia="zh-CN"/>
              </w:rPr>
              <w:t>3</w:t>
            </w:r>
            <w:r>
              <w:rPr>
                <w:rFonts w:hint="eastAsia" w:ascii="Times New Roman" w:cs="Times New Roman"/>
                <w:color w:val="auto"/>
                <w:sz w:val="24"/>
                <w:szCs w:val="24"/>
                <w:highlight w:val="none"/>
                <w:lang w:val="en-US" w:eastAsia="zh-CN"/>
              </w:rPr>
              <w:t>。</w:t>
            </w:r>
          </w:p>
          <w:p w14:paraId="271E0C55">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—发生事故时可以转输到其他储存或处理设施的物料量，m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；①本项目生产车间设缓坡的方式对消防废水进行暂存，合计面积约</w:t>
            </w:r>
            <w:r>
              <w:rPr>
                <w:rFonts w:hint="eastAsia" w:ascii="Times New Roman" w:eastAsia="宋体" w:cs="Times New Roman"/>
                <w:color w:val="auto"/>
                <w:sz w:val="24"/>
                <w:szCs w:val="24"/>
                <w:highlight w:val="none"/>
                <w:lang w:val="en-US" w:eastAsia="zh-CN"/>
              </w:rPr>
              <w:t>3420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，取 80%为有效暂存面积（即</w:t>
            </w:r>
            <w:r>
              <w:rPr>
                <w:rFonts w:hint="eastAsia" w:ascii="Times New Roman" w:eastAsia="宋体" w:cs="Times New Roman"/>
                <w:color w:val="auto"/>
                <w:sz w:val="24"/>
                <w:szCs w:val="24"/>
                <w:highlight w:val="none"/>
                <w:lang w:val="en-US" w:eastAsia="zh-CN"/>
              </w:rPr>
              <w:t>2736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），缓坡高度为 10cm，则可容纳废水量约为</w:t>
            </w:r>
            <w:r>
              <w:rPr>
                <w:rFonts w:hint="eastAsia" w:ascii="Times New Roman" w:eastAsia="宋体" w:cs="Times New Roman"/>
                <w:color w:val="auto"/>
                <w:sz w:val="24"/>
                <w:szCs w:val="24"/>
                <w:highlight w:val="none"/>
                <w:lang w:val="en-US" w:eastAsia="zh-CN"/>
              </w:rPr>
              <w:t>273.6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lang w:val="en-US" w:eastAsia="zh-CN"/>
              </w:rPr>
              <w:t>本项目V</w:t>
            </w:r>
            <w:r>
              <w:rPr>
                <w:rFonts w:hint="default" w:ascii="Times New Roman" w:hAnsi="Times New Roman" w:cs="Times New Roman"/>
                <w:color w:val="auto"/>
                <w:kern w:val="0"/>
                <w:sz w:val="24"/>
                <w:szCs w:val="24"/>
                <w:highlight w:val="none"/>
                <w:vertAlign w:val="subscript"/>
                <w:lang w:val="en-US" w:eastAsia="zh-CN"/>
              </w:rPr>
              <w:t>3</w:t>
            </w:r>
            <w:r>
              <w:rPr>
                <w:rFonts w:hint="default" w:ascii="Times New Roman" w:hAnsi="Times New Roman" w:cs="Times New Roman"/>
                <w:color w:val="auto"/>
                <w:kern w:val="0"/>
                <w:sz w:val="24"/>
                <w:szCs w:val="24"/>
                <w:highlight w:val="none"/>
                <w:lang w:val="en-US" w:eastAsia="zh-CN"/>
              </w:rPr>
              <w:t>=</w:t>
            </w:r>
            <w:r>
              <w:rPr>
                <w:rFonts w:hint="eastAsia" w:ascii="Times New Roman" w:cs="Times New Roman"/>
                <w:color w:val="auto"/>
                <w:kern w:val="0"/>
                <w:sz w:val="24"/>
                <w:szCs w:val="24"/>
                <w:highlight w:val="none"/>
                <w:lang w:val="en-US" w:eastAsia="zh-CN"/>
              </w:rPr>
              <w:t>273.6</w:t>
            </w:r>
            <w:r>
              <w:rPr>
                <w:rFonts w:hint="default" w:ascii="Times New Roman" w:hAnsi="Times New Roman" w:cs="Times New Roman"/>
                <w:color w:val="auto"/>
                <w:kern w:val="0"/>
                <w:sz w:val="24"/>
                <w:szCs w:val="24"/>
                <w:highlight w:val="none"/>
                <w:lang w:val="en-US" w:eastAsia="zh-CN"/>
              </w:rPr>
              <w:t>m</w:t>
            </w:r>
            <w:r>
              <w:rPr>
                <w:rFonts w:hint="default"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vertAlign w:val="baseline"/>
                <w:lang w:val="en-US" w:eastAsia="zh-CN"/>
              </w:rPr>
              <w:t>。</w:t>
            </w:r>
          </w:p>
          <w:p w14:paraId="0186F9F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—发生事故时仍必须进入该收集系统的生产废水量，m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本项目无生产废水产生</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故</w:t>
            </w:r>
            <w:r>
              <w:rPr>
                <w:rFonts w:hint="default" w:ascii="Times New Roman" w:hAnsi="Times New Roman" w:cs="Times New Roman"/>
                <w:color w:val="auto"/>
                <w:sz w:val="24"/>
                <w:szCs w:val="24"/>
                <w:highlight w:val="none"/>
                <w:lang w:val="en-US" w:eastAsia="zh-CN"/>
              </w:rPr>
              <w:t>V</w:t>
            </w:r>
            <w:r>
              <w:rPr>
                <w:rFonts w:hint="default" w:ascii="Times New Roman" w:hAnsi="Times New Roman" w:cs="Times New Roman"/>
                <w:color w:val="auto"/>
                <w:sz w:val="24"/>
                <w:szCs w:val="24"/>
                <w:highlight w:val="none"/>
                <w:vertAlign w:val="subscript"/>
                <w:lang w:val="en-US" w:eastAsia="zh-CN"/>
              </w:rPr>
              <w:t>4</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122B953B">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—发生事故时可能进入该收集系统的降雨量，m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6DFE7C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V</w:t>
            </w:r>
            <w:r>
              <w:rPr>
                <w:rFonts w:hint="default" w:ascii="Times New Roman" w:hAnsi="Times New Roman" w:eastAsia="宋体" w:cs="Times New Roman"/>
                <w:color w:val="auto"/>
                <w:kern w:val="0"/>
                <w:sz w:val="24"/>
                <w:szCs w:val="24"/>
                <w:highlight w:val="none"/>
                <w:vertAlign w:val="subscript"/>
              </w:rPr>
              <w:t>5</w:t>
            </w:r>
            <w:r>
              <w:rPr>
                <w:rFonts w:hint="default" w:ascii="Times New Roman" w:hAnsi="Times New Roman" w:eastAsia="宋体" w:cs="Times New Roman"/>
                <w:color w:val="auto"/>
                <w:kern w:val="0"/>
                <w:sz w:val="24"/>
                <w:szCs w:val="24"/>
                <w:highlight w:val="none"/>
              </w:rPr>
              <w:t>=10qF</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p>
          <w:p w14:paraId="33A98E4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q——降雨强度，按平均日降雨量</w:t>
            </w:r>
            <w:r>
              <w:rPr>
                <w:rFonts w:hint="default" w:ascii="Times New Roman" w:hAnsi="Times New Roman" w:eastAsia="宋体" w:cs="Times New Roman"/>
                <w:color w:val="auto"/>
                <w:kern w:val="0"/>
                <w:sz w:val="24"/>
                <w:szCs w:val="24"/>
                <w:highlight w:val="none"/>
                <w:lang w:eastAsia="zh-CN"/>
              </w:rPr>
              <w:t>，mm；</w:t>
            </w: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rPr>
              <w:t>《水体污染防控紧急措施设计导则》，降雨强度按一年内降雨天数内的平均日降雨强度计</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q=q</w:t>
            </w:r>
            <w:r>
              <w:rPr>
                <w:rFonts w:hint="default" w:ascii="Times New Roman" w:hAnsi="Times New Roman" w:eastAsia="宋体" w:cs="Times New Roman"/>
                <w:color w:val="auto"/>
                <w:kern w:val="0"/>
                <w:sz w:val="24"/>
                <w:szCs w:val="24"/>
                <w:highlight w:val="none"/>
                <w:vertAlign w:val="subscript"/>
                <w:lang w:val="en-US" w:eastAsia="zh-CN"/>
              </w:rPr>
              <w:t>a</w:t>
            </w:r>
            <w:r>
              <w:rPr>
                <w:rFonts w:hint="default" w:ascii="Times New Roman" w:hAnsi="Times New Roman" w:eastAsia="宋体" w:cs="Times New Roman"/>
                <w:color w:val="auto"/>
                <w:kern w:val="0"/>
                <w:sz w:val="24"/>
                <w:szCs w:val="24"/>
                <w:highlight w:val="none"/>
                <w:lang w:val="en-US" w:eastAsia="zh-CN"/>
              </w:rPr>
              <w:t>/n；</w:t>
            </w:r>
          </w:p>
          <w:p w14:paraId="349FC9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qa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年平均降雨量，mm；</w:t>
            </w:r>
          </w:p>
          <w:p w14:paraId="3F421C2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n</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年平均降雨天数；</w:t>
            </w:r>
          </w:p>
          <w:p w14:paraId="16289E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F——必须进入事故废水收集系统的雨水汇水面积，ha；</w:t>
            </w:r>
          </w:p>
          <w:p w14:paraId="2014D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径流系数，取0.9。</w:t>
            </w:r>
          </w:p>
          <w:p w14:paraId="748F9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可查询乐昌市生态环境状况公开数据</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乐昌市全市多年平均降雨量在1300</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1550毫米之间，雨水多集中在4~6月。2023年全市一般年平均降雨量1531.9毫米，降雨天数为145天，本项目以此作为计算依据，</w:t>
            </w:r>
            <w:r>
              <w:rPr>
                <w:rFonts w:hint="eastAsia" w:cs="Times New Roman"/>
                <w:color w:val="auto"/>
                <w:kern w:val="0"/>
                <w:sz w:val="24"/>
                <w:szCs w:val="24"/>
                <w:highlight w:val="none"/>
                <w:lang w:val="en-US" w:eastAsia="zh-CN"/>
              </w:rPr>
              <w:t>项目已实施雨污分流，项目所有原辅材料和物料均存放在车间内，厂区外不设置物料暂存堆放区。本项目有屋面的雨水通过单独的管道进入雨水管网，事故时通过屋面的雨水未被污染，因此本次不计屋面面积，则V</w:t>
            </w:r>
            <w:r>
              <w:rPr>
                <w:rFonts w:hint="eastAsia" w:cs="Times New Roman"/>
                <w:color w:val="auto"/>
                <w:kern w:val="0"/>
                <w:sz w:val="24"/>
                <w:szCs w:val="24"/>
                <w:highlight w:val="none"/>
                <w:vertAlign w:val="subscript"/>
                <w:lang w:val="en-US" w:eastAsia="zh-CN"/>
              </w:rPr>
              <w:t>5</w:t>
            </w:r>
            <w:r>
              <w:rPr>
                <w:rFonts w:hint="eastAsia" w:cs="Times New Roman"/>
                <w:color w:val="auto"/>
                <w:kern w:val="0"/>
                <w:sz w:val="24"/>
                <w:szCs w:val="24"/>
                <w:highlight w:val="none"/>
                <w:lang w:val="en-US" w:eastAsia="zh-CN"/>
              </w:rPr>
              <w:t>≈0m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w:t>
            </w:r>
          </w:p>
          <w:p w14:paraId="5DDE56F1">
            <w:pPr>
              <w:pStyle w:val="28"/>
              <w:spacing w:line="360" w:lineRule="auto"/>
              <w:ind w:firstLine="480" w:firstLineChars="20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综上，</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486-</w:t>
            </w:r>
            <w:r>
              <w:rPr>
                <w:rFonts w:hint="eastAsia" w:ascii="Times New Roman" w:hAnsi="Times New Roman" w:cs="Times New Roman"/>
                <w:color w:val="auto"/>
                <w:sz w:val="24"/>
                <w:szCs w:val="24"/>
                <w:highlight w:val="none"/>
                <w:lang w:val="en-US" w:eastAsia="zh-CN"/>
              </w:rPr>
              <w:t>273.6</w:t>
            </w:r>
            <w:r>
              <w:rPr>
                <w:rFonts w:hint="default" w:ascii="Times New Roman" w:hAnsi="Times New Roman" w:cs="Times New Roman"/>
                <w:color w:val="auto"/>
                <w:sz w:val="24"/>
                <w:szCs w:val="24"/>
                <w:highlight w:val="none"/>
                <w:lang w:val="en-US" w:eastAsia="zh-CN"/>
              </w:rPr>
              <w:t>）max=212.4。</w:t>
            </w:r>
            <w:r>
              <w:rPr>
                <w:rFonts w:hint="default" w:ascii="Times New Roman" w:hAnsi="Times New Roman" w:eastAsia="宋体" w:cs="Times New Roman"/>
                <w:color w:val="auto"/>
                <w:sz w:val="24"/>
                <w:szCs w:val="24"/>
                <w:highlight w:val="none"/>
              </w:rPr>
              <w:t>为满足消防或其他事故时废水收集需要，</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所需的事故储存设施总有效容积V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212.4</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212.4</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rPr>
              <w:t>。</w:t>
            </w:r>
          </w:p>
          <w:p w14:paraId="248AF011">
            <w:pPr>
              <w:pStyle w:val="28"/>
              <w:spacing w:line="360" w:lineRule="auto"/>
              <w:ind w:firstLine="480" w:firstLineChars="200"/>
              <w:rPr>
                <w:color w:val="auto"/>
              </w:rPr>
            </w:pPr>
            <w:r>
              <w:rPr>
                <w:rFonts w:hint="default" w:ascii="Times New Roman" w:hAnsi="Times New Roman" w:cs="Times New Roman"/>
                <w:b w:val="0"/>
                <w:bCs w:val="0"/>
                <w:color w:val="auto"/>
                <w:sz w:val="24"/>
                <w:szCs w:val="24"/>
                <w:highlight w:val="none"/>
              </w:rPr>
              <w:t>本项目事故废水依托自建事故应急池，厂区设有1个有效容积为</w:t>
            </w:r>
            <w:r>
              <w:rPr>
                <w:rFonts w:hint="default" w:ascii="Times New Roman" w:hAnsi="Times New Roman" w:cs="Times New Roman"/>
                <w:b w:val="0"/>
                <w:bCs w:val="0"/>
                <w:color w:val="auto"/>
                <w:sz w:val="24"/>
                <w:szCs w:val="24"/>
                <w:highlight w:val="none"/>
                <w:lang w:val="en-US" w:eastAsia="zh-CN"/>
              </w:rPr>
              <w:t>220</w:t>
            </w:r>
            <w:r>
              <w:rPr>
                <w:rFonts w:hint="default" w:ascii="Times New Roman" w:hAnsi="Times New Roman" w:cs="Times New Roman"/>
                <w:b w:val="0"/>
                <w:bCs w:val="0"/>
                <w:color w:val="auto"/>
                <w:sz w:val="24"/>
                <w:szCs w:val="24"/>
                <w:highlight w:val="none"/>
              </w:rPr>
              <w:t>m</w:t>
            </w:r>
            <w:r>
              <w:rPr>
                <w:rFonts w:hint="default" w:ascii="Times New Roman" w:hAnsi="Times New Roman" w:cs="Times New Roman"/>
                <w:b w:val="0"/>
                <w:bCs w:val="0"/>
                <w:color w:val="auto"/>
                <w:sz w:val="24"/>
                <w:szCs w:val="24"/>
                <w:highlight w:val="none"/>
                <w:vertAlign w:val="superscript"/>
              </w:rPr>
              <w:t>3</w:t>
            </w:r>
            <w:r>
              <w:rPr>
                <w:rFonts w:hint="default" w:ascii="Times New Roman" w:hAnsi="Times New Roman" w:cs="Times New Roman"/>
                <w:b w:val="0"/>
                <w:bCs w:val="0"/>
                <w:color w:val="auto"/>
                <w:sz w:val="24"/>
                <w:szCs w:val="24"/>
                <w:highlight w:val="none"/>
              </w:rPr>
              <w:t>的事故应急池</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且本项目厂房设有围堰及沙包等应急措施及物资。当发生事故时，泄漏物料、消防废水等事故废水均能截留在厂区内。园区定期对事故应急系统进行排查，发现存在问题，马上进行检修，确保事故时能有效运行</w:t>
            </w:r>
            <w:r>
              <w:rPr>
                <w:rFonts w:hint="default" w:ascii="Times New Roman" w:hAnsi="Times New Roman" w:cs="Times New Roman"/>
                <w:b w:val="0"/>
                <w:bCs w:val="0"/>
                <w:color w:val="auto"/>
                <w:sz w:val="24"/>
                <w:szCs w:val="24"/>
                <w:highlight w:val="none"/>
                <w:lang w:eastAsia="zh-CN"/>
              </w:rPr>
              <w:t>。</w:t>
            </w:r>
          </w:p>
          <w:p w14:paraId="3163B4FF">
            <w:pPr>
              <w:pStyle w:val="10"/>
              <w:numPr>
                <w:ilvl w:val="0"/>
                <w:numId w:val="0"/>
              </w:numPr>
              <w:ind w:left="480" w:leftChars="200"/>
              <w:rPr>
                <w:rFonts w:hint="default" w:ascii="Times New Roman" w:hAnsi="Times New Roman" w:cs="Times New Roman"/>
                <w:color w:val="auto"/>
                <w:highlight w:val="none"/>
              </w:rPr>
            </w:pPr>
            <w:r>
              <w:rPr>
                <w:rFonts w:hint="default" w:ascii="Times New Roman" w:hAnsi="Times New Roman" w:cs="Times New Roman"/>
                <w:color w:val="auto"/>
                <w:highlight w:val="none"/>
              </w:rPr>
              <w:t>7、环境风险分析小结与建议</w:t>
            </w:r>
          </w:p>
          <w:p w14:paraId="502D5FA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的风险物质数量较少，泄漏、火灾、爆炸等事故发生概率较低，物质泄漏、火灾、爆炸等事故下引发的伴生/次生污染物排放的风险隐患较低，环境风险潜势为Ⅰ，在落实上述防范措施后，生产过程的环境风险总体可控。</w:t>
            </w:r>
          </w:p>
          <w:p w14:paraId="78E08A8D">
            <w:pPr>
              <w:keepNext/>
              <w:keepLines/>
              <w:tabs>
                <w:tab w:val="left" w:pos="0"/>
              </w:tabs>
              <w:ind w:left="478"/>
              <w:outlineLvl w:val="2"/>
              <w:rPr>
                <w:rFonts w:hint="default" w:ascii="Times New Roman" w:hAnsi="Times New Roman" w:cs="Times New Roman"/>
                <w:b/>
                <w:bCs/>
                <w:color w:val="auto"/>
                <w:highlight w:val="none"/>
              </w:rPr>
            </w:pPr>
            <w:r>
              <w:rPr>
                <w:rFonts w:hint="eastAsia" w:cs="Times New Roman"/>
                <w:b/>
                <w:bCs/>
                <w:color w:val="auto"/>
                <w:highlight w:val="none"/>
                <w:lang w:val="en-US" w:eastAsia="zh-CN"/>
              </w:rPr>
              <w:t>8</w:t>
            </w:r>
            <w:r>
              <w:rPr>
                <w:rFonts w:hint="default" w:ascii="Times New Roman" w:hAnsi="Times New Roman" w:cs="Times New Roman"/>
                <w:b/>
                <w:bCs/>
                <w:color w:val="auto"/>
                <w:highlight w:val="none"/>
              </w:rPr>
              <w:t>、电磁辐射环境</w:t>
            </w:r>
          </w:p>
          <w:p w14:paraId="72E29C41">
            <w:pPr>
              <w:pStyle w:val="21"/>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本项目不存在电磁辐射影响。</w:t>
            </w:r>
          </w:p>
          <w:p w14:paraId="1EE40474">
            <w:pPr>
              <w:ind w:firstLine="480" w:firstLineChars="200"/>
              <w:rPr>
                <w:rFonts w:hint="default" w:ascii="Times New Roman" w:hAnsi="Times New Roman" w:cs="Times New Roman"/>
                <w:color w:val="auto"/>
                <w:highlight w:val="none"/>
              </w:rPr>
            </w:pPr>
          </w:p>
        </w:tc>
      </w:tr>
    </w:tbl>
    <w:p w14:paraId="3022D33E">
      <w:pPr>
        <w:rPr>
          <w:rFonts w:hint="default" w:ascii="Times New Roman" w:hAnsi="Times New Roman" w:cs="Times New Roman"/>
          <w:color w:val="auto"/>
          <w:highlight w:val="none"/>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0DA571F4">
      <w:pPr>
        <w:pStyle w:val="7"/>
        <w:numPr>
          <w:ilvl w:val="0"/>
          <w:numId w:val="0"/>
        </w:numPr>
        <w:rPr>
          <w:rFonts w:hint="default" w:ascii="Times New Roman" w:hAnsi="Times New Roman" w:cs="Times New Roman"/>
          <w:color w:val="auto"/>
          <w:highlight w:val="none"/>
        </w:rPr>
      </w:pPr>
      <w:bookmarkStart w:id="114" w:name="_Toc3213"/>
      <w:bookmarkStart w:id="115" w:name="_Toc26895"/>
      <w:r>
        <w:rPr>
          <w:rFonts w:hint="default" w:ascii="Times New Roman" w:hAnsi="Times New Roman" w:cs="Times New Roman"/>
          <w:color w:val="auto"/>
          <w:highlight w:val="none"/>
        </w:rPr>
        <w:t>五、环境保护措施监督检查清单</w:t>
      </w:r>
      <w:bookmarkEnd w:id="111"/>
      <w:bookmarkEnd w:id="114"/>
      <w:bookmarkEnd w:id="115"/>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998"/>
        <w:gridCol w:w="1121"/>
        <w:gridCol w:w="1544"/>
        <w:gridCol w:w="2417"/>
        <w:gridCol w:w="2422"/>
      </w:tblGrid>
      <w:tr w14:paraId="3F7F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tcBorders>
              <w:tl2br w:val="single" w:color="auto" w:sz="4" w:space="0"/>
            </w:tcBorders>
            <w:vAlign w:val="center"/>
          </w:tcPr>
          <w:p w14:paraId="7E0BF26D">
            <w:pPr>
              <w:pStyle w:val="61"/>
              <w:jc w:val="center"/>
              <w:rPr>
                <w:rFonts w:hint="default" w:ascii="Times New Roman" w:hAnsi="Times New Roman" w:cs="Times New Roman"/>
                <w:b/>
                <w:bCs/>
                <w:color w:val="auto"/>
                <w:highlight w:val="none"/>
              </w:rPr>
            </w:pPr>
            <w:bookmarkStart w:id="116" w:name="_Toc15960"/>
            <w:bookmarkStart w:id="117" w:name="_Toc5989"/>
            <w:r>
              <w:rPr>
                <w:rFonts w:hint="default" w:ascii="Times New Roman" w:hAnsi="Times New Roman" w:cs="Times New Roman"/>
                <w:b/>
                <w:bCs/>
                <w:color w:val="auto"/>
                <w:highlight w:val="none"/>
              </w:rPr>
              <w:t>内容</w:t>
            </w:r>
          </w:p>
          <w:p w14:paraId="3480BFC1">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要素</w:t>
            </w:r>
          </w:p>
        </w:tc>
        <w:tc>
          <w:tcPr>
            <w:tcW w:w="1141" w:type="pct"/>
            <w:gridSpan w:val="2"/>
            <w:vAlign w:val="center"/>
          </w:tcPr>
          <w:p w14:paraId="4D2C31A6">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排放口（编号、名称）/污染源</w:t>
            </w:r>
          </w:p>
        </w:tc>
        <w:tc>
          <w:tcPr>
            <w:tcW w:w="831" w:type="pct"/>
            <w:vAlign w:val="center"/>
          </w:tcPr>
          <w:p w14:paraId="70C2D384">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污染物项目</w:t>
            </w:r>
          </w:p>
        </w:tc>
        <w:tc>
          <w:tcPr>
            <w:tcW w:w="1302" w:type="pct"/>
            <w:vAlign w:val="center"/>
          </w:tcPr>
          <w:p w14:paraId="6D2C7500">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环境保护措施</w:t>
            </w:r>
          </w:p>
        </w:tc>
        <w:tc>
          <w:tcPr>
            <w:tcW w:w="1304" w:type="pct"/>
            <w:vAlign w:val="center"/>
          </w:tcPr>
          <w:p w14:paraId="191F6D3B">
            <w:pPr>
              <w:pStyle w:val="61"/>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执行标准</w:t>
            </w:r>
          </w:p>
        </w:tc>
      </w:tr>
      <w:tr w14:paraId="2C83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419" w:type="pct"/>
            <w:vMerge w:val="restart"/>
            <w:vAlign w:val="center"/>
          </w:tcPr>
          <w:p w14:paraId="6D1DE79D">
            <w:pPr>
              <w:pStyle w:val="61"/>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大气环境</w:t>
            </w:r>
          </w:p>
        </w:tc>
        <w:tc>
          <w:tcPr>
            <w:tcW w:w="537" w:type="pct"/>
            <w:vMerge w:val="restart"/>
            <w:vAlign w:val="center"/>
          </w:tcPr>
          <w:p w14:paraId="7BA3EE9E">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无组织排放</w:t>
            </w:r>
          </w:p>
        </w:tc>
        <w:tc>
          <w:tcPr>
            <w:tcW w:w="603" w:type="pct"/>
            <w:shd w:val="clear" w:color="auto" w:fill="auto"/>
            <w:vAlign w:val="center"/>
          </w:tcPr>
          <w:p w14:paraId="2F292821">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生产异味</w:t>
            </w:r>
          </w:p>
        </w:tc>
        <w:tc>
          <w:tcPr>
            <w:tcW w:w="831" w:type="pct"/>
            <w:shd w:val="clear" w:color="auto" w:fill="auto"/>
            <w:vAlign w:val="center"/>
          </w:tcPr>
          <w:p w14:paraId="23B2C3E3">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臭气浓度</w:t>
            </w:r>
          </w:p>
        </w:tc>
        <w:tc>
          <w:tcPr>
            <w:tcW w:w="1302" w:type="pct"/>
            <w:vMerge w:val="restart"/>
            <w:vAlign w:val="center"/>
          </w:tcPr>
          <w:p w14:paraId="76AB3C3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采取加强厂内通风、设备加盖密闭的措施后，于车间内无组织排放</w:t>
            </w:r>
          </w:p>
        </w:tc>
        <w:tc>
          <w:tcPr>
            <w:tcW w:w="1304" w:type="pct"/>
            <w:vAlign w:val="center"/>
          </w:tcPr>
          <w:p w14:paraId="5284174F">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《恶臭污染物排放标准》（GB145</w:t>
            </w:r>
            <w:r>
              <w:rPr>
                <w:rFonts w:hint="eastAsia" w:cs="Times New Roman"/>
                <w:color w:val="auto"/>
                <w:highlight w:val="none"/>
                <w:lang w:val="en-US" w:eastAsia="zh-CN"/>
              </w:rPr>
              <w:t>5</w:t>
            </w:r>
            <w:r>
              <w:rPr>
                <w:rFonts w:hint="default" w:ascii="Times New Roman" w:hAnsi="Times New Roman" w:cs="Times New Roman"/>
                <w:color w:val="auto"/>
                <w:highlight w:val="none"/>
              </w:rPr>
              <w:t>4-93）表1新扩改建二级厂界标准值</w:t>
            </w:r>
          </w:p>
        </w:tc>
      </w:tr>
      <w:tr w14:paraId="0AF6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8" w:hRule="atLeast"/>
          <w:jc w:val="center"/>
        </w:trPr>
        <w:tc>
          <w:tcPr>
            <w:tcW w:w="419" w:type="pct"/>
            <w:vMerge w:val="continue"/>
            <w:vAlign w:val="center"/>
          </w:tcPr>
          <w:p w14:paraId="74DCF104">
            <w:pPr>
              <w:pStyle w:val="61"/>
              <w:jc w:val="center"/>
              <w:rPr>
                <w:rFonts w:hint="default" w:ascii="Times New Roman" w:hAnsi="Times New Roman" w:cs="Times New Roman"/>
                <w:color w:val="auto"/>
                <w:highlight w:val="none"/>
              </w:rPr>
            </w:pPr>
          </w:p>
        </w:tc>
        <w:tc>
          <w:tcPr>
            <w:tcW w:w="537" w:type="pct"/>
            <w:vMerge w:val="continue"/>
            <w:vAlign w:val="center"/>
          </w:tcPr>
          <w:p w14:paraId="119FD372">
            <w:pPr>
              <w:pStyle w:val="61"/>
              <w:jc w:val="center"/>
              <w:rPr>
                <w:rFonts w:hint="default" w:ascii="Times New Roman" w:hAnsi="Times New Roman" w:cs="Times New Roman"/>
                <w:color w:val="auto"/>
                <w:highlight w:val="none"/>
              </w:rPr>
            </w:pPr>
          </w:p>
        </w:tc>
        <w:tc>
          <w:tcPr>
            <w:tcW w:w="603" w:type="pct"/>
            <w:vAlign w:val="center"/>
          </w:tcPr>
          <w:p w14:paraId="5D2F30E5">
            <w:pPr>
              <w:pStyle w:val="61"/>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卸料、分拣、压实打包、入库堆放</w:t>
            </w:r>
          </w:p>
        </w:tc>
        <w:tc>
          <w:tcPr>
            <w:tcW w:w="831" w:type="pct"/>
            <w:vAlign w:val="center"/>
          </w:tcPr>
          <w:p w14:paraId="1253979A">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302" w:type="pct"/>
            <w:vMerge w:val="continue"/>
            <w:vAlign w:val="center"/>
          </w:tcPr>
          <w:p w14:paraId="50755F90">
            <w:pPr>
              <w:pStyle w:val="61"/>
              <w:jc w:val="center"/>
              <w:rPr>
                <w:rFonts w:hint="default" w:ascii="Times New Roman" w:hAnsi="Times New Roman" w:cs="Times New Roman"/>
                <w:color w:val="auto"/>
                <w:highlight w:val="none"/>
              </w:rPr>
            </w:pPr>
          </w:p>
        </w:tc>
        <w:tc>
          <w:tcPr>
            <w:tcW w:w="1304" w:type="pct"/>
            <w:vAlign w:val="center"/>
          </w:tcPr>
          <w:p w14:paraId="2C903DF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广东省《大气污染物排放限值》（DB44/27-2001）第二时段排放限值</w:t>
            </w:r>
          </w:p>
        </w:tc>
      </w:tr>
      <w:tr w14:paraId="7F01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0228EF9D">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声环境</w:t>
            </w:r>
          </w:p>
        </w:tc>
        <w:tc>
          <w:tcPr>
            <w:tcW w:w="1141" w:type="pct"/>
            <w:gridSpan w:val="2"/>
            <w:vAlign w:val="center"/>
          </w:tcPr>
          <w:p w14:paraId="78967D6D">
            <w:pPr>
              <w:keepNext w:val="0"/>
              <w:keepLines w:val="0"/>
              <w:pageBreakBefore w:val="0"/>
              <w:kinsoku/>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机械设备</w:t>
            </w:r>
          </w:p>
        </w:tc>
        <w:tc>
          <w:tcPr>
            <w:tcW w:w="831" w:type="pct"/>
            <w:vAlign w:val="center"/>
          </w:tcPr>
          <w:p w14:paraId="64D18224">
            <w:pPr>
              <w:keepNext w:val="0"/>
              <w:keepLines w:val="0"/>
              <w:pageBreakBefore w:val="0"/>
              <w:kinsoku/>
              <w:overflowPunct/>
              <w:topLinePunct w:val="0"/>
              <w:bidi w:val="0"/>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1302" w:type="pct"/>
            <w:vAlign w:val="center"/>
          </w:tcPr>
          <w:p w14:paraId="58ADA770">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采取</w:t>
            </w:r>
            <w:r>
              <w:rPr>
                <w:rFonts w:hint="eastAsia" w:cs="Times New Roman"/>
                <w:color w:val="auto"/>
                <w:highlight w:val="none"/>
                <w:lang w:eastAsia="zh-CN"/>
              </w:rPr>
              <w:t>防震</w:t>
            </w:r>
            <w:r>
              <w:rPr>
                <w:rFonts w:hint="default" w:ascii="Times New Roman" w:hAnsi="Times New Roman" w:cs="Times New Roman"/>
                <w:color w:val="auto"/>
                <w:highlight w:val="none"/>
              </w:rPr>
              <w:t>、隔声、降噪等措施</w:t>
            </w:r>
          </w:p>
        </w:tc>
        <w:tc>
          <w:tcPr>
            <w:tcW w:w="1304" w:type="pct"/>
            <w:vAlign w:val="center"/>
          </w:tcPr>
          <w:p w14:paraId="38A8C04A">
            <w:pPr>
              <w:pStyle w:val="61"/>
              <w:keepNext w:val="0"/>
              <w:keepLines w:val="0"/>
              <w:pageBreakBefore w:val="0"/>
              <w:kinsoku/>
              <w:overflowPunct/>
              <w:topLinePunct w:val="0"/>
              <w:bidi w:val="0"/>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厂界执行</w:t>
            </w:r>
            <w:r>
              <w:rPr>
                <w:rFonts w:hint="default" w:eastAsia="宋体"/>
                <w:color w:val="auto"/>
                <w:lang w:val="en-US" w:eastAsia="zh-CN"/>
              </w:rPr>
              <w:t>《工业企业厂界环境噪声排放标准》（GB12348-2008）</w:t>
            </w:r>
            <w:r>
              <w:rPr>
                <w:rFonts w:hint="eastAsia" w:cs="Times New Roman"/>
                <w:color w:val="auto"/>
                <w:highlight w:val="none"/>
                <w:lang w:val="en-US" w:eastAsia="zh-CN"/>
              </w:rPr>
              <w:t>3</w:t>
            </w:r>
            <w:r>
              <w:rPr>
                <w:rFonts w:hint="default" w:ascii="Times New Roman" w:hAnsi="Times New Roman" w:cs="Times New Roman"/>
                <w:color w:val="auto"/>
                <w:highlight w:val="none"/>
              </w:rPr>
              <w:t>类标准</w:t>
            </w:r>
          </w:p>
        </w:tc>
      </w:tr>
      <w:tr w14:paraId="53E3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19" w:type="pct"/>
            <w:vAlign w:val="center"/>
          </w:tcPr>
          <w:p w14:paraId="1E17FF5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电磁辐射</w:t>
            </w:r>
          </w:p>
        </w:tc>
        <w:tc>
          <w:tcPr>
            <w:tcW w:w="1141" w:type="pct"/>
            <w:gridSpan w:val="2"/>
            <w:vAlign w:val="center"/>
          </w:tcPr>
          <w:p w14:paraId="431C774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831" w:type="pct"/>
            <w:vAlign w:val="center"/>
          </w:tcPr>
          <w:p w14:paraId="07D1296B">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302" w:type="pct"/>
            <w:vAlign w:val="center"/>
          </w:tcPr>
          <w:p w14:paraId="6A4BA2A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1304" w:type="pct"/>
            <w:vAlign w:val="center"/>
          </w:tcPr>
          <w:p w14:paraId="1A4E081A">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r w14:paraId="6D56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419" w:type="pct"/>
            <w:vMerge w:val="restart"/>
            <w:vAlign w:val="center"/>
          </w:tcPr>
          <w:p w14:paraId="29BAB3C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固体废物</w:t>
            </w:r>
          </w:p>
        </w:tc>
        <w:tc>
          <w:tcPr>
            <w:tcW w:w="1141" w:type="pct"/>
            <w:gridSpan w:val="2"/>
            <w:vAlign w:val="center"/>
          </w:tcPr>
          <w:p w14:paraId="05549E5D">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办公生活</w:t>
            </w:r>
          </w:p>
        </w:tc>
        <w:tc>
          <w:tcPr>
            <w:tcW w:w="831" w:type="pct"/>
            <w:vAlign w:val="center"/>
          </w:tcPr>
          <w:p w14:paraId="527BDD40">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生活垃圾</w:t>
            </w:r>
          </w:p>
        </w:tc>
        <w:tc>
          <w:tcPr>
            <w:tcW w:w="1302" w:type="pct"/>
            <w:vAlign w:val="center"/>
          </w:tcPr>
          <w:p w14:paraId="45A33A17">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交由环卫部门清运</w:t>
            </w:r>
          </w:p>
        </w:tc>
        <w:tc>
          <w:tcPr>
            <w:tcW w:w="1304" w:type="pct"/>
            <w:vAlign w:val="center"/>
          </w:tcPr>
          <w:p w14:paraId="198F0C16">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《中华人民共和国固体废物污染环境防治法》、《广东省固体废物污染环境防治条例》</w:t>
            </w:r>
          </w:p>
        </w:tc>
      </w:tr>
      <w:tr w14:paraId="5BC4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atLeast"/>
          <w:jc w:val="center"/>
        </w:trPr>
        <w:tc>
          <w:tcPr>
            <w:tcW w:w="419" w:type="pct"/>
            <w:vMerge w:val="continue"/>
            <w:vAlign w:val="center"/>
          </w:tcPr>
          <w:p w14:paraId="1DC917BE">
            <w:pPr>
              <w:pStyle w:val="61"/>
              <w:jc w:val="center"/>
              <w:rPr>
                <w:rFonts w:hint="default" w:ascii="Times New Roman" w:hAnsi="Times New Roman" w:cs="Times New Roman"/>
                <w:color w:val="auto"/>
                <w:highlight w:val="none"/>
              </w:rPr>
            </w:pPr>
          </w:p>
        </w:tc>
        <w:tc>
          <w:tcPr>
            <w:tcW w:w="1141" w:type="pct"/>
            <w:gridSpan w:val="2"/>
            <w:vAlign w:val="center"/>
          </w:tcPr>
          <w:p w14:paraId="36D529BB">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生产过程</w:t>
            </w:r>
          </w:p>
        </w:tc>
        <w:tc>
          <w:tcPr>
            <w:tcW w:w="831" w:type="pct"/>
            <w:vAlign w:val="center"/>
          </w:tcPr>
          <w:p w14:paraId="60B3418B">
            <w:pPr>
              <w:pStyle w:val="61"/>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不可回收利用固废</w:t>
            </w:r>
          </w:p>
        </w:tc>
        <w:tc>
          <w:tcPr>
            <w:tcW w:w="1302" w:type="pct"/>
            <w:vAlign w:val="center"/>
          </w:tcPr>
          <w:p w14:paraId="7404248C">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统一收集后</w:t>
            </w:r>
            <w:r>
              <w:rPr>
                <w:rFonts w:hint="eastAsia" w:cs="Times New Roman"/>
                <w:color w:val="auto"/>
                <w:highlight w:val="none"/>
                <w:lang w:val="en-US" w:eastAsia="zh-CN"/>
              </w:rPr>
              <w:t>交由有资质的单位</w:t>
            </w:r>
            <w:r>
              <w:rPr>
                <w:rFonts w:hint="default" w:ascii="Times New Roman" w:hAnsi="Times New Roman" w:cs="Times New Roman"/>
                <w:color w:val="auto"/>
                <w:highlight w:val="none"/>
              </w:rPr>
              <w:t>处理</w:t>
            </w:r>
          </w:p>
        </w:tc>
        <w:tc>
          <w:tcPr>
            <w:tcW w:w="1304" w:type="pct"/>
            <w:vAlign w:val="center"/>
          </w:tcPr>
          <w:p w14:paraId="26FD7E8C">
            <w:pPr>
              <w:spacing w:line="276"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在厂内采用库房或包装工具贮存，贮存过程应满足相应防渗漏、防雨淋、防扬尘等环境保护要求</w:t>
            </w:r>
          </w:p>
        </w:tc>
      </w:tr>
      <w:tr w14:paraId="4F87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19" w:type="pct"/>
            <w:vMerge w:val="continue"/>
            <w:vAlign w:val="center"/>
          </w:tcPr>
          <w:p w14:paraId="68A6A655">
            <w:pPr>
              <w:pStyle w:val="61"/>
              <w:jc w:val="center"/>
              <w:rPr>
                <w:rFonts w:hint="default" w:ascii="Times New Roman" w:hAnsi="Times New Roman" w:cs="Times New Roman"/>
                <w:color w:val="auto"/>
                <w:highlight w:val="none"/>
              </w:rPr>
            </w:pPr>
          </w:p>
        </w:tc>
        <w:tc>
          <w:tcPr>
            <w:tcW w:w="1141" w:type="pct"/>
            <w:gridSpan w:val="2"/>
            <w:shd w:val="clear" w:color="auto" w:fill="auto"/>
            <w:vAlign w:val="center"/>
          </w:tcPr>
          <w:p w14:paraId="5E1272A1">
            <w:pPr>
              <w:pStyle w:val="61"/>
              <w:jc w:val="center"/>
              <w:rPr>
                <w:rFonts w:hint="eastAsia"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设备维保</w:t>
            </w:r>
          </w:p>
        </w:tc>
        <w:tc>
          <w:tcPr>
            <w:tcW w:w="831" w:type="pct"/>
            <w:shd w:val="clear" w:color="auto" w:fill="auto"/>
            <w:vAlign w:val="center"/>
          </w:tcPr>
          <w:p w14:paraId="1B96480A">
            <w:pPr>
              <w:pStyle w:val="61"/>
              <w:jc w:val="center"/>
              <w:rPr>
                <w:rFonts w:hint="default" w:ascii="Times New Roman" w:hAnsi="Times New Roman" w:eastAsia="宋体" w:cs="Times New Roman"/>
                <w:color w:val="auto"/>
                <w:position w:val="-10"/>
                <w:sz w:val="21"/>
                <w:szCs w:val="21"/>
                <w:highlight w:val="none"/>
                <w:lang w:val="en-US" w:eastAsia="zh-CN" w:bidi="ar-SA"/>
              </w:rPr>
            </w:pPr>
            <w:r>
              <w:rPr>
                <w:rFonts w:hint="default" w:ascii="Times New Roman" w:hAnsi="Times New Roman" w:cs="Times New Roman"/>
                <w:color w:val="auto"/>
                <w:highlight w:val="none"/>
              </w:rPr>
              <w:t>废矿物油及油桶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含油废抹布及手套</w:t>
            </w:r>
          </w:p>
        </w:tc>
        <w:tc>
          <w:tcPr>
            <w:tcW w:w="1302" w:type="pct"/>
            <w:vAlign w:val="center"/>
          </w:tcPr>
          <w:p w14:paraId="183B5405">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委托</w:t>
            </w:r>
            <w:r>
              <w:rPr>
                <w:rFonts w:hint="eastAsia" w:cs="Times New Roman"/>
                <w:color w:val="auto"/>
                <w:highlight w:val="none"/>
                <w:lang w:val="en-US" w:eastAsia="zh-CN"/>
              </w:rPr>
              <w:t>有</w:t>
            </w:r>
            <w:r>
              <w:rPr>
                <w:rFonts w:hint="default" w:ascii="Times New Roman" w:hAnsi="Times New Roman" w:cs="Times New Roman"/>
                <w:color w:val="auto"/>
                <w:highlight w:val="none"/>
              </w:rPr>
              <w:t>危险废物资质单位处理</w:t>
            </w:r>
          </w:p>
        </w:tc>
        <w:tc>
          <w:tcPr>
            <w:tcW w:w="1304" w:type="pct"/>
            <w:vAlign w:val="center"/>
          </w:tcPr>
          <w:p w14:paraId="201400EF">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《危险废物贮存污染控制标准》（GB 18597-2023）</w:t>
            </w:r>
          </w:p>
        </w:tc>
      </w:tr>
      <w:tr w14:paraId="1DDA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713803D1">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土壤及地下水污染防治措施</w:t>
            </w:r>
          </w:p>
        </w:tc>
        <w:tc>
          <w:tcPr>
            <w:tcW w:w="4580" w:type="pct"/>
            <w:gridSpan w:val="5"/>
            <w:vAlign w:val="center"/>
          </w:tcPr>
          <w:p w14:paraId="4D8E6D7D">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厂区地面已全部硬化，危废</w:t>
            </w:r>
            <w:r>
              <w:rPr>
                <w:rFonts w:hint="eastAsia" w:cs="Times New Roman"/>
                <w:color w:val="auto"/>
                <w:highlight w:val="none"/>
                <w:lang w:val="en-US" w:eastAsia="zh-CN"/>
              </w:rPr>
              <w:t>暂存</w:t>
            </w:r>
            <w:r>
              <w:rPr>
                <w:rFonts w:hint="default" w:ascii="Times New Roman" w:hAnsi="Times New Roman" w:cs="Times New Roman"/>
                <w:color w:val="auto"/>
                <w:highlight w:val="none"/>
              </w:rPr>
              <w:t>间在建筑物</w:t>
            </w:r>
            <w:r>
              <w:rPr>
                <w:rFonts w:hint="eastAsia" w:cs="Times New Roman"/>
                <w:color w:val="auto"/>
                <w:highlight w:val="none"/>
                <w:lang w:val="en-US" w:eastAsia="zh-CN"/>
              </w:rPr>
              <w:t>内部</w:t>
            </w:r>
            <w:r>
              <w:rPr>
                <w:rFonts w:hint="default" w:ascii="Times New Roman" w:hAnsi="Times New Roman" w:cs="Times New Roman"/>
                <w:color w:val="auto"/>
                <w:highlight w:val="none"/>
              </w:rPr>
              <w:t>，已达到防风防雨防晒要求，地面硬化良好并刷环氧树脂漆防渗，四周设置围堰，满足四防要求。</w:t>
            </w:r>
          </w:p>
        </w:tc>
      </w:tr>
      <w:tr w14:paraId="4336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493C55F8">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生态保护措施</w:t>
            </w:r>
          </w:p>
        </w:tc>
        <w:tc>
          <w:tcPr>
            <w:tcW w:w="4580" w:type="pct"/>
            <w:gridSpan w:val="5"/>
            <w:vAlign w:val="center"/>
          </w:tcPr>
          <w:p w14:paraId="68B769BF">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厂房已建设安装完成，选址四周主要为厂房和道路，不存在建设期间的生态影响。项目</w:t>
            </w:r>
            <w:r>
              <w:rPr>
                <w:rFonts w:hint="eastAsia" w:cs="Times New Roman"/>
                <w:color w:val="auto"/>
                <w:highlight w:val="none"/>
                <w:lang w:val="en-US" w:eastAsia="zh-CN"/>
              </w:rPr>
              <w:t>运营</w:t>
            </w:r>
            <w:r>
              <w:rPr>
                <w:rFonts w:hint="default" w:ascii="Times New Roman" w:hAnsi="Times New Roman" w:cs="Times New Roman"/>
                <w:color w:val="auto"/>
                <w:highlight w:val="none"/>
              </w:rPr>
              <w:t>中产生的污染物通过采取以上环境保护治理措施并加强日常的管理和监督，同时搞好厂区绿化后，均可达标排放。因此，项目</w:t>
            </w:r>
            <w:r>
              <w:rPr>
                <w:rFonts w:hint="eastAsia" w:cs="Times New Roman"/>
                <w:color w:val="auto"/>
                <w:highlight w:val="none"/>
                <w:lang w:val="en-US" w:eastAsia="zh-CN"/>
              </w:rPr>
              <w:t>运营</w:t>
            </w:r>
            <w:r>
              <w:rPr>
                <w:rFonts w:hint="default" w:ascii="Times New Roman" w:hAnsi="Times New Roman" w:cs="Times New Roman"/>
                <w:color w:val="auto"/>
                <w:highlight w:val="none"/>
              </w:rPr>
              <w:t>期间不会对周边的生态环境造成明显的不利影响。</w:t>
            </w:r>
          </w:p>
        </w:tc>
      </w:tr>
      <w:tr w14:paraId="7F84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9" w:type="pct"/>
            <w:vAlign w:val="center"/>
          </w:tcPr>
          <w:p w14:paraId="2BD9905D">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环境风险防范措施</w:t>
            </w:r>
          </w:p>
        </w:tc>
        <w:tc>
          <w:tcPr>
            <w:tcW w:w="4580" w:type="pct"/>
            <w:gridSpan w:val="5"/>
            <w:vAlign w:val="center"/>
          </w:tcPr>
          <w:p w14:paraId="3669787D">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1、严格执行应急管理、消防等相关规范，从总图布置和建筑安全方面进行风险防范，预留疏散通道或安置场所；</w:t>
            </w:r>
          </w:p>
          <w:p w14:paraId="38F51F46">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2、从优化改进生产工艺、减少储存量、改善储存条件等方面降低风险程度；</w:t>
            </w:r>
          </w:p>
          <w:p w14:paraId="25A8BEAC">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3、加强日常管理，降低管理失误而出现的风险事故，提高员工规范性操作水平，减少误操作引发的风险事故；</w:t>
            </w:r>
          </w:p>
          <w:p w14:paraId="32131C28">
            <w:pPr>
              <w:pStyle w:val="61"/>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4、按《危险废物贮存污染控制标准》（GB 18597-2023）的相关要求做好危废暂存间的防渗措施，加强管理，避免装卸或存储过程中危险物质发生泄漏。</w:t>
            </w:r>
          </w:p>
        </w:tc>
      </w:tr>
      <w:tr w14:paraId="4032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jc w:val="center"/>
        </w:trPr>
        <w:tc>
          <w:tcPr>
            <w:tcW w:w="419" w:type="pct"/>
            <w:vAlign w:val="center"/>
          </w:tcPr>
          <w:p w14:paraId="18E08C92">
            <w:pPr>
              <w:pStyle w:val="6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其他环境管理要求</w:t>
            </w:r>
          </w:p>
        </w:tc>
        <w:tc>
          <w:tcPr>
            <w:tcW w:w="4580" w:type="pct"/>
            <w:gridSpan w:val="5"/>
            <w:vAlign w:val="center"/>
          </w:tcPr>
          <w:p w14:paraId="2297F3D0">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（一）环境管理要求</w:t>
            </w:r>
          </w:p>
          <w:p w14:paraId="789EA02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企业要完善环境管理制度，首先必须建立相应的环境管理机构，明确环境管理机构的职责。</w:t>
            </w:r>
          </w:p>
          <w:p w14:paraId="12758324">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落实各项环境保护措施，环保设施运行的管理和维护，日常的监测及污染事故的防范和应急处理。</w:t>
            </w:r>
          </w:p>
          <w:p w14:paraId="1EE6F96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环境管理机构的职责</w:t>
            </w:r>
          </w:p>
          <w:p w14:paraId="28CE73C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（1）建设单位应向国家排污许可系统提交《固定污染源排污登记表》，取得《固定污染源排污登记回执》；超标排放或未符合总量指标，应限期治理。</w:t>
            </w:r>
          </w:p>
          <w:p w14:paraId="0EC9777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（2）根据</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、安全部门对环保设施验收报告的批复意见进行补充完善。</w:t>
            </w:r>
          </w:p>
          <w:p w14:paraId="4D481C0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3）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700282F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4）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4A5F07FC">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（5）要加强设备、仪器、仪表的检查、维护、检修，保证设备完好运行，防止跑、冒、滴、漏对环境的污染。</w:t>
            </w:r>
          </w:p>
          <w:p w14:paraId="31C17B1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6）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51BFDD72">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（7）做好绿化的建设和维护工作。绿色植物不仅能涵养水分，保持水土，而且能挡尘降噪，调节小气候，有利于改善生态环境。</w:t>
            </w:r>
          </w:p>
          <w:p w14:paraId="1CF9753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（8）建立环境管理体系，提高环境管理水平。定期进行清洁生产审计，不断采用无污染和少污染的新工艺和新技术。</w:t>
            </w:r>
          </w:p>
          <w:p w14:paraId="6E4EF38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（9）接受</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的监督检查。主要内容有：污染物排放情况、环保设施运行管理情况、环境监测及污染物监测情况、环境事故的调查和有关记录、污染源建档记录等。</w:t>
            </w:r>
          </w:p>
          <w:p w14:paraId="47AA850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 xml:space="preserve">（二）排污口规范化 </w:t>
            </w:r>
          </w:p>
          <w:p w14:paraId="3EB8775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43E62E0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ascii="Times New Roman" w:hAnsi="Times New Roman" w:eastAsia="宋体" w:cs="Times New Roman"/>
                <w:color w:val="auto"/>
                <w:sz w:val="21"/>
                <w:szCs w:val="21"/>
                <w:lang w:val="en-US" w:eastAsia="zh-CN"/>
              </w:rPr>
              <w:t>与</w:t>
            </w:r>
            <w:r>
              <w:rPr>
                <w:rFonts w:hint="default" w:ascii="Times New Roman" w:hAnsi="Times New Roman" w:eastAsia="宋体" w:cs="Times New Roman"/>
                <w:color w:val="auto"/>
                <w:sz w:val="21"/>
                <w:szCs w:val="21"/>
              </w:rPr>
              <w:t>污染治理同步实施，即治理设施完工时，规范化工作必须同时完成，并列入污染治理设施的验收内容。</w:t>
            </w:r>
          </w:p>
          <w:p w14:paraId="27D0321D">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 xml:space="preserve">排污口规范化内容 </w:t>
            </w:r>
          </w:p>
          <w:p w14:paraId="6F82CDB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（1）需规范化排放口：排放口应预留监测口，做到便于采样和测定流量，并设立标志。</w:t>
            </w:r>
          </w:p>
          <w:p w14:paraId="60CB48B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（2）排污口的管理：建设单位应在各排污口处设置较明显的排污口标志牌，其上应注明主要排污污染物的名称。建设单位应如实填写《中华人民共和国规范化排污口标志登记证》的有关内容，由</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签发登记证。建设单位应将有关排污口的情况如：排污口的性质、编号、排污口的位置；主要排放的污染物种类、数量、浓度、排放规律、排放去向；污染治理措施的运行情况等进行建档管理，并报送</w:t>
            </w:r>
            <w:r>
              <w:rPr>
                <w:rFonts w:hint="eastAsia" w:ascii="Times New Roman" w:hAnsi="Times New Roman" w:eastAsia="宋体" w:cs="Times New Roman"/>
                <w:color w:val="auto"/>
                <w:kern w:val="0"/>
                <w:sz w:val="21"/>
                <w:szCs w:val="21"/>
                <w:lang w:val="en-US" w:eastAsia="zh-CN" w:bidi="ar-SA"/>
              </w:rPr>
              <w:t>生态环境主管部门</w:t>
            </w:r>
            <w:r>
              <w:rPr>
                <w:rFonts w:hint="default" w:ascii="Times New Roman" w:hAnsi="Times New Roman" w:eastAsia="宋体" w:cs="Times New Roman"/>
                <w:color w:val="auto"/>
                <w:kern w:val="0"/>
                <w:sz w:val="21"/>
                <w:szCs w:val="21"/>
                <w:lang w:val="en-US" w:eastAsia="zh-CN" w:bidi="ar-SA"/>
              </w:rPr>
              <w:t>备案。排污口规范化标识详见下表。</w:t>
            </w:r>
          </w:p>
          <w:p w14:paraId="7E5538F0">
            <w:pPr>
              <w:keepNext w:val="0"/>
              <w:keepLines w:val="0"/>
              <w:pageBreakBefore w:val="0"/>
              <w:widowControl w:val="0"/>
              <w:kinsoku/>
              <w:overflowPunct/>
              <w:topLinePunct w:val="0"/>
              <w:autoSpaceDE/>
              <w:autoSpaceDN/>
              <w:bidi w:val="0"/>
              <w:snapToGrid w:val="0"/>
              <w:spacing w:before="60" w:after="160" w:line="240" w:lineRule="auto"/>
              <w:ind w:right="0" w:firstLine="482"/>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表5-1排污口规范化标识示意图表</w:t>
            </w:r>
          </w:p>
          <w:tbl>
            <w:tblPr>
              <w:tblStyle w:val="4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1693"/>
              <w:gridCol w:w="1472"/>
              <w:gridCol w:w="1472"/>
              <w:gridCol w:w="2121"/>
            </w:tblGrid>
            <w:tr w14:paraId="1879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noWrap w:val="0"/>
                  <w:vAlign w:val="top"/>
                </w:tcPr>
                <w:p w14:paraId="03AEE3AE">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废水排放口</w:t>
                  </w:r>
                </w:p>
              </w:tc>
              <w:tc>
                <w:tcPr>
                  <w:tcW w:w="1444" w:type="dxa"/>
                  <w:noWrap w:val="0"/>
                  <w:vAlign w:val="top"/>
                </w:tcPr>
                <w:p w14:paraId="783C68E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废气排放口</w:t>
                  </w:r>
                </w:p>
              </w:tc>
              <w:tc>
                <w:tcPr>
                  <w:tcW w:w="1256" w:type="dxa"/>
                  <w:noWrap w:val="0"/>
                  <w:vAlign w:val="top"/>
                </w:tcPr>
                <w:p w14:paraId="585B8EFA">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噪声源</w:t>
                  </w:r>
                </w:p>
              </w:tc>
              <w:tc>
                <w:tcPr>
                  <w:tcW w:w="1256" w:type="dxa"/>
                  <w:noWrap w:val="0"/>
                  <w:vAlign w:val="top"/>
                </w:tcPr>
                <w:p w14:paraId="11F8F28A">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固体废弃物堆场</w:t>
                  </w:r>
                </w:p>
              </w:tc>
              <w:tc>
                <w:tcPr>
                  <w:tcW w:w="1810" w:type="dxa"/>
                  <w:noWrap w:val="0"/>
                  <w:vAlign w:val="top"/>
                </w:tcPr>
                <w:p w14:paraId="0AA9FFD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危险废物暂存</w:t>
                  </w:r>
                </w:p>
              </w:tc>
            </w:tr>
            <w:tr w14:paraId="2385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95" w:type="dxa"/>
                  <w:noWrap w:val="0"/>
                  <w:vAlign w:val="center"/>
                </w:tcPr>
                <w:p w14:paraId="4B41522E">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40715" cy="647700"/>
                        <wp:effectExtent l="0" t="0" r="6985" b="0"/>
                        <wp:docPr id="178" name="图片 12" descr="排放口"/>
                        <wp:cNvGraphicFramePr/>
                        <a:graphic xmlns:a="http://schemas.openxmlformats.org/drawingml/2006/main">
                          <a:graphicData uri="http://schemas.openxmlformats.org/drawingml/2006/picture">
                            <pic:pic xmlns:pic="http://schemas.openxmlformats.org/drawingml/2006/picture">
                              <pic:nvPicPr>
                                <pic:cNvPr id="178" name="图片 12" descr="排放口"/>
                                <pic:cNvPicPr/>
                              </pic:nvPicPr>
                              <pic:blipFill>
                                <a:blip r:embed="rId27"/>
                                <a:srcRect l="66771" t="5846" r="3780" b="55385"/>
                                <a:stretch>
                                  <a:fillRect/>
                                </a:stretch>
                              </pic:blipFill>
                              <pic:spPr>
                                <a:xfrm>
                                  <a:off x="0" y="0"/>
                                  <a:ext cx="640715" cy="647700"/>
                                </a:xfrm>
                                <a:prstGeom prst="rect">
                                  <a:avLst/>
                                </a:prstGeom>
                                <a:noFill/>
                                <a:ln>
                                  <a:noFill/>
                                </a:ln>
                              </pic:spPr>
                            </pic:pic>
                          </a:graphicData>
                        </a:graphic>
                      </wp:inline>
                    </w:drawing>
                  </w:r>
                </w:p>
              </w:tc>
              <w:tc>
                <w:tcPr>
                  <w:tcW w:w="1444" w:type="dxa"/>
                  <w:noWrap w:val="0"/>
                  <w:vAlign w:val="top"/>
                </w:tcPr>
                <w:p w14:paraId="6A5BB2A0">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37540" cy="647700"/>
                        <wp:effectExtent l="0" t="0" r="10160" b="0"/>
                        <wp:docPr id="190" name="图片 13" descr="排放口"/>
                        <wp:cNvGraphicFramePr/>
                        <a:graphic xmlns:a="http://schemas.openxmlformats.org/drawingml/2006/main">
                          <a:graphicData uri="http://schemas.openxmlformats.org/drawingml/2006/picture">
                            <pic:pic xmlns:pic="http://schemas.openxmlformats.org/drawingml/2006/picture">
                              <pic:nvPicPr>
                                <pic:cNvPr id="190" name="图片 13" descr="排放口"/>
                                <pic:cNvPicPr/>
                              </pic:nvPicPr>
                              <pic:blipFill>
                                <a:blip r:embed="rId28"/>
                                <a:srcRect l="19153" t="6250" r="51726" b="55122"/>
                                <a:stretch>
                                  <a:fillRect/>
                                </a:stretch>
                              </pic:blipFill>
                              <pic:spPr>
                                <a:xfrm>
                                  <a:off x="0" y="0"/>
                                  <a:ext cx="637540" cy="647700"/>
                                </a:xfrm>
                                <a:prstGeom prst="rect">
                                  <a:avLst/>
                                </a:prstGeom>
                                <a:noFill/>
                                <a:ln>
                                  <a:noFill/>
                                </a:ln>
                              </pic:spPr>
                            </pic:pic>
                          </a:graphicData>
                        </a:graphic>
                      </wp:inline>
                    </w:drawing>
                  </w:r>
                </w:p>
              </w:tc>
              <w:tc>
                <w:tcPr>
                  <w:tcW w:w="1256" w:type="dxa"/>
                  <w:noWrap w:val="0"/>
                  <w:vAlign w:val="top"/>
                </w:tcPr>
                <w:p w14:paraId="3AF6071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38810" cy="647700"/>
                        <wp:effectExtent l="0" t="0" r="8890" b="0"/>
                        <wp:docPr id="195" name="图片 14" descr="排放口"/>
                        <wp:cNvGraphicFramePr/>
                        <a:graphic xmlns:a="http://schemas.openxmlformats.org/drawingml/2006/main">
                          <a:graphicData uri="http://schemas.openxmlformats.org/drawingml/2006/picture">
                            <pic:pic xmlns:pic="http://schemas.openxmlformats.org/drawingml/2006/picture">
                              <pic:nvPicPr>
                                <pic:cNvPr id="195" name="图片 14" descr="排放口"/>
                                <pic:cNvPicPr/>
                              </pic:nvPicPr>
                              <pic:blipFill>
                                <a:blip r:embed="rId29"/>
                                <a:srcRect l="51723" t="47942" r="27068" b="13129"/>
                                <a:stretch>
                                  <a:fillRect/>
                                </a:stretch>
                              </pic:blipFill>
                              <pic:spPr>
                                <a:xfrm>
                                  <a:off x="0" y="0"/>
                                  <a:ext cx="638810" cy="647700"/>
                                </a:xfrm>
                                <a:prstGeom prst="rect">
                                  <a:avLst/>
                                </a:prstGeom>
                                <a:noFill/>
                                <a:ln>
                                  <a:noFill/>
                                </a:ln>
                              </pic:spPr>
                            </pic:pic>
                          </a:graphicData>
                        </a:graphic>
                      </wp:inline>
                    </w:drawing>
                  </w:r>
                </w:p>
              </w:tc>
              <w:tc>
                <w:tcPr>
                  <w:tcW w:w="1256" w:type="dxa"/>
                  <w:noWrap w:val="0"/>
                  <w:vAlign w:val="top"/>
                </w:tcPr>
                <w:p w14:paraId="6EF24399">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52145" cy="647700"/>
                        <wp:effectExtent l="0" t="0" r="14605" b="0"/>
                        <wp:docPr id="196" name="图片 15" descr="排放口"/>
                        <wp:cNvGraphicFramePr/>
                        <a:graphic xmlns:a="http://schemas.openxmlformats.org/drawingml/2006/main">
                          <a:graphicData uri="http://schemas.openxmlformats.org/drawingml/2006/picture">
                            <pic:pic xmlns:pic="http://schemas.openxmlformats.org/drawingml/2006/picture">
                              <pic:nvPicPr>
                                <pic:cNvPr id="196" name="图片 15" descr="排放口"/>
                                <pic:cNvPicPr/>
                              </pic:nvPicPr>
                              <pic:blipFill>
                                <a:blip r:embed="rId30"/>
                                <a:srcRect l="18872" t="47525" r="51678" b="14359"/>
                                <a:stretch>
                                  <a:fillRect/>
                                </a:stretch>
                              </pic:blipFill>
                              <pic:spPr>
                                <a:xfrm>
                                  <a:off x="0" y="0"/>
                                  <a:ext cx="652145" cy="647700"/>
                                </a:xfrm>
                                <a:prstGeom prst="rect">
                                  <a:avLst/>
                                </a:prstGeom>
                                <a:noFill/>
                                <a:ln>
                                  <a:noFill/>
                                </a:ln>
                              </pic:spPr>
                            </pic:pic>
                          </a:graphicData>
                        </a:graphic>
                      </wp:inline>
                    </w:drawing>
                  </w:r>
                </w:p>
              </w:tc>
              <w:tc>
                <w:tcPr>
                  <w:tcW w:w="1810" w:type="dxa"/>
                  <w:noWrap w:val="0"/>
                  <w:vAlign w:val="top"/>
                </w:tcPr>
                <w:p w14:paraId="182493AD">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drawing>
                      <wp:inline distT="0" distB="0" distL="114300" distR="114300">
                        <wp:extent cx="673735" cy="687070"/>
                        <wp:effectExtent l="0" t="0" r="12065" b="17780"/>
                        <wp:docPr id="205" name="图片 16"/>
                        <wp:cNvGraphicFramePr/>
                        <a:graphic xmlns:a="http://schemas.openxmlformats.org/drawingml/2006/main">
                          <a:graphicData uri="http://schemas.openxmlformats.org/drawingml/2006/picture">
                            <pic:pic xmlns:pic="http://schemas.openxmlformats.org/drawingml/2006/picture">
                              <pic:nvPicPr>
                                <pic:cNvPr id="205" name="图片 16"/>
                                <pic:cNvPicPr/>
                              </pic:nvPicPr>
                              <pic:blipFill>
                                <a:blip r:embed="rId31"/>
                                <a:srcRect l="15968" t="5974" r="13557" b="48367"/>
                                <a:stretch>
                                  <a:fillRect/>
                                </a:stretch>
                              </pic:blipFill>
                              <pic:spPr>
                                <a:xfrm>
                                  <a:off x="0" y="0"/>
                                  <a:ext cx="673735" cy="687070"/>
                                </a:xfrm>
                                <a:prstGeom prst="rect">
                                  <a:avLst/>
                                </a:prstGeom>
                                <a:noFill/>
                                <a:ln>
                                  <a:noFill/>
                                </a:ln>
                              </pic:spPr>
                            </pic:pic>
                          </a:graphicData>
                        </a:graphic>
                      </wp:inline>
                    </w:drawing>
                  </w:r>
                </w:p>
              </w:tc>
            </w:tr>
            <w:tr w14:paraId="2C2D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1" w:type="dxa"/>
                  <w:gridSpan w:val="4"/>
                  <w:noWrap w:val="0"/>
                  <w:vAlign w:val="top"/>
                </w:tcPr>
                <w:p w14:paraId="5F37358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ind w:firstLine="420" w:firstLineChars="200"/>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背景颜色：绿色            图形颜色：白色</w:t>
                  </w:r>
                </w:p>
              </w:tc>
              <w:tc>
                <w:tcPr>
                  <w:tcW w:w="1810" w:type="dxa"/>
                  <w:noWrap w:val="0"/>
                  <w:vAlign w:val="top"/>
                </w:tcPr>
                <w:p w14:paraId="6A4EE3F8">
                  <w:pPr>
                    <w:keepNext w:val="0"/>
                    <w:keepLines w:val="0"/>
                    <w:pageBreakBefore w:val="0"/>
                    <w:widowControl w:val="0"/>
                    <w:kinsoku/>
                    <w:overflowPunct/>
                    <w:topLinePunct w:val="0"/>
                    <w:autoSpaceDE/>
                    <w:autoSpaceDN/>
                    <w:bidi w:val="0"/>
                    <w:adjustRightInd w:val="0"/>
                    <w:snapToGrid w:val="0"/>
                    <w:spacing w:before="0" w:beforeLines="15" w:after="0" w:afterLines="15" w:line="240" w:lineRule="auto"/>
                    <w:jc w:val="both"/>
                    <w:textAlignment w:val="auto"/>
                    <w:rPr>
                      <w:rFonts w:hint="default" w:ascii="Times New Roman" w:hAnsi="Times New Roman" w:eastAsia="宋体" w:cs="Times New Roman"/>
                      <w:b/>
                      <w:color w:val="auto"/>
                      <w:kern w:val="0"/>
                      <w:sz w:val="21"/>
                      <w:szCs w:val="21"/>
                      <w:lang w:val="en-US" w:eastAsia="zh-CN" w:bidi="ar-SA"/>
                    </w:rPr>
                  </w:pPr>
                  <w:r>
                    <w:rPr>
                      <w:rFonts w:hint="eastAsia" w:ascii="Times New Roman" w:hAnsi="Times New Roman" w:eastAsia="宋体" w:cs="Times New Roman"/>
                      <w:b/>
                      <w:color w:val="auto"/>
                      <w:kern w:val="0"/>
                      <w:sz w:val="21"/>
                      <w:szCs w:val="21"/>
                      <w:lang w:val="en-US" w:eastAsia="zh-CN" w:bidi="ar-SA"/>
                    </w:rPr>
                    <w:t>底色为黄色，图形字体边框为黑色</w:t>
                  </w:r>
                </w:p>
              </w:tc>
            </w:tr>
          </w:tbl>
          <w:p w14:paraId="0F64AAB7">
            <w:pPr>
              <w:keepNext w:val="0"/>
              <w:keepLines w:val="0"/>
              <w:pageBreakBefore w:val="0"/>
              <w:widowControl w:val="0"/>
              <w:numPr>
                <w:ilvl w:val="0"/>
                <w:numId w:val="0"/>
              </w:numPr>
              <w:kinsoku/>
              <w:overflowPunct/>
              <w:topLinePunct w:val="0"/>
              <w:autoSpaceDE/>
              <w:autoSpaceDN/>
              <w:bidi w:val="0"/>
              <w:spacing w:line="360" w:lineRule="auto"/>
              <w:jc w:val="left"/>
              <w:textAlignment w:val="auto"/>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（三）</w:t>
            </w:r>
            <w:r>
              <w:rPr>
                <w:rFonts w:hint="default" w:ascii="Times New Roman" w:hAnsi="Times New Roman" w:eastAsia="宋体" w:cs="Times New Roman"/>
                <w:b/>
                <w:color w:val="auto"/>
                <w:kern w:val="2"/>
                <w:sz w:val="21"/>
                <w:szCs w:val="21"/>
                <w:lang w:val="en-US" w:eastAsia="zh-CN" w:bidi="ar-SA"/>
              </w:rPr>
              <w:t>排污许可</w:t>
            </w:r>
          </w:p>
          <w:p w14:paraId="4323CF19">
            <w:pPr>
              <w:keepNext w:val="0"/>
              <w:keepLines w:val="0"/>
              <w:pageBreakBefore w:val="0"/>
              <w:widowControl w:val="0"/>
              <w:kinsoku/>
              <w:overflowPunct/>
              <w:topLinePunct w:val="0"/>
              <w:autoSpaceDE/>
              <w:autoSpaceDN/>
              <w:bidi w:val="0"/>
              <w:adjustRightInd w:val="0"/>
              <w:snapToGrid w:val="0"/>
              <w:spacing w:line="360" w:lineRule="auto"/>
              <w:ind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根据《固定污染源排污许可分类管理名录（2019版）》，对本项目排污许可分类进行判定，具体如下：</w:t>
            </w:r>
          </w:p>
          <w:p w14:paraId="7A57D2D2">
            <w:pPr>
              <w:keepNext w:val="0"/>
              <w:keepLines w:val="0"/>
              <w:pageBreakBefore w:val="0"/>
              <w:widowControl w:val="0"/>
              <w:kinsoku/>
              <w:overflowPunct/>
              <w:topLinePunct w:val="0"/>
              <w:autoSpaceDE/>
              <w:autoSpaceDN/>
              <w:bidi w:val="0"/>
              <w:snapToGrid w:val="0"/>
              <w:spacing w:before="60" w:after="160" w:line="240" w:lineRule="auto"/>
              <w:ind w:right="0" w:firstLine="482"/>
              <w:jc w:val="center"/>
              <w:textAlignment w:val="auto"/>
              <w:rPr>
                <w:rFonts w:hint="default" w:ascii="Times New Roman" w:hAnsi="Times New Roman" w:eastAsia="宋体" w:cs="Times New Roman"/>
                <w:b/>
                <w:color w:val="auto"/>
                <w:kern w:val="0"/>
                <w:sz w:val="21"/>
                <w:szCs w:val="21"/>
                <w:lang w:val="en-US" w:eastAsia="zh-CN" w:bidi="ar-SA"/>
              </w:rPr>
            </w:pPr>
            <w:r>
              <w:rPr>
                <w:rFonts w:hint="default" w:ascii="Times New Roman" w:hAnsi="Times New Roman" w:eastAsia="宋体" w:cs="Times New Roman"/>
                <w:b/>
                <w:color w:val="auto"/>
                <w:kern w:val="0"/>
                <w:sz w:val="21"/>
                <w:szCs w:val="21"/>
                <w:lang w:val="en-US" w:eastAsia="zh-CN" w:bidi="ar-SA"/>
              </w:rPr>
              <w:t>表5-2 项目排污许可类别判定表</w:t>
            </w:r>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1592"/>
              <w:gridCol w:w="1695"/>
              <w:gridCol w:w="1496"/>
              <w:gridCol w:w="1162"/>
              <w:gridCol w:w="1214"/>
            </w:tblGrid>
            <w:tr w14:paraId="7554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noWrap w:val="0"/>
                  <w:vAlign w:val="center"/>
                </w:tcPr>
                <w:p w14:paraId="753C1EDF">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国民经济行业类别</w:t>
                  </w:r>
                </w:p>
              </w:tc>
              <w:tc>
                <w:tcPr>
                  <w:tcW w:w="962" w:type="pct"/>
                  <w:vMerge w:val="restart"/>
                  <w:tcBorders>
                    <w:tl2br w:val="nil"/>
                    <w:tr2bl w:val="nil"/>
                  </w:tcBorders>
                  <w:noWrap w:val="0"/>
                  <w:vAlign w:val="center"/>
                </w:tcPr>
                <w:p w14:paraId="710FA9A5">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建设项目行业类别</w:t>
                  </w:r>
                </w:p>
              </w:tc>
              <w:tc>
                <w:tcPr>
                  <w:tcW w:w="3364" w:type="pct"/>
                  <w:gridSpan w:val="4"/>
                  <w:tcBorders>
                    <w:tl2br w:val="nil"/>
                    <w:tr2bl w:val="nil"/>
                  </w:tcBorders>
                  <w:noWrap w:val="0"/>
                  <w:vAlign w:val="center"/>
                </w:tcPr>
                <w:p w14:paraId="7134BED8">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排污许可类别判定</w:t>
                  </w:r>
                </w:p>
              </w:tc>
            </w:tr>
            <w:tr w14:paraId="382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noWrap w:val="0"/>
                  <w:vAlign w:val="center"/>
                </w:tcPr>
                <w:p w14:paraId="14D48CAC">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p>
              </w:tc>
              <w:tc>
                <w:tcPr>
                  <w:tcW w:w="962" w:type="pct"/>
                  <w:vMerge w:val="continue"/>
                  <w:tcBorders>
                    <w:tl2br w:val="nil"/>
                    <w:tr2bl w:val="nil"/>
                  </w:tcBorders>
                  <w:noWrap w:val="0"/>
                  <w:vAlign w:val="center"/>
                </w:tcPr>
                <w:p w14:paraId="167EC0EE">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p>
              </w:tc>
              <w:tc>
                <w:tcPr>
                  <w:tcW w:w="1024" w:type="pct"/>
                  <w:tcBorders>
                    <w:tl2br w:val="nil"/>
                    <w:tr2bl w:val="nil"/>
                  </w:tcBorders>
                  <w:noWrap w:val="0"/>
                  <w:vAlign w:val="center"/>
                </w:tcPr>
                <w:p w14:paraId="7CCEC9D2">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重点管理</w:t>
                  </w:r>
                </w:p>
              </w:tc>
              <w:tc>
                <w:tcPr>
                  <w:tcW w:w="904" w:type="pct"/>
                  <w:tcBorders>
                    <w:tl2br w:val="nil"/>
                    <w:tr2bl w:val="nil"/>
                  </w:tcBorders>
                  <w:noWrap w:val="0"/>
                  <w:vAlign w:val="center"/>
                </w:tcPr>
                <w:p w14:paraId="7892A5BF">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简化管理</w:t>
                  </w:r>
                </w:p>
              </w:tc>
              <w:tc>
                <w:tcPr>
                  <w:tcW w:w="702" w:type="pct"/>
                  <w:tcBorders>
                    <w:tl2br w:val="nil"/>
                    <w:tr2bl w:val="nil"/>
                  </w:tcBorders>
                  <w:noWrap w:val="0"/>
                  <w:vAlign w:val="center"/>
                </w:tcPr>
                <w:p w14:paraId="0F8B6E0A">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登记管理</w:t>
                  </w:r>
                </w:p>
              </w:tc>
              <w:tc>
                <w:tcPr>
                  <w:tcW w:w="733" w:type="pct"/>
                  <w:tcBorders>
                    <w:tl2br w:val="nil"/>
                    <w:tr2bl w:val="nil"/>
                  </w:tcBorders>
                  <w:noWrap w:val="0"/>
                  <w:vAlign w:val="center"/>
                </w:tcPr>
                <w:p w14:paraId="40DA30D6">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本项目</w:t>
                  </w:r>
                </w:p>
              </w:tc>
            </w:tr>
            <w:tr w14:paraId="3DF8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noWrap w:val="0"/>
                  <w:vAlign w:val="center"/>
                </w:tcPr>
                <w:p w14:paraId="5D719C13">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N7723 固体废物治理</w:t>
                  </w:r>
                </w:p>
              </w:tc>
              <w:tc>
                <w:tcPr>
                  <w:tcW w:w="962" w:type="pct"/>
                  <w:tcBorders>
                    <w:tl2br w:val="nil"/>
                    <w:tr2bl w:val="nil"/>
                  </w:tcBorders>
                  <w:noWrap w:val="0"/>
                  <w:vAlign w:val="center"/>
                </w:tcPr>
                <w:p w14:paraId="6BC5B72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四十七、生态保护和环境治理业-103一般工业固体废物（含污水处理污泥）、建筑施工废弃物处置及综合利用-其他</w:t>
                  </w:r>
                </w:p>
              </w:tc>
              <w:tc>
                <w:tcPr>
                  <w:tcW w:w="1024" w:type="pct"/>
                  <w:tcBorders>
                    <w:tl2br w:val="nil"/>
                    <w:tr2bl w:val="nil"/>
                  </w:tcBorders>
                  <w:noWrap w:val="0"/>
                  <w:vAlign w:val="center"/>
                </w:tcPr>
                <w:p w14:paraId="3EDD6C4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专业从事危险废物贮存、利用、处理、处置（含焚烧发电）的，专业从事一般工业固体废物贮存、处置（含焚烧发电）的</w:t>
                  </w:r>
                </w:p>
              </w:tc>
              <w:tc>
                <w:tcPr>
                  <w:tcW w:w="904" w:type="pct"/>
                  <w:tcBorders>
                    <w:tl2br w:val="nil"/>
                    <w:tr2bl w:val="nil"/>
                  </w:tcBorders>
                  <w:noWrap w:val="0"/>
                  <w:vAlign w:val="center"/>
                </w:tcPr>
                <w:p w14:paraId="1F4062C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702" w:type="pct"/>
                  <w:tcBorders>
                    <w:tl2br w:val="nil"/>
                    <w:tr2bl w:val="nil"/>
                  </w:tcBorders>
                  <w:noWrap w:val="0"/>
                  <w:vAlign w:val="center"/>
                </w:tcPr>
                <w:p w14:paraId="6C3B6303">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w:t>
                  </w:r>
                </w:p>
              </w:tc>
              <w:tc>
                <w:tcPr>
                  <w:tcW w:w="733" w:type="pct"/>
                  <w:tcBorders>
                    <w:tl2br w:val="nil"/>
                    <w:tr2bl w:val="nil"/>
                  </w:tcBorders>
                  <w:noWrap w:val="0"/>
                  <w:vAlign w:val="center"/>
                </w:tcPr>
                <w:p w14:paraId="03E33780">
                  <w:pPr>
                    <w:keepNext w:val="0"/>
                    <w:keepLines w:val="0"/>
                    <w:pageBreakBefore w:val="0"/>
                    <w:widowControl w:val="0"/>
                    <w:numPr>
                      <w:ilvl w:val="0"/>
                      <w:numId w:val="0"/>
                    </w:numPr>
                    <w:tabs>
                      <w:tab w:val="left" w:pos="2040"/>
                    </w:tabs>
                    <w:kinsoku/>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w:t>
                  </w:r>
                  <w:r>
                    <w:rPr>
                      <w:rFonts w:hint="eastAsia" w:cs="Times New Roman"/>
                      <w:color w:val="auto"/>
                      <w:kern w:val="2"/>
                      <w:sz w:val="21"/>
                      <w:szCs w:val="21"/>
                      <w:lang w:val="en-US" w:eastAsia="zh-CN" w:bidi="ar-SA"/>
                    </w:rPr>
                    <w:t>从事一般工业固体废物贮存</w:t>
                  </w:r>
                  <w:r>
                    <w:rPr>
                      <w:rFonts w:hint="default" w:ascii="Times New Roman" w:hAnsi="Times New Roman" w:eastAsia="宋体" w:cs="Times New Roman"/>
                      <w:color w:val="auto"/>
                      <w:kern w:val="2"/>
                      <w:sz w:val="21"/>
                      <w:szCs w:val="21"/>
                      <w:lang w:val="en-US" w:eastAsia="zh-CN" w:bidi="ar-SA"/>
                    </w:rPr>
                    <w:t>，实行</w:t>
                  </w:r>
                  <w:r>
                    <w:rPr>
                      <w:rFonts w:hint="eastAsia" w:cs="Times New Roman"/>
                      <w:color w:val="auto"/>
                      <w:kern w:val="2"/>
                      <w:sz w:val="21"/>
                      <w:szCs w:val="21"/>
                      <w:lang w:val="en-US" w:eastAsia="zh-CN" w:bidi="ar-SA"/>
                    </w:rPr>
                    <w:t>重点</w:t>
                  </w:r>
                  <w:r>
                    <w:rPr>
                      <w:rFonts w:hint="default" w:ascii="Times New Roman" w:hAnsi="Times New Roman" w:eastAsia="宋体" w:cs="Times New Roman"/>
                      <w:color w:val="auto"/>
                      <w:kern w:val="2"/>
                      <w:sz w:val="21"/>
                      <w:szCs w:val="21"/>
                      <w:lang w:val="en-US" w:eastAsia="zh-CN" w:bidi="ar-SA"/>
                    </w:rPr>
                    <w:t>管理</w:t>
                  </w:r>
                </w:p>
              </w:tc>
            </w:tr>
          </w:tbl>
          <w:p w14:paraId="2660EA52">
            <w:pPr>
              <w:keepNext w:val="0"/>
              <w:keepLines w:val="0"/>
              <w:pageBreakBefore w:val="0"/>
              <w:widowControl w:val="0"/>
              <w:numPr>
                <w:ilvl w:val="0"/>
                <w:numId w:val="0"/>
              </w:numPr>
              <w:tabs>
                <w:tab w:val="left" w:pos="2040"/>
              </w:tabs>
              <w:kinsoku/>
              <w:overflowPunct/>
              <w:topLinePunct w:val="0"/>
              <w:autoSpaceDE/>
              <w:autoSpaceDN/>
              <w:bidi w:val="0"/>
              <w:spacing w:line="360" w:lineRule="auto"/>
              <w:ind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对照名录分析，本项目属于</w:t>
            </w:r>
            <w:r>
              <w:rPr>
                <w:rFonts w:hint="eastAsia" w:cs="Times New Roman"/>
                <w:color w:val="auto"/>
                <w:kern w:val="2"/>
                <w:sz w:val="21"/>
                <w:szCs w:val="21"/>
                <w:lang w:val="en-US" w:eastAsia="zh-CN" w:bidi="ar-SA"/>
              </w:rPr>
              <w:t>重点</w:t>
            </w:r>
            <w:r>
              <w:rPr>
                <w:rFonts w:hint="default" w:ascii="Times New Roman" w:hAnsi="Times New Roman" w:eastAsia="宋体" w:cs="Times New Roman"/>
                <w:color w:val="auto"/>
                <w:kern w:val="2"/>
                <w:sz w:val="21"/>
                <w:szCs w:val="21"/>
                <w:lang w:val="en-US" w:eastAsia="zh-CN" w:bidi="ar-SA"/>
              </w:rPr>
              <w:t>管理。建设单位应在启动生产设施或者实际排污之前，依法向韶关市生态环境局申请取得排污许可证，并按照排污许可证的规定排放污染物。</w:t>
            </w:r>
          </w:p>
          <w:p w14:paraId="43ED8AD1">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rPr>
              <w:t>（四）竣工验收要求</w:t>
            </w:r>
          </w:p>
          <w:p w14:paraId="5F8F8828">
            <w:pPr>
              <w:keepNext w:val="0"/>
              <w:keepLines w:val="0"/>
              <w:pageBreakBefore w:val="0"/>
              <w:widowControl w:val="0"/>
              <w:kinsoku/>
              <w:overflowPunct/>
              <w:topLinePunct w:val="0"/>
              <w:autoSpaceDE/>
              <w:autoSpaceDN/>
              <w:bidi w:val="0"/>
              <w:adjustRightInd w:val="0"/>
              <w:snapToGrid w:val="0"/>
              <w:spacing w:before="0" w:beforeLines="15" w:after="0" w:afterLines="15" w:line="360" w:lineRule="auto"/>
              <w:ind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 xml:space="preserve">根据《建设项目竣工环境保护验收暂行办法》（国环规环评〔2017〕4号），建设单位自行验收。本项目自行验收要求如下： </w:t>
            </w:r>
          </w:p>
          <w:p w14:paraId="4598ECE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1.</w:t>
            </w:r>
            <w:r>
              <w:rPr>
                <w:rFonts w:hint="default" w:ascii="Times New Roman" w:hAnsi="Times New Roman" w:eastAsia="宋体" w:cs="Times New Roman"/>
                <w:color w:val="auto"/>
                <w:sz w:val="21"/>
                <w:szCs w:val="21"/>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3B623E1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2.</w:t>
            </w:r>
            <w:r>
              <w:rPr>
                <w:rFonts w:hint="default" w:ascii="Times New Roman" w:hAnsi="Times New Roman" w:eastAsia="宋体" w:cs="Times New Roman"/>
                <w:color w:val="auto"/>
                <w:sz w:val="21"/>
                <w:szCs w:val="21"/>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369B107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3.</w:t>
            </w:r>
            <w:r>
              <w:rPr>
                <w:rFonts w:hint="default" w:ascii="Times New Roman" w:hAnsi="Times New Roman" w:eastAsia="宋体" w:cs="Times New Roman"/>
                <w:color w:val="auto"/>
                <w:sz w:val="21"/>
                <w:szCs w:val="21"/>
              </w:rPr>
              <w:t xml:space="preserve">存在下列情形之一的建设项目，不得通过竣工环境保护验收： </w:t>
            </w:r>
          </w:p>
          <w:p w14:paraId="4F00D2A9">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（1）</w:t>
            </w:r>
            <w:r>
              <w:rPr>
                <w:rFonts w:hint="default" w:ascii="Times New Roman" w:hAnsi="Times New Roman" w:eastAsia="宋体" w:cs="Times New Roman"/>
                <w:color w:val="auto"/>
                <w:kern w:val="0"/>
                <w:sz w:val="21"/>
                <w:szCs w:val="21"/>
                <w:lang w:val="en-US" w:eastAsia="zh-CN" w:bidi="ar-SA"/>
              </w:rPr>
              <w:t>未按环境影响报告表及其审批部门审批决定要求建成环境保护设施，或者环境保护设施不能与主体工程同时投产或者使用的；</w:t>
            </w:r>
          </w:p>
          <w:p w14:paraId="559AA57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（2）</w:t>
            </w:r>
            <w:r>
              <w:rPr>
                <w:rFonts w:hint="default" w:ascii="Times New Roman" w:hAnsi="Times New Roman" w:eastAsia="宋体" w:cs="Times New Roman"/>
                <w:color w:val="auto"/>
                <w:kern w:val="0"/>
                <w:sz w:val="21"/>
                <w:szCs w:val="21"/>
                <w:lang w:val="en-US" w:eastAsia="zh-CN" w:bidi="ar-SA"/>
              </w:rPr>
              <w:t>污染物排放不符合国家和地方相关标准、环境影响报告书及其审批部门审批决定或者重点污染物排放总量控制指标要求的；</w:t>
            </w:r>
          </w:p>
          <w:p w14:paraId="36E26B7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（3）</w:t>
            </w:r>
            <w:r>
              <w:rPr>
                <w:rFonts w:hint="default" w:ascii="Times New Roman" w:hAnsi="Times New Roman" w:eastAsia="宋体" w:cs="Times New Roman"/>
                <w:color w:val="auto"/>
                <w:kern w:val="0"/>
                <w:sz w:val="21"/>
                <w:szCs w:val="21"/>
                <w:lang w:val="en-US" w:eastAsia="zh-CN" w:bidi="ar-SA"/>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17F51485">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（4）</w:t>
            </w:r>
            <w:r>
              <w:rPr>
                <w:rFonts w:hint="default" w:ascii="Times New Roman" w:hAnsi="Times New Roman" w:eastAsia="宋体" w:cs="Times New Roman"/>
                <w:color w:val="auto"/>
                <w:kern w:val="0"/>
                <w:sz w:val="21"/>
                <w:szCs w:val="21"/>
                <w:lang w:val="en-US" w:eastAsia="zh-CN" w:bidi="ar-SA"/>
              </w:rPr>
              <w:t xml:space="preserve">建设过程中造成重大环境污染未治理完成，或者造成重大生态破坏未恢复的； </w:t>
            </w:r>
          </w:p>
          <w:p w14:paraId="385C836A">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（5）</w:t>
            </w:r>
            <w:r>
              <w:rPr>
                <w:rFonts w:hint="default" w:ascii="Times New Roman" w:hAnsi="Times New Roman" w:eastAsia="宋体" w:cs="Times New Roman"/>
                <w:color w:val="auto"/>
                <w:kern w:val="0"/>
                <w:sz w:val="21"/>
                <w:szCs w:val="21"/>
                <w:lang w:val="en-US" w:eastAsia="zh-CN" w:bidi="ar-SA"/>
              </w:rPr>
              <w:t>纳入排污许可管理的建设项目，无证排污或者不按证排污的；</w:t>
            </w:r>
          </w:p>
          <w:p w14:paraId="53769954">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（6）</w:t>
            </w:r>
            <w:r>
              <w:rPr>
                <w:rFonts w:hint="default" w:ascii="Times New Roman" w:hAnsi="Times New Roman" w:eastAsia="宋体" w:cs="Times New Roman"/>
                <w:color w:val="auto"/>
                <w:kern w:val="0"/>
                <w:sz w:val="21"/>
                <w:szCs w:val="21"/>
                <w:lang w:val="en-US" w:eastAsia="zh-CN" w:bidi="ar-SA"/>
              </w:rPr>
              <w:t>建设单位因该建设项目违反国家和地方环境保护法律法规受到处罚，被责令改正，尚未改正完成的；</w:t>
            </w:r>
          </w:p>
          <w:p w14:paraId="13E0DFB7">
            <w:pPr>
              <w:keepNext w:val="0"/>
              <w:keepLines w:val="0"/>
              <w:pageBreakBefore w:val="0"/>
              <w:widowControl w:val="0"/>
              <w:numPr>
                <w:ilvl w:val="0"/>
                <w:numId w:val="0"/>
              </w:numPr>
              <w:kinsoku/>
              <w:overflowPunct/>
              <w:topLinePunct w:val="0"/>
              <w:autoSpaceDE/>
              <w:autoSpaceDN/>
              <w:bidi w:val="0"/>
              <w:adjustRightInd w:val="0"/>
              <w:snapToGrid w:val="0"/>
              <w:spacing w:before="0" w:beforeLines="15" w:after="0" w:afterLines="15" w:line="360" w:lineRule="auto"/>
              <w:ind w:left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eastAsia="宋体" w:cs="Times New Roman"/>
                <w:color w:val="auto"/>
                <w:kern w:val="0"/>
                <w:sz w:val="21"/>
                <w:szCs w:val="21"/>
                <w:lang w:val="en-US" w:eastAsia="zh-CN" w:bidi="ar-SA"/>
              </w:rPr>
              <w:t>（7）</w:t>
            </w:r>
            <w:r>
              <w:rPr>
                <w:rFonts w:hint="default" w:ascii="Times New Roman" w:hAnsi="Times New Roman" w:eastAsia="宋体" w:cs="Times New Roman"/>
                <w:color w:val="auto"/>
                <w:kern w:val="0"/>
                <w:sz w:val="21"/>
                <w:szCs w:val="21"/>
                <w:lang w:val="en-US" w:eastAsia="zh-CN" w:bidi="ar-SA"/>
              </w:rPr>
              <w:t>验收报告的基础资料数据明显不实，内容存在重大缺项、遗漏，或者验收结论不明确、不合理的。</w:t>
            </w:r>
          </w:p>
          <w:p w14:paraId="2E5CB13A">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4.</w:t>
            </w:r>
            <w:r>
              <w:rPr>
                <w:rFonts w:hint="default" w:ascii="Times New Roman" w:hAnsi="Times New Roman" w:eastAsia="宋体" w:cs="Times New Roman"/>
                <w:color w:val="auto"/>
                <w:sz w:val="21"/>
                <w:szCs w:val="21"/>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44B565E8">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①</w:t>
            </w:r>
            <w:r>
              <w:rPr>
                <w:rFonts w:hint="default" w:ascii="Times New Roman" w:hAnsi="Times New Roman" w:eastAsia="宋体" w:cs="Times New Roman"/>
                <w:color w:val="auto"/>
                <w:kern w:val="0"/>
                <w:sz w:val="21"/>
                <w:szCs w:val="21"/>
                <w:lang w:val="en-US" w:eastAsia="zh-CN" w:bidi="ar-SA"/>
              </w:rPr>
              <w:t>建设项目配套建设的环境保护设施竣工后，公开竣工日期；</w:t>
            </w:r>
          </w:p>
          <w:p w14:paraId="0008686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②</w:t>
            </w:r>
            <w:r>
              <w:rPr>
                <w:rFonts w:hint="default" w:ascii="Times New Roman" w:hAnsi="Times New Roman" w:eastAsia="宋体" w:cs="Times New Roman"/>
                <w:color w:val="auto"/>
                <w:kern w:val="0"/>
                <w:sz w:val="21"/>
                <w:szCs w:val="21"/>
                <w:lang w:val="en-US" w:eastAsia="zh-CN" w:bidi="ar-SA"/>
              </w:rPr>
              <w:t>对建设项目配套建设的环境保护设施进行调试前，公开调试的起止日期；</w:t>
            </w:r>
          </w:p>
          <w:p w14:paraId="580B1067">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before="0" w:beforeLines="15" w:after="0" w:afterLines="15" w:line="360" w:lineRule="auto"/>
              <w:ind w:left="0" w:leftChars="0" w:firstLine="420" w:firstLineChars="200"/>
              <w:jc w:val="left"/>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b/>
                <w:bCs/>
                <w:color w:val="auto"/>
                <w:kern w:val="0"/>
                <w:sz w:val="21"/>
                <w:szCs w:val="21"/>
                <w:lang w:val="en-US" w:eastAsia="zh-CN" w:bidi="ar-SA"/>
              </w:rPr>
              <w:t>③</w:t>
            </w:r>
            <w:r>
              <w:rPr>
                <w:rFonts w:hint="default" w:ascii="Times New Roman" w:hAnsi="Times New Roman" w:eastAsia="宋体" w:cs="Times New Roman"/>
                <w:color w:val="auto"/>
                <w:kern w:val="0"/>
                <w:sz w:val="21"/>
                <w:szCs w:val="21"/>
                <w:lang w:val="en-US" w:eastAsia="zh-CN" w:bidi="ar-SA"/>
              </w:rPr>
              <w:t>验收报告编制完成后5个工作日内，公开验收报告，公示的期限不得少于20个工作日。</w:t>
            </w:r>
          </w:p>
          <w:p w14:paraId="14086EA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2"/>
                <w:sz w:val="21"/>
                <w:szCs w:val="21"/>
                <w:lang w:val="en-US" w:eastAsia="zh-CN" w:bidi="ar-SA"/>
              </w:rPr>
              <w:t>5.</w:t>
            </w:r>
            <w:r>
              <w:rPr>
                <w:rFonts w:hint="default" w:ascii="Times New Roman" w:hAnsi="Times New Roman" w:eastAsia="宋体" w:cs="Times New Roman"/>
                <w:color w:val="auto"/>
                <w:sz w:val="21"/>
                <w:szCs w:val="21"/>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4E063552">
            <w:pPr>
              <w:pStyle w:val="2"/>
              <w:rPr>
                <w:rFonts w:hint="default"/>
                <w:color w:val="auto"/>
              </w:rPr>
            </w:pPr>
          </w:p>
        </w:tc>
      </w:tr>
    </w:tbl>
    <w:p w14:paraId="3D2AD152">
      <w:pPr>
        <w:pStyle w:val="7"/>
        <w:numPr>
          <w:ilvl w:val="0"/>
          <w:numId w:val="0"/>
        </w:numPr>
        <w:rPr>
          <w:rFonts w:hint="default" w:ascii="Times New Roman" w:hAnsi="Times New Roman" w:cs="Times New Roman"/>
          <w:color w:val="auto"/>
          <w:highlight w:val="none"/>
        </w:rPr>
      </w:pPr>
      <w:bookmarkStart w:id="118" w:name="_Toc8623"/>
      <w:r>
        <w:rPr>
          <w:rFonts w:hint="default" w:ascii="Times New Roman" w:hAnsi="Times New Roman" w:cs="Times New Roman"/>
          <w:color w:val="auto"/>
          <w:highlight w:val="none"/>
        </w:rPr>
        <w:t>六、结论</w:t>
      </w:r>
      <w:bookmarkEnd w:id="116"/>
      <w:bookmarkEnd w:id="117"/>
      <w:bookmarkEnd w:id="118"/>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8"/>
      </w:tblGrid>
      <w:tr w14:paraId="32B2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4" w:hRule="atLeast"/>
        </w:trPr>
        <w:tc>
          <w:tcPr>
            <w:tcW w:w="5000" w:type="pct"/>
          </w:tcPr>
          <w:p w14:paraId="20E9A56D">
            <w:pPr>
              <w:adjustRightInd w:val="0"/>
              <w:ind w:firstLine="480" w:firstLineChars="200"/>
              <w:rPr>
                <w:rFonts w:hint="default" w:ascii="Times New Roman" w:hAnsi="Times New Roman" w:cs="Times New Roman"/>
                <w:bCs/>
                <w:color w:val="auto"/>
                <w:kern w:val="0"/>
                <w:highlight w:val="none"/>
              </w:rPr>
            </w:pPr>
          </w:p>
          <w:p w14:paraId="48045B3A">
            <w:pPr>
              <w:adjustRightInd w:val="0"/>
              <w:ind w:firstLine="480" w:firstLineChars="200"/>
              <w:rPr>
                <w:rFonts w:hint="default" w:ascii="Times New Roman" w:hAnsi="Times New Roman" w:cs="Times New Roman"/>
                <w:bCs/>
                <w:color w:val="auto"/>
                <w:kern w:val="0"/>
                <w:highlight w:val="none"/>
              </w:rPr>
            </w:pPr>
          </w:p>
          <w:p w14:paraId="1FFA828D">
            <w:pPr>
              <w:adjustRightInd w:val="0"/>
              <w:ind w:firstLine="480" w:firstLineChars="200"/>
              <w:rPr>
                <w:rFonts w:hint="default" w:ascii="Times New Roman" w:hAnsi="Times New Roman" w:cs="Times New Roman"/>
                <w:bCs/>
                <w:color w:val="auto"/>
                <w:kern w:val="0"/>
                <w:highlight w:val="none"/>
              </w:rPr>
            </w:pPr>
          </w:p>
          <w:p w14:paraId="16904AD3">
            <w:pPr>
              <w:adjustRightInd w:val="0"/>
              <w:ind w:firstLine="480" w:firstLineChars="200"/>
              <w:rPr>
                <w:rFonts w:hint="default" w:ascii="Times New Roman" w:hAnsi="Times New Roman" w:cs="Times New Roman"/>
                <w:bCs/>
                <w:color w:val="auto"/>
                <w:kern w:val="0"/>
                <w:highlight w:val="none"/>
              </w:rPr>
            </w:pPr>
          </w:p>
          <w:p w14:paraId="3178D62D">
            <w:pPr>
              <w:adjustRightInd w:val="0"/>
              <w:ind w:firstLine="480" w:firstLineChars="200"/>
              <w:rPr>
                <w:rFonts w:hint="default" w:ascii="Times New Roman" w:hAnsi="Times New Roman" w:cs="Times New Roman"/>
                <w:bCs/>
                <w:color w:val="auto"/>
                <w:kern w:val="0"/>
                <w:highlight w:val="none"/>
              </w:rPr>
            </w:pPr>
          </w:p>
          <w:p w14:paraId="05CCEE8A">
            <w:pPr>
              <w:adjustRightInd w:val="0"/>
              <w:ind w:firstLine="480" w:firstLineChars="200"/>
              <w:rPr>
                <w:rFonts w:hint="default" w:ascii="Times New Roman" w:hAnsi="Times New Roman" w:cs="Times New Roman"/>
                <w:bCs/>
                <w:color w:val="auto"/>
                <w:kern w:val="0"/>
                <w:highlight w:val="none"/>
              </w:rPr>
            </w:pPr>
          </w:p>
          <w:p w14:paraId="2A1951E5">
            <w:pPr>
              <w:rPr>
                <w:rFonts w:hint="default" w:ascii="Times New Roman" w:hAnsi="Times New Roman" w:cs="Times New Roman"/>
                <w:color w:val="auto"/>
                <w:highlight w:val="none"/>
              </w:rPr>
            </w:pPr>
          </w:p>
          <w:p w14:paraId="4EB3303C">
            <w:pPr>
              <w:adjustRightInd w:val="0"/>
              <w:ind w:firstLine="480" w:firstLineChars="200"/>
              <w:rPr>
                <w:rFonts w:hint="default" w:ascii="Times New Roman" w:hAnsi="Times New Roman" w:cs="Times New Roman"/>
                <w:bCs/>
                <w:color w:val="auto"/>
                <w:kern w:val="0"/>
                <w:highlight w:val="none"/>
              </w:rPr>
            </w:pPr>
          </w:p>
          <w:p w14:paraId="0CE7DC56">
            <w:pPr>
              <w:adjustRightInd w:val="0"/>
              <w:ind w:firstLine="480" w:firstLineChars="200"/>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按照本次评价，在严格落实前文提出的各项环境保护措施，并加强污染防治设施维护管理的情况下，本项目产生的污染物及不良环境影响能够得到有效控制，</w:t>
            </w:r>
            <w:r>
              <w:rPr>
                <w:rFonts w:hint="default" w:ascii="Times New Roman" w:hAnsi="Times New Roman" w:cs="Times New Roman"/>
                <w:b/>
                <w:color w:val="auto"/>
                <w:kern w:val="0"/>
                <w:highlight w:val="none"/>
              </w:rPr>
              <w:t>从环境保护角度分析，项目的建设是可行的</w:t>
            </w:r>
            <w:r>
              <w:rPr>
                <w:rFonts w:hint="default" w:ascii="Times New Roman" w:hAnsi="Times New Roman" w:cs="Times New Roman"/>
                <w:bCs/>
                <w:color w:val="auto"/>
                <w:kern w:val="0"/>
                <w:highlight w:val="none"/>
              </w:rPr>
              <w:t>。</w:t>
            </w:r>
          </w:p>
          <w:p w14:paraId="3F3FC1A9">
            <w:pPr>
              <w:ind w:firstLine="480"/>
              <w:rPr>
                <w:rFonts w:hint="default" w:ascii="Times New Roman" w:hAnsi="Times New Roman" w:cs="Times New Roman"/>
                <w:color w:val="auto"/>
                <w:highlight w:val="none"/>
              </w:rPr>
            </w:pPr>
            <w:r>
              <w:rPr>
                <w:rFonts w:hint="default" w:ascii="Times New Roman" w:hAnsi="Times New Roman" w:cs="Times New Roman"/>
                <w:bCs/>
                <w:color w:val="auto"/>
                <w:highlight w:val="none"/>
              </w:rPr>
              <w:t>本环境影响报告表通过审批后</w:t>
            </w:r>
            <w:r>
              <w:rPr>
                <w:rFonts w:hint="default" w:ascii="Times New Roman" w:hAnsi="Times New Roman" w:cs="Times New Roman"/>
                <w:color w:val="auto"/>
                <w:highlight w:val="none"/>
              </w:rPr>
              <w:t>，建设内容如发生重大变动，建设单位需要重新组织编制和报批环境影响评价文件。建设单位应当严格执行配套建设的环境保护设施与主体工程同时设计、同时施工、同时投产使用的环境保护“三同时”制度。本项目竣工后，建设单位应当按照国家和地方规定的标准和程序，对配套建设的环境保护设施进行验收，编制验收报告，提出验收意见，并依法向社会公开。本项目配套建设的环境保护设施经验收合格后，主体工程方可正式投入生产。</w:t>
            </w:r>
          </w:p>
          <w:p w14:paraId="6202B31F">
            <w:pPr>
              <w:rPr>
                <w:rFonts w:hint="default" w:ascii="Times New Roman" w:hAnsi="Times New Roman" w:cs="Times New Roman"/>
                <w:color w:val="auto"/>
                <w:highlight w:val="none"/>
              </w:rPr>
            </w:pPr>
          </w:p>
          <w:p w14:paraId="12DDF19C">
            <w:pPr>
              <w:rPr>
                <w:rFonts w:hint="default" w:ascii="Times New Roman" w:hAnsi="Times New Roman" w:cs="Times New Roman"/>
                <w:color w:val="auto"/>
                <w:highlight w:val="none"/>
              </w:rPr>
            </w:pPr>
          </w:p>
          <w:p w14:paraId="6C7B5380">
            <w:pPr>
              <w:rPr>
                <w:rFonts w:hint="default" w:ascii="Times New Roman" w:hAnsi="Times New Roman" w:cs="Times New Roman"/>
                <w:color w:val="auto"/>
                <w:highlight w:val="none"/>
              </w:rPr>
            </w:pPr>
          </w:p>
          <w:p w14:paraId="0F6A577F">
            <w:pPr>
              <w:rPr>
                <w:rFonts w:hint="default" w:ascii="Times New Roman" w:hAnsi="Times New Roman" w:cs="Times New Roman"/>
                <w:color w:val="auto"/>
                <w:highlight w:val="none"/>
              </w:rPr>
            </w:pPr>
          </w:p>
          <w:p w14:paraId="4DBF3827">
            <w:pPr>
              <w:rPr>
                <w:rFonts w:hint="default" w:ascii="Times New Roman" w:hAnsi="Times New Roman" w:cs="Times New Roman"/>
                <w:color w:val="auto"/>
                <w:highlight w:val="none"/>
              </w:rPr>
            </w:pPr>
          </w:p>
          <w:p w14:paraId="78B51E91">
            <w:pPr>
              <w:rPr>
                <w:rFonts w:hint="default" w:ascii="Times New Roman" w:hAnsi="Times New Roman" w:cs="Times New Roman"/>
                <w:color w:val="auto"/>
                <w:highlight w:val="none"/>
              </w:rPr>
            </w:pPr>
          </w:p>
        </w:tc>
      </w:tr>
    </w:tbl>
    <w:p w14:paraId="4666C19F">
      <w:pPr>
        <w:rPr>
          <w:rFonts w:hint="default" w:ascii="Times New Roman" w:hAnsi="Times New Roman" w:eastAsia="黑体" w:cs="Times New Roman"/>
          <w:snapToGrid w:val="0"/>
          <w:color w:val="auto"/>
          <w:sz w:val="32"/>
          <w:szCs w:val="32"/>
          <w:highlight w:val="none"/>
        </w:rPr>
        <w:sectPr>
          <w:pgSz w:w="11906" w:h="16838"/>
          <w:pgMar w:top="1440" w:right="1417" w:bottom="1440" w:left="1417"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561C3BDE">
      <w:pPr>
        <w:jc w:val="left"/>
        <w:outlineLvl w:val="0"/>
        <w:rPr>
          <w:rFonts w:hint="default" w:ascii="Times New Roman" w:hAnsi="Times New Roman" w:eastAsia="宋体" w:cs="Times New Roman"/>
          <w:color w:val="auto"/>
          <w:sz w:val="28"/>
          <w:szCs w:val="28"/>
          <w:highlight w:val="none"/>
          <w:lang w:val="en-US" w:eastAsia="zh-CN"/>
        </w:rPr>
      </w:pPr>
      <w:bookmarkStart w:id="119" w:name="_Toc11777"/>
      <w:bookmarkStart w:id="120" w:name="_Toc19930"/>
      <w:bookmarkStart w:id="121" w:name="_Toc19831"/>
      <w:r>
        <w:rPr>
          <w:rFonts w:hint="default" w:ascii="Times New Roman" w:hAnsi="Times New Roman" w:eastAsia="宋体" w:cs="Times New Roman"/>
          <w:color w:val="auto"/>
          <w:sz w:val="28"/>
          <w:szCs w:val="28"/>
          <w:highlight w:val="none"/>
          <w:lang w:val="en-US" w:eastAsia="zh-CN"/>
        </w:rPr>
        <w:t>附表</w:t>
      </w:r>
      <w:bookmarkEnd w:id="119"/>
      <w:bookmarkEnd w:id="120"/>
    </w:p>
    <w:p w14:paraId="657A7C77">
      <w:pPr>
        <w:jc w:val="center"/>
        <w:outlineLvl w:val="9"/>
        <w:rPr>
          <w:rFonts w:hint="default" w:ascii="Times New Roman" w:hAnsi="Times New Roman" w:eastAsia="黑体" w:cs="Times New Roman"/>
          <w:color w:val="auto"/>
          <w:sz w:val="40"/>
          <w:szCs w:val="40"/>
          <w:highlight w:val="none"/>
        </w:rPr>
      </w:pPr>
      <w:r>
        <w:rPr>
          <w:rFonts w:hint="default" w:ascii="Times New Roman" w:hAnsi="Times New Roman" w:eastAsia="黑体" w:cs="Times New Roman"/>
          <w:color w:val="auto"/>
          <w:sz w:val="40"/>
          <w:szCs w:val="40"/>
          <w:highlight w:val="none"/>
        </w:rPr>
        <w:t>建设项目污染物排放量汇总表</w:t>
      </w:r>
      <w:bookmarkEnd w:id="121"/>
    </w:p>
    <w:tbl>
      <w:tblPr>
        <w:tblStyle w:val="4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2221"/>
        <w:gridCol w:w="1396"/>
        <w:gridCol w:w="1572"/>
        <w:gridCol w:w="1489"/>
        <w:gridCol w:w="1662"/>
        <w:gridCol w:w="1575"/>
        <w:gridCol w:w="1731"/>
        <w:gridCol w:w="1416"/>
      </w:tblGrid>
      <w:tr w14:paraId="6DC3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tcBorders>
              <w:tl2br w:val="single" w:color="auto" w:sz="4" w:space="0"/>
            </w:tcBorders>
            <w:vAlign w:val="center"/>
          </w:tcPr>
          <w:p w14:paraId="67580B03">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lang w:val="en-US" w:eastAsia="zh-CN"/>
              </w:rPr>
              <w:t xml:space="preserve">    </w:t>
            </w:r>
            <w:r>
              <w:rPr>
                <w:rFonts w:hint="default" w:ascii="Times New Roman" w:hAnsi="Times New Roman" w:eastAsia="黑体" w:cs="Times New Roman"/>
                <w:color w:val="auto"/>
                <w:sz w:val="21"/>
                <w:szCs w:val="21"/>
                <w:highlight w:val="none"/>
              </w:rPr>
              <w:t>项目</w:t>
            </w:r>
          </w:p>
          <w:p w14:paraId="5EA254AD">
            <w:pPr>
              <w:spacing w:line="240" w:lineRule="auto"/>
              <w:jc w:val="both"/>
              <w:rPr>
                <w:rFonts w:hint="default" w:ascii="Times New Roman" w:hAnsi="Times New Roman" w:cs="Times New Roman"/>
                <w:color w:val="auto"/>
                <w:sz w:val="21"/>
                <w:szCs w:val="21"/>
                <w:highlight w:val="none"/>
              </w:rPr>
            </w:pPr>
            <w:r>
              <w:rPr>
                <w:rFonts w:hint="default" w:ascii="Times New Roman" w:hAnsi="Times New Roman" w:eastAsia="黑体" w:cs="Times New Roman"/>
                <w:color w:val="auto"/>
                <w:sz w:val="21"/>
                <w:szCs w:val="21"/>
                <w:highlight w:val="none"/>
              </w:rPr>
              <w:t>分类</w:t>
            </w:r>
          </w:p>
        </w:tc>
        <w:tc>
          <w:tcPr>
            <w:tcW w:w="783" w:type="pct"/>
            <w:vAlign w:val="center"/>
          </w:tcPr>
          <w:p w14:paraId="05CB1918">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污染物名称</w:t>
            </w:r>
          </w:p>
        </w:tc>
        <w:tc>
          <w:tcPr>
            <w:tcW w:w="492" w:type="pct"/>
            <w:vAlign w:val="center"/>
          </w:tcPr>
          <w:p w14:paraId="2E7F68BE">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现有工程排放量（固体废物产生量）①</w:t>
            </w:r>
          </w:p>
        </w:tc>
        <w:tc>
          <w:tcPr>
            <w:tcW w:w="554" w:type="pct"/>
            <w:vAlign w:val="center"/>
          </w:tcPr>
          <w:p w14:paraId="769EC350">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现有工程排污许可排放量②</w:t>
            </w:r>
          </w:p>
        </w:tc>
        <w:tc>
          <w:tcPr>
            <w:tcW w:w="525" w:type="pct"/>
            <w:vAlign w:val="center"/>
          </w:tcPr>
          <w:p w14:paraId="2FE48CFC">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在建工程排放量（固体废物产生量）③</w:t>
            </w:r>
          </w:p>
        </w:tc>
        <w:tc>
          <w:tcPr>
            <w:tcW w:w="586" w:type="pct"/>
            <w:vAlign w:val="center"/>
          </w:tcPr>
          <w:p w14:paraId="28C196DC">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本项目排放量（固体废物产生量）④</w:t>
            </w:r>
          </w:p>
        </w:tc>
        <w:tc>
          <w:tcPr>
            <w:tcW w:w="555" w:type="pct"/>
            <w:vAlign w:val="center"/>
          </w:tcPr>
          <w:p w14:paraId="76A365B0">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以新带老削减量（新建项目不填）⑤</w:t>
            </w:r>
          </w:p>
        </w:tc>
        <w:tc>
          <w:tcPr>
            <w:tcW w:w="610" w:type="pct"/>
            <w:vAlign w:val="center"/>
          </w:tcPr>
          <w:p w14:paraId="2BA083CD">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本项目建成后全厂排放量（固体废物产生量）⑥</w:t>
            </w:r>
          </w:p>
        </w:tc>
        <w:tc>
          <w:tcPr>
            <w:tcW w:w="499" w:type="pct"/>
            <w:vAlign w:val="center"/>
          </w:tcPr>
          <w:p w14:paraId="21664CAA">
            <w:pPr>
              <w:spacing w:line="240" w:lineRule="auto"/>
              <w:jc w:val="center"/>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变化量⑦</w:t>
            </w:r>
          </w:p>
        </w:tc>
      </w:tr>
      <w:tr w14:paraId="044B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6C26A16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w:t>
            </w:r>
          </w:p>
        </w:tc>
        <w:tc>
          <w:tcPr>
            <w:tcW w:w="783" w:type="pct"/>
            <w:vAlign w:val="center"/>
          </w:tcPr>
          <w:p w14:paraId="2380F0B4">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废水量</w:t>
            </w:r>
            <w:r>
              <w:rPr>
                <w:rFonts w:hint="default" w:ascii="Times New Roman" w:hAnsi="Times New Roman" w:cs="Times New Roman"/>
                <w:color w:val="auto"/>
                <w:kern w:val="0"/>
                <w:sz w:val="21"/>
                <w:szCs w:val="21"/>
                <w:highlight w:val="none"/>
              </w:rPr>
              <w:t>（万t/a）</w:t>
            </w:r>
          </w:p>
        </w:tc>
        <w:tc>
          <w:tcPr>
            <w:tcW w:w="492" w:type="pct"/>
            <w:vAlign w:val="center"/>
          </w:tcPr>
          <w:p w14:paraId="38C0B0D6">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57FB3C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03A9A74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4CF903D8">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c>
          <w:tcPr>
            <w:tcW w:w="555" w:type="pct"/>
            <w:vAlign w:val="center"/>
          </w:tcPr>
          <w:p w14:paraId="67C8AB1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8BCA771">
            <w:pPr>
              <w:pStyle w:val="61"/>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c>
          <w:tcPr>
            <w:tcW w:w="499" w:type="pct"/>
            <w:vAlign w:val="center"/>
          </w:tcPr>
          <w:p w14:paraId="36D5D3E8">
            <w:pPr>
              <w:pStyle w:val="61"/>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+0.00504</w:t>
            </w:r>
          </w:p>
        </w:tc>
      </w:tr>
      <w:tr w14:paraId="3F47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37641253">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1F26F87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COD</w:t>
            </w:r>
            <w:r>
              <w:rPr>
                <w:rFonts w:hint="default" w:ascii="Times New Roman" w:hAnsi="Times New Roman" w:cs="Times New Roman"/>
                <w:color w:val="auto"/>
                <w:kern w:val="0"/>
                <w:sz w:val="21"/>
                <w:szCs w:val="21"/>
                <w:highlight w:val="none"/>
                <w:vertAlign w:val="subscript"/>
              </w:rPr>
              <w:t>Cr</w:t>
            </w:r>
            <w:r>
              <w:rPr>
                <w:rFonts w:hint="default" w:ascii="Times New Roman" w:hAnsi="Times New Roman" w:cs="Times New Roman"/>
                <w:color w:val="auto"/>
                <w:kern w:val="0"/>
                <w:sz w:val="21"/>
                <w:szCs w:val="21"/>
                <w:highlight w:val="none"/>
              </w:rPr>
              <w:t>（t/a）</w:t>
            </w:r>
          </w:p>
        </w:tc>
        <w:tc>
          <w:tcPr>
            <w:tcW w:w="492" w:type="pct"/>
            <w:vAlign w:val="center"/>
          </w:tcPr>
          <w:p w14:paraId="3EB3CC7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15DB6ED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B54BAF2">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36F863FC">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555" w:type="pct"/>
            <w:vAlign w:val="center"/>
          </w:tcPr>
          <w:p w14:paraId="6CA80AED">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429B1890">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c>
          <w:tcPr>
            <w:tcW w:w="499" w:type="pct"/>
            <w:vAlign w:val="center"/>
          </w:tcPr>
          <w:p w14:paraId="7638F642">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w:t>
            </w:r>
            <w:r>
              <w:rPr>
                <w:rFonts w:hint="eastAsia" w:cs="Times New Roman"/>
                <w:i w:val="0"/>
                <w:iCs w:val="0"/>
                <w:color w:val="auto"/>
                <w:kern w:val="0"/>
                <w:sz w:val="21"/>
                <w:szCs w:val="21"/>
                <w:highlight w:val="none"/>
                <w:u w:val="none"/>
                <w:lang w:val="en-US" w:eastAsia="zh-CN"/>
              </w:rPr>
              <w:t>01008</w:t>
            </w:r>
          </w:p>
        </w:tc>
      </w:tr>
      <w:tr w14:paraId="6BA2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64D5C2E9">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5A4754C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BOD</w:t>
            </w:r>
            <w:r>
              <w:rPr>
                <w:rFonts w:hint="default" w:ascii="Times New Roman" w:hAnsi="Times New Roman" w:cs="Times New Roman"/>
                <w:color w:val="auto"/>
                <w:kern w:val="0"/>
                <w:sz w:val="21"/>
                <w:szCs w:val="21"/>
                <w:highlight w:val="none"/>
                <w:vertAlign w:val="subscript"/>
              </w:rPr>
              <w:t>5</w:t>
            </w:r>
            <w:r>
              <w:rPr>
                <w:rFonts w:hint="default" w:ascii="Times New Roman" w:hAnsi="Times New Roman" w:cs="Times New Roman"/>
                <w:color w:val="auto"/>
                <w:kern w:val="0"/>
                <w:sz w:val="21"/>
                <w:szCs w:val="21"/>
                <w:highlight w:val="none"/>
              </w:rPr>
              <w:t>（t/a）</w:t>
            </w:r>
          </w:p>
        </w:tc>
        <w:tc>
          <w:tcPr>
            <w:tcW w:w="492" w:type="pct"/>
            <w:vAlign w:val="center"/>
          </w:tcPr>
          <w:p w14:paraId="2715D7BA">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0A7EC873">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5403B726">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1CC9A3FB">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555" w:type="pct"/>
            <w:vAlign w:val="center"/>
          </w:tcPr>
          <w:p w14:paraId="0B7EB2E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2AE40B3F">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c>
          <w:tcPr>
            <w:tcW w:w="499" w:type="pct"/>
            <w:vAlign w:val="center"/>
          </w:tcPr>
          <w:p w14:paraId="69341F33">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0393</w:t>
            </w:r>
          </w:p>
        </w:tc>
      </w:tr>
      <w:tr w14:paraId="4CBC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40198EFE">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4527122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SS（t/a）</w:t>
            </w:r>
          </w:p>
        </w:tc>
        <w:tc>
          <w:tcPr>
            <w:tcW w:w="492" w:type="pct"/>
            <w:vAlign w:val="center"/>
          </w:tcPr>
          <w:p w14:paraId="0ACE5D1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06F80D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173ED7C0">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641D7E00">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555" w:type="pct"/>
            <w:vAlign w:val="center"/>
          </w:tcPr>
          <w:p w14:paraId="467C3AF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2313A08C">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c>
          <w:tcPr>
            <w:tcW w:w="499" w:type="pct"/>
            <w:vAlign w:val="center"/>
          </w:tcPr>
          <w:p w14:paraId="0FCC0E83">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w:t>
            </w:r>
            <w:r>
              <w:rPr>
                <w:rFonts w:hint="eastAsia" w:cs="Times New Roman"/>
                <w:i w:val="0"/>
                <w:iCs w:val="0"/>
                <w:color w:val="auto"/>
                <w:kern w:val="0"/>
                <w:sz w:val="21"/>
                <w:szCs w:val="21"/>
                <w:highlight w:val="none"/>
                <w:u w:val="none"/>
                <w:lang w:val="en-US" w:eastAsia="zh-CN"/>
              </w:rPr>
              <w:t>0353</w:t>
            </w:r>
          </w:p>
        </w:tc>
      </w:tr>
      <w:tr w14:paraId="3DC3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4DD1D4F5">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6CCBDF0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氨氮（t/a）</w:t>
            </w:r>
          </w:p>
        </w:tc>
        <w:tc>
          <w:tcPr>
            <w:tcW w:w="492" w:type="pct"/>
            <w:vAlign w:val="center"/>
          </w:tcPr>
          <w:p w14:paraId="2D6713A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24EE0C2">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4A6494C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3FD018E4">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555" w:type="pct"/>
            <w:vAlign w:val="center"/>
          </w:tcPr>
          <w:p w14:paraId="50488A78">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4AE212D">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c>
          <w:tcPr>
            <w:tcW w:w="499" w:type="pct"/>
            <w:vAlign w:val="center"/>
          </w:tcPr>
          <w:p w14:paraId="4F2AA866">
            <w:pPr>
              <w:keepNext w:val="0"/>
              <w:keepLines w:val="0"/>
              <w:widowControl/>
              <w:suppressLineNumbers w:val="0"/>
              <w:jc w:val="center"/>
              <w:textAlignment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color w:val="auto"/>
                <w:sz w:val="21"/>
                <w:szCs w:val="21"/>
                <w:highlight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t>0.00</w:t>
            </w:r>
            <w:r>
              <w:rPr>
                <w:rFonts w:hint="eastAsia" w:cs="Times New Roman"/>
                <w:i w:val="0"/>
                <w:iCs w:val="0"/>
                <w:color w:val="auto"/>
                <w:kern w:val="0"/>
                <w:sz w:val="21"/>
                <w:szCs w:val="21"/>
                <w:highlight w:val="none"/>
                <w:u w:val="none"/>
                <w:lang w:val="en-US" w:eastAsia="zh-CN"/>
              </w:rPr>
              <w:t>096</w:t>
            </w:r>
          </w:p>
        </w:tc>
      </w:tr>
      <w:tr w14:paraId="2187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7B7791E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w:t>
            </w:r>
          </w:p>
        </w:tc>
        <w:tc>
          <w:tcPr>
            <w:tcW w:w="783" w:type="pct"/>
            <w:vAlign w:val="center"/>
          </w:tcPr>
          <w:p w14:paraId="6BEB18A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废气量（万m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/a）</w:t>
            </w:r>
          </w:p>
        </w:tc>
        <w:tc>
          <w:tcPr>
            <w:tcW w:w="492" w:type="pct"/>
            <w:vAlign w:val="center"/>
          </w:tcPr>
          <w:p w14:paraId="08FB274D">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667AD43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E395169">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6E263151">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555" w:type="pct"/>
            <w:vAlign w:val="center"/>
          </w:tcPr>
          <w:p w14:paraId="59CA161B">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610" w:type="pct"/>
            <w:vAlign w:val="center"/>
          </w:tcPr>
          <w:p w14:paraId="5B452B04">
            <w:pPr>
              <w:pStyle w:val="61"/>
              <w:spacing w:line="240" w:lineRule="auto"/>
              <w:jc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0</w:t>
            </w:r>
          </w:p>
        </w:tc>
        <w:tc>
          <w:tcPr>
            <w:tcW w:w="499" w:type="pct"/>
            <w:vAlign w:val="center"/>
          </w:tcPr>
          <w:p w14:paraId="732B2720">
            <w:pPr>
              <w:pStyle w:val="61"/>
              <w:spacing w:line="240" w:lineRule="auto"/>
              <w:jc w:val="center"/>
              <w:rPr>
                <w:rFonts w:hint="default" w:ascii="Times New Roman" w:hAnsi="Times New Roman" w:eastAsia="宋体" w:cs="Times New Roman"/>
                <w:color w:val="auto"/>
                <w:position w:val="-10"/>
                <w:sz w:val="21"/>
                <w:szCs w:val="21"/>
                <w:highlight w:val="none"/>
                <w:lang w:val="en-US" w:eastAsia="zh-CN" w:bidi="ar-SA"/>
              </w:rPr>
            </w:pPr>
            <w:r>
              <w:rPr>
                <w:rFonts w:hint="eastAsia" w:cs="Times New Roman"/>
                <w:color w:val="auto"/>
                <w:position w:val="-10"/>
                <w:sz w:val="21"/>
                <w:szCs w:val="21"/>
                <w:highlight w:val="none"/>
                <w:lang w:val="en-US" w:eastAsia="zh-CN" w:bidi="ar-SA"/>
              </w:rPr>
              <w:t>0</w:t>
            </w:r>
          </w:p>
        </w:tc>
      </w:tr>
      <w:tr w14:paraId="1439D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56D504EB">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0A91CFA">
            <w:pPr>
              <w:widowControl/>
              <w:spacing w:line="240" w:lineRule="auto"/>
              <w:jc w:val="center"/>
              <w:textAlignment w:val="center"/>
              <w:rPr>
                <w:rFonts w:hint="default" w:ascii="Times New Roman" w:hAnsi="Times New Roman" w:cs="Times New Roman"/>
                <w:color w:val="FF0000"/>
                <w:sz w:val="21"/>
                <w:szCs w:val="21"/>
                <w:highlight w:val="none"/>
              </w:rPr>
            </w:pPr>
            <w:r>
              <w:rPr>
                <w:rFonts w:hint="default" w:ascii="Times New Roman" w:hAnsi="Times New Roman" w:cs="Times New Roman"/>
                <w:color w:val="auto"/>
                <w:kern w:val="0"/>
                <w:sz w:val="21"/>
                <w:szCs w:val="21"/>
                <w:highlight w:val="none"/>
                <w:lang w:eastAsia="zh-CN"/>
              </w:rPr>
              <w:t>颗粒物</w:t>
            </w:r>
          </w:p>
        </w:tc>
        <w:tc>
          <w:tcPr>
            <w:tcW w:w="492" w:type="pct"/>
            <w:vAlign w:val="center"/>
          </w:tcPr>
          <w:p w14:paraId="50F7C3B0">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7D1E98E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24147D71">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1EBE0C91">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c>
          <w:tcPr>
            <w:tcW w:w="555" w:type="pct"/>
            <w:vAlign w:val="center"/>
          </w:tcPr>
          <w:p w14:paraId="0B00EE47">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610" w:type="pct"/>
            <w:vAlign w:val="center"/>
          </w:tcPr>
          <w:p w14:paraId="13F8C9EE">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c>
          <w:tcPr>
            <w:tcW w:w="499" w:type="pct"/>
            <w:vAlign w:val="center"/>
          </w:tcPr>
          <w:p w14:paraId="77DC2523">
            <w:pPr>
              <w:pStyle w:val="61"/>
              <w:spacing w:line="240" w:lineRule="auto"/>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+2.58</w:t>
            </w:r>
          </w:p>
        </w:tc>
      </w:tr>
      <w:tr w14:paraId="0A77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23F1EFC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一般工业固体废物（t/a）</w:t>
            </w:r>
          </w:p>
        </w:tc>
        <w:tc>
          <w:tcPr>
            <w:tcW w:w="783" w:type="pct"/>
            <w:vAlign w:val="center"/>
          </w:tcPr>
          <w:p w14:paraId="6F6AD4E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position w:val="-10"/>
                <w:sz w:val="21"/>
                <w:szCs w:val="21"/>
                <w:highlight w:val="none"/>
                <w:lang w:val="en-US" w:eastAsia="zh-CN" w:bidi="ar-SA"/>
              </w:rPr>
              <w:t>生活垃圾</w:t>
            </w:r>
          </w:p>
        </w:tc>
        <w:tc>
          <w:tcPr>
            <w:tcW w:w="492" w:type="pct"/>
            <w:vAlign w:val="center"/>
          </w:tcPr>
          <w:p w14:paraId="65BE18D8">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554" w:type="pct"/>
            <w:vAlign w:val="center"/>
          </w:tcPr>
          <w:p w14:paraId="40C43C5C">
            <w:pPr>
              <w:pStyle w:val="61"/>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525" w:type="pct"/>
            <w:vAlign w:val="center"/>
          </w:tcPr>
          <w:p w14:paraId="47B9567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p>
        </w:tc>
        <w:tc>
          <w:tcPr>
            <w:tcW w:w="586" w:type="pct"/>
            <w:vAlign w:val="center"/>
          </w:tcPr>
          <w:p w14:paraId="706E6FA8">
            <w:pPr>
              <w:pStyle w:val="61"/>
              <w:snapToGrid w:val="0"/>
              <w:spacing w:line="240" w:lineRule="auto"/>
              <w:jc w:val="center"/>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0.26</w:t>
            </w:r>
          </w:p>
        </w:tc>
        <w:tc>
          <w:tcPr>
            <w:tcW w:w="555" w:type="pct"/>
            <w:vAlign w:val="center"/>
          </w:tcPr>
          <w:p w14:paraId="5EA78EED">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0</w:t>
            </w:r>
          </w:p>
        </w:tc>
        <w:tc>
          <w:tcPr>
            <w:tcW w:w="610" w:type="pct"/>
            <w:shd w:val="clear" w:color="auto" w:fill="auto"/>
            <w:vAlign w:val="center"/>
          </w:tcPr>
          <w:p w14:paraId="218F4544">
            <w:pPr>
              <w:pStyle w:val="61"/>
              <w:snapToGrid w:val="0"/>
              <w:spacing w:line="240" w:lineRule="auto"/>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0.26</w:t>
            </w:r>
          </w:p>
        </w:tc>
        <w:tc>
          <w:tcPr>
            <w:tcW w:w="499" w:type="pct"/>
            <w:shd w:val="clear" w:color="auto" w:fill="auto"/>
            <w:vAlign w:val="center"/>
          </w:tcPr>
          <w:p w14:paraId="76086964">
            <w:pPr>
              <w:pStyle w:val="61"/>
              <w:snapToGrid w:val="0"/>
              <w:spacing w:line="240" w:lineRule="auto"/>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+0.26</w:t>
            </w:r>
          </w:p>
        </w:tc>
      </w:tr>
      <w:tr w14:paraId="59B9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5C4B0487">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3BAFAB9">
            <w:pPr>
              <w:keepNext w:val="0"/>
              <w:keepLines w:val="0"/>
              <w:pageBreakBefore w:val="0"/>
              <w:widowControl w:val="0"/>
              <w:tabs>
                <w:tab w:val="left" w:pos="527"/>
                <w:tab w:val="center" w:pos="1053"/>
              </w:tabs>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cs="Times New Roman"/>
                <w:color w:val="auto"/>
                <w:kern w:val="2"/>
                <w:position w:val="0"/>
                <w:sz w:val="21"/>
                <w:szCs w:val="21"/>
                <w:highlight w:val="none"/>
                <w:lang w:val="en-US" w:eastAsia="zh-CN" w:bidi="ar-SA"/>
              </w:rPr>
              <w:t>不可回收利用固废</w:t>
            </w:r>
          </w:p>
        </w:tc>
        <w:tc>
          <w:tcPr>
            <w:tcW w:w="492" w:type="pct"/>
            <w:vAlign w:val="center"/>
          </w:tcPr>
          <w:p w14:paraId="0436E06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7D93219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60CBB7B9">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vAlign w:val="center"/>
          </w:tcPr>
          <w:p w14:paraId="5D41E31E">
            <w:pPr>
              <w:pStyle w:val="61"/>
              <w:spacing w:line="240" w:lineRule="auto"/>
              <w:jc w:val="center"/>
              <w:rPr>
                <w:rFonts w:hint="default" w:eastAsia="宋体"/>
                <w:color w:val="auto"/>
                <w:highlight w:val="none"/>
                <w:lang w:val="en-US" w:eastAsia="zh-CN"/>
              </w:rPr>
            </w:pPr>
            <w:r>
              <w:rPr>
                <w:rFonts w:hint="eastAsia"/>
                <w:color w:val="auto"/>
                <w:highlight w:val="none"/>
                <w:lang w:val="en-US" w:eastAsia="zh-CN"/>
              </w:rPr>
              <w:t>3310</w:t>
            </w:r>
          </w:p>
        </w:tc>
        <w:tc>
          <w:tcPr>
            <w:tcW w:w="555" w:type="pct"/>
            <w:vAlign w:val="center"/>
          </w:tcPr>
          <w:p w14:paraId="2A28530F">
            <w:pPr>
              <w:pStyle w:val="61"/>
              <w:spacing w:line="24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p>
        </w:tc>
        <w:tc>
          <w:tcPr>
            <w:tcW w:w="610" w:type="pct"/>
            <w:shd w:val="clear" w:color="auto" w:fill="auto"/>
            <w:vAlign w:val="center"/>
          </w:tcPr>
          <w:p w14:paraId="319C3CB1">
            <w:pPr>
              <w:pStyle w:val="61"/>
              <w:spacing w:line="240" w:lineRule="auto"/>
              <w:jc w:val="center"/>
              <w:rPr>
                <w:rFonts w:hint="default" w:cs="Times New Roman"/>
                <w:color w:val="auto"/>
                <w:kern w:val="2"/>
                <w:sz w:val="21"/>
                <w:szCs w:val="21"/>
                <w:highlight w:val="none"/>
                <w:lang w:val="en-US" w:eastAsia="zh-CN"/>
              </w:rPr>
            </w:pPr>
            <w:r>
              <w:rPr>
                <w:rFonts w:hint="eastAsia"/>
                <w:color w:val="auto"/>
                <w:highlight w:val="none"/>
                <w:lang w:val="en-US" w:eastAsia="zh-CN"/>
              </w:rPr>
              <w:t>3310</w:t>
            </w:r>
          </w:p>
        </w:tc>
        <w:tc>
          <w:tcPr>
            <w:tcW w:w="499" w:type="pct"/>
            <w:shd w:val="clear" w:color="auto" w:fill="auto"/>
            <w:vAlign w:val="center"/>
          </w:tcPr>
          <w:p w14:paraId="6BC83278">
            <w:pPr>
              <w:pStyle w:val="61"/>
              <w:spacing w:line="240" w:lineRule="auto"/>
              <w:jc w:val="center"/>
              <w:rPr>
                <w:rFonts w:hint="default" w:ascii="Times New Roman" w:hAnsi="Times New Roman" w:cs="Times New Roman"/>
                <w:color w:val="auto"/>
                <w:kern w:val="2"/>
                <w:sz w:val="21"/>
                <w:szCs w:val="21"/>
                <w:highlight w:val="none"/>
                <w:lang w:val="en-US" w:eastAsia="zh-CN"/>
              </w:rPr>
            </w:pPr>
            <w:r>
              <w:rPr>
                <w:rFonts w:hint="eastAsia"/>
                <w:color w:val="auto"/>
                <w:highlight w:val="none"/>
                <w:lang w:val="en-US" w:eastAsia="zh-CN"/>
              </w:rPr>
              <w:t>+3310</w:t>
            </w:r>
          </w:p>
        </w:tc>
      </w:tr>
      <w:tr w14:paraId="4B8F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restart"/>
            <w:vAlign w:val="center"/>
          </w:tcPr>
          <w:p w14:paraId="43F8A4C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危险废物（t/a）</w:t>
            </w:r>
          </w:p>
        </w:tc>
        <w:tc>
          <w:tcPr>
            <w:tcW w:w="783" w:type="pct"/>
            <w:vAlign w:val="center"/>
          </w:tcPr>
          <w:p w14:paraId="58012E40">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cs="Times New Roman"/>
                <w:color w:val="auto"/>
                <w:kern w:val="2"/>
                <w:position w:val="0"/>
                <w:sz w:val="21"/>
                <w:szCs w:val="21"/>
                <w:highlight w:val="none"/>
                <w:lang w:val="en-US" w:eastAsia="zh-CN" w:bidi="ar-SA"/>
              </w:rPr>
              <w:t>废</w:t>
            </w:r>
            <w:r>
              <w:rPr>
                <w:rFonts w:hint="eastAsia" w:cs="Times New Roman"/>
                <w:color w:val="auto"/>
                <w:kern w:val="2"/>
                <w:position w:val="0"/>
                <w:sz w:val="21"/>
                <w:szCs w:val="21"/>
                <w:highlight w:val="none"/>
                <w:lang w:val="en-US" w:eastAsia="zh-CN" w:bidi="ar-SA"/>
              </w:rPr>
              <w:t>矿物油</w:t>
            </w:r>
            <w:r>
              <w:rPr>
                <w:rFonts w:hint="default" w:ascii="Times New Roman" w:hAnsi="Times New Roman" w:cs="Times New Roman"/>
                <w:color w:val="auto"/>
                <w:kern w:val="2"/>
                <w:position w:val="0"/>
                <w:sz w:val="21"/>
                <w:szCs w:val="21"/>
                <w:highlight w:val="none"/>
                <w:lang w:val="en-US" w:eastAsia="zh-CN" w:bidi="ar-SA"/>
              </w:rPr>
              <w:t>及</w:t>
            </w:r>
            <w:r>
              <w:rPr>
                <w:rFonts w:hint="eastAsia" w:cs="Times New Roman"/>
                <w:color w:val="auto"/>
                <w:kern w:val="2"/>
                <w:position w:val="0"/>
                <w:sz w:val="21"/>
                <w:szCs w:val="21"/>
                <w:highlight w:val="none"/>
                <w:lang w:val="en-US" w:eastAsia="zh-CN" w:bidi="ar-SA"/>
              </w:rPr>
              <w:t>油桶</w:t>
            </w:r>
          </w:p>
        </w:tc>
        <w:tc>
          <w:tcPr>
            <w:tcW w:w="492" w:type="pct"/>
            <w:vAlign w:val="center"/>
          </w:tcPr>
          <w:p w14:paraId="4B4CA4D7">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5D3E93B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720992A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shd w:val="clear" w:color="auto" w:fill="auto"/>
            <w:vAlign w:val="center"/>
          </w:tcPr>
          <w:p w14:paraId="0E56A68E">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kern w:val="2"/>
                <w:position w:val="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c>
          <w:tcPr>
            <w:tcW w:w="555" w:type="pct"/>
            <w:vAlign w:val="center"/>
          </w:tcPr>
          <w:p w14:paraId="39ED69B1">
            <w:pPr>
              <w:spacing w:line="240" w:lineRule="auto"/>
              <w:jc w:val="center"/>
              <w:rPr>
                <w:rFonts w:hint="default" w:ascii="Times New Roman" w:hAnsi="Times New Roman" w:cs="Times New Roman"/>
                <w:color w:val="000000"/>
                <w:sz w:val="21"/>
                <w:szCs w:val="21"/>
                <w:highlight w:val="none"/>
              </w:rPr>
            </w:pPr>
            <w:r>
              <w:rPr>
                <w:rFonts w:hint="default" w:ascii="Times New Roman" w:hAnsi="Times New Roman" w:cs="Times New Roman"/>
                <w:color w:val="000000"/>
                <w:sz w:val="21"/>
                <w:szCs w:val="21"/>
                <w:highlight w:val="none"/>
                <w:lang w:val="en-US" w:eastAsia="zh-CN"/>
              </w:rPr>
              <w:t>0</w:t>
            </w:r>
          </w:p>
        </w:tc>
        <w:tc>
          <w:tcPr>
            <w:tcW w:w="610" w:type="pct"/>
            <w:shd w:val="clear" w:color="auto" w:fill="auto"/>
            <w:vAlign w:val="center"/>
          </w:tcPr>
          <w:p w14:paraId="6323AEC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spacing w:val="-2"/>
                <w:kern w:val="2"/>
                <w:position w:val="-1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c>
          <w:tcPr>
            <w:tcW w:w="499" w:type="pct"/>
            <w:shd w:val="clear" w:color="auto" w:fill="auto"/>
            <w:vAlign w:val="center"/>
          </w:tcPr>
          <w:p w14:paraId="796B7FA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000000"/>
                <w:spacing w:val="-2"/>
                <w:kern w:val="2"/>
                <w:position w:val="-10"/>
                <w:sz w:val="21"/>
                <w:szCs w:val="21"/>
                <w:highlight w:val="none"/>
                <w:lang w:val="en-US" w:eastAsia="zh-CN" w:bidi="ar-SA"/>
              </w:rPr>
            </w:pPr>
            <w:r>
              <w:rPr>
                <w:rFonts w:hint="eastAsia" w:cs="Times New Roman"/>
                <w:color w:val="000000"/>
                <w:kern w:val="2"/>
                <w:position w:val="0"/>
                <w:sz w:val="21"/>
                <w:szCs w:val="21"/>
                <w:highlight w:val="none"/>
                <w:lang w:val="en-US" w:eastAsia="zh-CN" w:bidi="ar-SA"/>
              </w:rPr>
              <w:t>+0.157</w:t>
            </w:r>
          </w:p>
        </w:tc>
      </w:tr>
      <w:tr w14:paraId="59AC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0" w:type="pct"/>
            <w:vMerge w:val="continue"/>
            <w:vAlign w:val="center"/>
          </w:tcPr>
          <w:p w14:paraId="2121C12A">
            <w:pPr>
              <w:spacing w:line="240" w:lineRule="auto"/>
              <w:jc w:val="center"/>
              <w:rPr>
                <w:rFonts w:hint="default" w:ascii="Times New Roman" w:hAnsi="Times New Roman" w:cs="Times New Roman"/>
                <w:color w:val="auto"/>
                <w:sz w:val="21"/>
                <w:szCs w:val="21"/>
                <w:highlight w:val="none"/>
              </w:rPr>
            </w:pPr>
          </w:p>
        </w:tc>
        <w:tc>
          <w:tcPr>
            <w:tcW w:w="783" w:type="pct"/>
            <w:vAlign w:val="center"/>
          </w:tcPr>
          <w:p w14:paraId="27747F79">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color w:val="auto"/>
                <w:kern w:val="2"/>
                <w:position w:val="0"/>
                <w:sz w:val="21"/>
                <w:szCs w:val="21"/>
                <w:highlight w:val="none"/>
                <w:lang w:val="en-US" w:eastAsia="zh-CN" w:bidi="ar-SA"/>
              </w:rPr>
              <w:t>废含油抹布及手套</w:t>
            </w:r>
          </w:p>
        </w:tc>
        <w:tc>
          <w:tcPr>
            <w:tcW w:w="492" w:type="pct"/>
            <w:vAlign w:val="center"/>
          </w:tcPr>
          <w:p w14:paraId="219ED64B">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54" w:type="pct"/>
            <w:vAlign w:val="center"/>
          </w:tcPr>
          <w:p w14:paraId="150314BE">
            <w:pPr>
              <w:pStyle w:val="61"/>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25" w:type="pct"/>
            <w:vAlign w:val="center"/>
          </w:tcPr>
          <w:p w14:paraId="2189B4D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p>
        </w:tc>
        <w:tc>
          <w:tcPr>
            <w:tcW w:w="586" w:type="pct"/>
            <w:shd w:val="clear" w:color="auto" w:fill="auto"/>
            <w:vAlign w:val="center"/>
          </w:tcPr>
          <w:p w14:paraId="2D25AABA">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c>
          <w:tcPr>
            <w:tcW w:w="555" w:type="pct"/>
            <w:vAlign w:val="center"/>
          </w:tcPr>
          <w:p w14:paraId="6138C70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0</w:t>
            </w:r>
          </w:p>
        </w:tc>
        <w:tc>
          <w:tcPr>
            <w:tcW w:w="610" w:type="pct"/>
            <w:shd w:val="clear" w:color="auto" w:fill="auto"/>
            <w:vAlign w:val="center"/>
          </w:tcPr>
          <w:p w14:paraId="73748795">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c>
          <w:tcPr>
            <w:tcW w:w="499" w:type="pct"/>
            <w:shd w:val="clear" w:color="auto" w:fill="auto"/>
            <w:vAlign w:val="center"/>
          </w:tcPr>
          <w:p w14:paraId="68A7DF3B">
            <w:pPr>
              <w:keepNext w:val="0"/>
              <w:keepLines w:val="0"/>
              <w:pageBreakBefore w:val="0"/>
              <w:widowControl w:val="0"/>
              <w:kinsoku/>
              <w:wordWrap w:val="0"/>
              <w:overflowPunct/>
              <w:topLinePunct w:val="0"/>
              <w:autoSpaceDE w:val="0"/>
              <w:autoSpaceDN w:val="0"/>
              <w:bidi w:val="0"/>
              <w:adjustRightInd/>
              <w:snapToGrid w:val="0"/>
              <w:spacing w:line="240" w:lineRule="auto"/>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kern w:val="2"/>
                <w:position w:val="-10"/>
                <w:sz w:val="21"/>
                <w:szCs w:val="21"/>
                <w:highlight w:val="none"/>
                <w:lang w:val="en-US" w:eastAsia="zh-CN" w:bidi="ar-SA"/>
              </w:rPr>
              <w:t>+0.01</w:t>
            </w:r>
          </w:p>
        </w:tc>
      </w:tr>
    </w:tbl>
    <w:p w14:paraId="19C7C495">
      <w:pPr>
        <w:spacing w:line="240" w:lineRule="auto"/>
        <w:jc w:val="left"/>
        <w:rPr>
          <w:rFonts w:hint="default" w:ascii="Times New Roman" w:hAnsi="Times New Roman" w:cs="Times New Roman"/>
          <w:color w:val="auto"/>
          <w:highlight w:val="none"/>
        </w:rPr>
      </w:pPr>
      <w:r>
        <w:rPr>
          <w:rFonts w:hint="default" w:ascii="Times New Roman" w:hAnsi="Times New Roman" w:eastAsia="黑体" w:cs="Times New Roman"/>
          <w:color w:val="auto"/>
          <w:sz w:val="21"/>
          <w:szCs w:val="21"/>
          <w:highlight w:val="none"/>
        </w:rPr>
        <w:t>注：⑥=①+③+④-⑤；⑦=⑥-①。</w:t>
      </w:r>
    </w:p>
    <w:p w14:paraId="7EBB98E0">
      <w:pPr>
        <w:rPr>
          <w:rFonts w:hint="default" w:ascii="Times New Roman" w:hAnsi="Times New Roman" w:eastAsia="黑体" w:cs="Times New Roman"/>
          <w:snapToGrid w:val="0"/>
          <w:color w:val="auto"/>
          <w:sz w:val="32"/>
          <w:szCs w:val="32"/>
          <w:highlight w:val="none"/>
        </w:rPr>
        <w:sectPr>
          <w:pgSz w:w="16838" w:h="11906" w:orient="landscape"/>
          <w:pgMar w:top="1417" w:right="1440" w:bottom="1417" w:left="1440" w:header="851" w:footer="680" w:gutter="0"/>
          <w:pgBorders>
            <w:top w:val="none" w:sz="0" w:space="0"/>
            <w:left w:val="none" w:sz="0" w:space="0"/>
            <w:bottom w:val="none" w:sz="0" w:space="0"/>
            <w:right w:val="none" w:sz="0" w:space="0"/>
          </w:pgBorders>
          <w:pgNumType w:fmt="decimal"/>
          <w:cols w:space="720" w:num="1"/>
          <w:docGrid w:type="linesAndChars" w:linePitch="312" w:charSpace="0"/>
        </w:sectPr>
      </w:pPr>
    </w:p>
    <w:p w14:paraId="78494034">
      <w:pPr>
        <w:pStyle w:val="43"/>
        <w:numPr>
          <w:ilvl w:val="0"/>
          <w:numId w:val="0"/>
        </w:numPr>
        <w:adjustRightInd/>
        <w:spacing w:line="36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2" w:name="_Toc15364"/>
      <w:bookmarkStart w:id="123" w:name="_Toc18774"/>
      <w:bookmarkStart w:id="124" w:name="_Toc27190"/>
      <w:r>
        <w:rPr>
          <w:rFonts w:hint="default" w:ascii="Times New Roman" w:hAnsi="Times New Roman" w:eastAsia="宋体" w:cs="Times New Roman"/>
          <w:b/>
          <w:bCs/>
          <w:color w:val="auto"/>
          <w:kern w:val="0"/>
          <w:sz w:val="24"/>
          <w:szCs w:val="24"/>
          <w:highlight w:val="none"/>
          <w:lang w:val="en-US" w:eastAsia="zh-CN" w:bidi="ar-SA"/>
        </w:rPr>
        <w:t xml:space="preserve">附图1 </w:t>
      </w:r>
      <w:r>
        <w:rPr>
          <w:rFonts w:hint="eastAsia" w:cs="Times New Roman"/>
          <w:b/>
          <w:bCs/>
          <w:color w:val="auto"/>
          <w:kern w:val="0"/>
          <w:sz w:val="24"/>
          <w:szCs w:val="24"/>
          <w:highlight w:val="none"/>
          <w:lang w:val="en-US" w:eastAsia="zh-CN" w:bidi="ar-SA"/>
        </w:rPr>
        <w:t>本</w:t>
      </w:r>
      <w:r>
        <w:rPr>
          <w:rFonts w:hint="default" w:ascii="Times New Roman" w:hAnsi="Times New Roman" w:eastAsia="宋体" w:cs="Times New Roman"/>
          <w:b/>
          <w:bCs/>
          <w:color w:val="auto"/>
          <w:sz w:val="24"/>
          <w:szCs w:val="24"/>
          <w:highlight w:val="none"/>
        </w:rPr>
        <w:t>项目地理位置图</w:t>
      </w:r>
      <w:bookmarkEnd w:id="122"/>
      <w:bookmarkEnd w:id="123"/>
      <w:bookmarkEnd w:id="124"/>
    </w:p>
    <w:p w14:paraId="0C99FB72">
      <w:pPr>
        <w:pStyle w:val="4"/>
        <w:jc w:val="center"/>
        <w:rPr>
          <w:rFonts w:hint="default" w:ascii="Times New Roman" w:hAnsi="Times New Roman" w:cs="Times New Roman"/>
          <w:color w:val="auto"/>
          <w:highlight w:val="none"/>
        </w:rPr>
      </w:pPr>
    </w:p>
    <w:p w14:paraId="4D13DAB7">
      <w:pPr>
        <w:pStyle w:val="4"/>
        <w:jc w:val="center"/>
        <w:rPr>
          <w:rFonts w:hint="eastAsia" w:ascii="Times New Roman" w:hAnsi="Times New Roman" w:eastAsia="宋体" w:cs="Times New Roman"/>
          <w:b w:val="0"/>
          <w:bCs w:val="0"/>
          <w:color w:val="auto"/>
          <w:highlight w:val="none"/>
          <w:lang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3790950</wp:posOffset>
                </wp:positionH>
                <wp:positionV relativeFrom="paragraph">
                  <wp:posOffset>1229360</wp:posOffset>
                </wp:positionV>
                <wp:extent cx="698500" cy="336550"/>
                <wp:effectExtent l="4445" t="4445" r="20955" b="20955"/>
                <wp:wrapNone/>
                <wp:docPr id="32" name="文本框 32"/>
                <wp:cNvGraphicFramePr/>
                <a:graphic xmlns:a="http://schemas.openxmlformats.org/drawingml/2006/main">
                  <a:graphicData uri="http://schemas.microsoft.com/office/word/2010/wordprocessingShape">
                    <wps:wsp>
                      <wps:cNvSpPr txBox="1"/>
                      <wps:spPr>
                        <a:xfrm>
                          <a:off x="4876165" y="2957195"/>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4EB3B2">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8.5pt;margin-top:96.8pt;height:26.5pt;width:55pt;z-index:251660288;mso-width-relative:page;mso-height-relative:page;" fillcolor="#FFFFFF [3201]" filled="t" stroked="t" coordsize="21600,21600" o:gfxdata="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3sOZ/XAAAACwEAAA8AAAAAAAAAAQAgAAAAIgAAAGRycy9kb3ducmV2LnhtbFBLAQIU&#10;ABQAAAAIAIdO4kA51rPYZgIAAMQEAAAOAAAAAAAAAAEAIAAAACYBAABkcnMvZTJvRG9jLnhtbFBL&#10;BQYAAAAABgAGAFkBAAD+BQAAAAA=&#10;">
                <v:fill on="t" focussize="0,0"/>
                <v:stroke weight="0.5pt" color="#000000 [3204]" joinstyle="round"/>
                <v:imagedata o:title=""/>
                <o:lock v:ext="edit" aspectratio="f"/>
                <v:textbox>
                  <w:txbxContent>
                    <w:p w14:paraId="7D4EB3B2">
                      <w:pPr>
                        <w:rPr>
                          <w:rFonts w:hint="eastAsia" w:eastAsia="宋体"/>
                          <w:lang w:val="en-US" w:eastAsia="zh-CN"/>
                        </w:rPr>
                      </w:pPr>
                      <w:r>
                        <w:rPr>
                          <w:rFonts w:hint="eastAsia"/>
                          <w:lang w:val="en-US" w:eastAsia="zh-CN"/>
                        </w:rPr>
                        <w:t>本项目</w:t>
                      </w:r>
                    </w:p>
                  </w:txbxContent>
                </v:textbox>
              </v:shape>
            </w:pict>
          </mc:Fallback>
        </mc:AlternateContent>
      </w:r>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8076565</wp:posOffset>
            </wp:positionH>
            <wp:positionV relativeFrom="paragraph">
              <wp:posOffset>90805</wp:posOffset>
            </wp:positionV>
            <wp:extent cx="383540" cy="403225"/>
            <wp:effectExtent l="0" t="0" r="16510" b="15875"/>
            <wp:wrapNone/>
            <wp:docPr id="1043" name="图片 9" descr="指北针"/>
            <wp:cNvGraphicFramePr/>
            <a:graphic xmlns:a="http://schemas.openxmlformats.org/drawingml/2006/main">
              <a:graphicData uri="http://schemas.openxmlformats.org/drawingml/2006/picture">
                <pic:pic xmlns:pic="http://schemas.openxmlformats.org/drawingml/2006/picture">
                  <pic:nvPicPr>
                    <pic:cNvPr id="1043" name="图片 9" descr="指北针"/>
                    <pic:cNvPicPr/>
                  </pic:nvPicPr>
                  <pic:blipFill>
                    <a:blip r:embed="rId32" cstate="print"/>
                    <a:srcRect/>
                    <a:stretch>
                      <a:fillRect/>
                    </a:stretch>
                  </pic:blipFill>
                  <pic:spPr>
                    <a:xfrm>
                      <a:off x="0" y="0"/>
                      <a:ext cx="383540" cy="403225"/>
                    </a:xfrm>
                    <a:prstGeom prst="rect">
                      <a:avLst/>
                    </a:prstGeom>
                  </pic:spPr>
                </pic:pic>
              </a:graphicData>
            </a:graphic>
          </wp:anchor>
        </w:drawing>
      </w:r>
      <w:r>
        <w:rPr>
          <w:rFonts w:hint="default" w:ascii="Times New Roman" w:hAnsi="Times New Roman" w:cs="Times New Roman"/>
          <w:color w:val="auto"/>
          <w:highlight w:val="none"/>
        </w:rPr>
        <w:drawing>
          <wp:inline distT="0" distB="0" distL="0" distR="0">
            <wp:extent cx="8235315" cy="4471670"/>
            <wp:effectExtent l="0" t="0" r="13334" b="5080"/>
            <wp:docPr id="1044" name="图片 3" descr="粤联昌 地理位置图"/>
            <wp:cNvGraphicFramePr/>
            <a:graphic xmlns:a="http://schemas.openxmlformats.org/drawingml/2006/main">
              <a:graphicData uri="http://schemas.openxmlformats.org/drawingml/2006/picture">
                <pic:pic xmlns:pic="http://schemas.openxmlformats.org/drawingml/2006/picture">
                  <pic:nvPicPr>
                    <pic:cNvPr id="1044" name="图片 3" descr="粤联昌 地理位置图"/>
                    <pic:cNvPicPr/>
                  </pic:nvPicPr>
                  <pic:blipFill>
                    <a:blip r:embed="rId33" cstate="print"/>
                    <a:srcRect/>
                    <a:stretch>
                      <a:fillRect/>
                    </a:stretch>
                  </pic:blipFill>
                  <pic:spPr>
                    <a:xfrm>
                      <a:off x="0" y="0"/>
                      <a:ext cx="8235315" cy="4471670"/>
                    </a:xfrm>
                    <a:prstGeom prst="rect">
                      <a:avLst/>
                    </a:prstGeom>
                  </pic:spPr>
                </pic:pic>
              </a:graphicData>
            </a:graphic>
          </wp:inline>
        </w:drawing>
      </w:r>
    </w:p>
    <w:p w14:paraId="18ED6E8C">
      <w:pPr>
        <w:rPr>
          <w:rFonts w:hint="default" w:ascii="Times New Roman" w:hAnsi="Times New Roman" w:cs="Times New Roman"/>
          <w:color w:val="auto"/>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F6E8505">
      <w:pPr>
        <w:rPr>
          <w:rFonts w:hint="default" w:ascii="Times New Roman" w:hAnsi="Times New Roman" w:cs="Times New Roman"/>
          <w:color w:val="auto"/>
          <w:highlight w:val="none"/>
        </w:rPr>
      </w:pPr>
    </w:p>
    <w:p w14:paraId="33C7447F">
      <w:pPr>
        <w:pStyle w:val="43"/>
        <w:numPr>
          <w:ilvl w:val="0"/>
          <w:numId w:val="0"/>
        </w:numPr>
        <w:adjustRightInd/>
        <w:spacing w:line="36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5" w:name="_Toc17352"/>
      <w:bookmarkStart w:id="126" w:name="_Toc20186"/>
      <w:bookmarkStart w:id="127" w:name="_Toc14440"/>
      <w:r>
        <w:rPr>
          <w:rFonts w:hint="default" w:ascii="Times New Roman" w:hAnsi="Times New Roman" w:eastAsia="宋体" w:cs="Times New Roman"/>
          <w:b/>
          <w:bCs/>
          <w:color w:val="auto"/>
          <w:kern w:val="0"/>
          <w:sz w:val="24"/>
          <w:szCs w:val="24"/>
          <w:highlight w:val="none"/>
          <w:lang w:val="en-US" w:eastAsia="zh-CN" w:bidi="ar-SA"/>
        </w:rPr>
        <w:t xml:space="preserve">附图2 </w:t>
      </w:r>
      <w:r>
        <w:rPr>
          <w:rFonts w:hint="default" w:ascii="Times New Roman" w:hAnsi="Times New Roman" w:eastAsia="宋体" w:cs="Times New Roman"/>
          <w:b/>
          <w:bCs/>
          <w:color w:val="auto"/>
          <w:sz w:val="24"/>
          <w:szCs w:val="24"/>
          <w:highlight w:val="none"/>
        </w:rPr>
        <w:t>项目四至情况</w:t>
      </w:r>
      <w:bookmarkEnd w:id="125"/>
      <w:r>
        <w:rPr>
          <w:rFonts w:hint="default" w:ascii="Times New Roman" w:hAnsi="Times New Roman" w:cs="Times New Roman"/>
          <w:b/>
          <w:bCs/>
          <w:color w:val="auto"/>
          <w:sz w:val="24"/>
          <w:szCs w:val="24"/>
          <w:highlight w:val="none"/>
          <w:lang w:val="en-US" w:eastAsia="zh-CN"/>
        </w:rPr>
        <w:t>卫星图</w:t>
      </w:r>
      <w:bookmarkEnd w:id="126"/>
      <w:bookmarkEnd w:id="127"/>
    </w:p>
    <w:p w14:paraId="439002AF">
      <w:pPr>
        <w:jc w:val="center"/>
        <w:rPr>
          <w:rFonts w:hint="eastAsia" w:ascii="Times New Roman" w:hAnsi="Times New Roman" w:eastAsia="黑体" w:cs="Times New Roman"/>
          <w:color w:val="auto"/>
          <w:highlight w:val="none"/>
          <w:lang w:eastAsia="zh-CN"/>
        </w:rPr>
        <w:sectPr>
          <w:pgSz w:w="23811" w:h="16838"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1317625</wp:posOffset>
                </wp:positionH>
                <wp:positionV relativeFrom="paragraph">
                  <wp:posOffset>153670</wp:posOffset>
                </wp:positionV>
                <wp:extent cx="1560195" cy="1306830"/>
                <wp:effectExtent l="4445" t="4445" r="16510" b="22225"/>
                <wp:wrapNone/>
                <wp:docPr id="1048" name="文本框 85"/>
                <wp:cNvGraphicFramePr/>
                <a:graphic xmlns:a="http://schemas.openxmlformats.org/drawingml/2006/main">
                  <a:graphicData uri="http://schemas.microsoft.com/office/word/2010/wordprocessingShape">
                    <wps:wsp>
                      <wps:cNvSpPr/>
                      <wps:spPr>
                        <a:xfrm>
                          <a:off x="0" y="0"/>
                          <a:ext cx="1560195" cy="1306830"/>
                        </a:xfrm>
                        <a:prstGeom prst="rect">
                          <a:avLst/>
                        </a:prstGeom>
                        <a:solidFill>
                          <a:srgbClr val="D8D8D8"/>
                        </a:solidFill>
                        <a:ln w="6350" cap="flat" cmpd="sng">
                          <a:solidFill>
                            <a:srgbClr val="000000"/>
                          </a:solidFill>
                          <a:prstDash val="solid"/>
                          <a:round/>
                        </a:ln>
                      </wps:spPr>
                      <wps:txbx>
                        <w:txbxContent>
                          <w:p w14:paraId="3C2D758B">
                            <w:pPr>
                              <w:jc w:val="center"/>
                              <w:rPr>
                                <w:rFonts w:hint="eastAsia"/>
                                <w:sz w:val="28"/>
                                <w:szCs w:val="28"/>
                                <w:lang w:eastAsia="zh-CN"/>
                              </w:rPr>
                            </w:pPr>
                            <w:r>
                              <w:rPr>
                                <w:rFonts w:hint="eastAsia"/>
                                <w:sz w:val="28"/>
                                <w:szCs w:val="28"/>
                                <w:lang w:eastAsia="zh-CN"/>
                              </w:rPr>
                              <w:t>图例</w:t>
                            </w:r>
                          </w:p>
                          <w:p w14:paraId="3CDCBD7A">
                            <w:pPr>
                              <w:rPr>
                                <w:rFonts w:hint="eastAsia"/>
                                <w:sz w:val="28"/>
                                <w:szCs w:val="28"/>
                                <w:lang w:eastAsia="zh-CN"/>
                              </w:rPr>
                            </w:pPr>
                            <w:r>
                              <w:rPr>
                                <w:rFonts w:hint="eastAsia"/>
                                <w:sz w:val="28"/>
                                <w:szCs w:val="28"/>
                                <w:lang w:eastAsia="zh-CN"/>
                              </w:rPr>
                              <w:t>项目位置：</w:t>
                            </w:r>
                          </w:p>
                          <w:p w14:paraId="47911A24">
                            <w:pPr>
                              <w:rPr>
                                <w:rFonts w:hint="eastAsia"/>
                                <w:sz w:val="28"/>
                                <w:szCs w:val="28"/>
                                <w:lang w:eastAsia="zh-CN"/>
                              </w:rPr>
                            </w:pPr>
                            <w:r>
                              <w:rPr>
                                <w:rFonts w:hint="eastAsia"/>
                                <w:sz w:val="28"/>
                                <w:szCs w:val="28"/>
                                <w:lang w:eastAsia="zh-CN"/>
                              </w:rPr>
                              <w:t>四至：</w:t>
                            </w:r>
                          </w:p>
                          <w:p w14:paraId="198F84F6">
                            <w:pPr>
                              <w:rPr>
                                <w:rFonts w:hint="default"/>
                                <w:sz w:val="28"/>
                                <w:szCs w:val="28"/>
                                <w:lang w:val="en-US" w:eastAsia="zh-CN"/>
                              </w:rPr>
                            </w:pPr>
                          </w:p>
                        </w:txbxContent>
                      </wps:txbx>
                      <wps:bodyPr vert="horz" wrap="square" lIns="91440" tIns="45720" rIns="91440" bIns="45720" anchor="t">
                        <a:noAutofit/>
                      </wps:bodyPr>
                    </wps:wsp>
                  </a:graphicData>
                </a:graphic>
              </wp:anchor>
            </w:drawing>
          </mc:Choice>
          <mc:Fallback>
            <w:pict>
              <v:rect id="文本框 85" o:spid="_x0000_s1026" o:spt="1" style="position:absolute;left:0pt;margin-left:103.75pt;margin-top:12.1pt;height:102.9pt;width:122.85pt;z-index:251659264;mso-width-relative:page;mso-height-relative:page;" fillcolor="#D8D8D8" filled="t" stroked="t" coordsize="21600,21600" o:gfxdata="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Fjt1gAA&#10;AAoBAAAPAAAAAAAAAAEAIAAAACIAAABkcnMvZG93bnJldi54bWxQSwECFAAUAAAACACHTuJAW616&#10;gCACAABEBAAADgAAAAAAAAABACAAAAAlAQAAZHJzL2Uyb0RvYy54bWxQSwUGAAAAAAYABgBZAQAA&#10;twUAAAAA&#10;">
                <v:fill on="t" focussize="0,0"/>
                <v:stroke weight="0.5pt" color="#000000" joinstyle="round"/>
                <v:imagedata o:title=""/>
                <o:lock v:ext="edit" aspectratio="f"/>
                <v:textbox>
                  <w:txbxContent>
                    <w:p w14:paraId="3C2D758B">
                      <w:pPr>
                        <w:jc w:val="center"/>
                        <w:rPr>
                          <w:rFonts w:hint="eastAsia"/>
                          <w:sz w:val="28"/>
                          <w:szCs w:val="28"/>
                          <w:lang w:eastAsia="zh-CN"/>
                        </w:rPr>
                      </w:pPr>
                      <w:r>
                        <w:rPr>
                          <w:rFonts w:hint="eastAsia"/>
                          <w:sz w:val="28"/>
                          <w:szCs w:val="28"/>
                          <w:lang w:eastAsia="zh-CN"/>
                        </w:rPr>
                        <w:t>图例</w:t>
                      </w:r>
                    </w:p>
                    <w:p w14:paraId="3CDCBD7A">
                      <w:pPr>
                        <w:rPr>
                          <w:rFonts w:hint="eastAsia"/>
                          <w:sz w:val="28"/>
                          <w:szCs w:val="28"/>
                          <w:lang w:eastAsia="zh-CN"/>
                        </w:rPr>
                      </w:pPr>
                      <w:r>
                        <w:rPr>
                          <w:rFonts w:hint="eastAsia"/>
                          <w:sz w:val="28"/>
                          <w:szCs w:val="28"/>
                          <w:lang w:eastAsia="zh-CN"/>
                        </w:rPr>
                        <w:t>项目位置：</w:t>
                      </w:r>
                    </w:p>
                    <w:p w14:paraId="47911A24">
                      <w:pPr>
                        <w:rPr>
                          <w:rFonts w:hint="eastAsia"/>
                          <w:sz w:val="28"/>
                          <w:szCs w:val="28"/>
                          <w:lang w:eastAsia="zh-CN"/>
                        </w:rPr>
                      </w:pPr>
                      <w:r>
                        <w:rPr>
                          <w:rFonts w:hint="eastAsia"/>
                          <w:sz w:val="28"/>
                          <w:szCs w:val="28"/>
                          <w:lang w:eastAsia="zh-CN"/>
                        </w:rPr>
                        <w:t>四至：</w:t>
                      </w:r>
                    </w:p>
                    <w:p w14:paraId="198F84F6">
                      <w:pPr>
                        <w:rPr>
                          <w:rFonts w:hint="default"/>
                          <w:sz w:val="28"/>
                          <w:szCs w:val="28"/>
                          <w:lang w:val="en-US" w:eastAsia="zh-CN"/>
                        </w:rPr>
                      </w:pP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6111875</wp:posOffset>
                </wp:positionH>
                <wp:positionV relativeFrom="paragraph">
                  <wp:posOffset>3170555</wp:posOffset>
                </wp:positionV>
                <wp:extent cx="758190" cy="321310"/>
                <wp:effectExtent l="4445" t="4445" r="18415" b="17145"/>
                <wp:wrapNone/>
                <wp:docPr id="35" name="文本框 46"/>
                <wp:cNvGraphicFramePr/>
                <a:graphic xmlns:a="http://schemas.openxmlformats.org/drawingml/2006/main">
                  <a:graphicData uri="http://schemas.microsoft.com/office/word/2010/wordprocessingShape">
                    <wps:wsp>
                      <wps:cNvSpPr/>
                      <wps:spPr>
                        <a:xfrm>
                          <a:off x="0" y="0"/>
                          <a:ext cx="758190" cy="321310"/>
                        </a:xfrm>
                        <a:prstGeom prst="rect">
                          <a:avLst/>
                        </a:prstGeom>
                        <a:solidFill>
                          <a:srgbClr val="FFFFFF"/>
                        </a:solidFill>
                        <a:ln w="6350" cap="flat" cmpd="sng">
                          <a:solidFill>
                            <a:srgbClr val="000000"/>
                          </a:solidFill>
                          <a:prstDash val="solid"/>
                          <a:round/>
                        </a:ln>
                      </wps:spPr>
                      <wps:txbx>
                        <w:txbxContent>
                          <w:p w14:paraId="427D06E2">
                            <w:pPr>
                              <w:jc w:val="center"/>
                              <w:rPr>
                                <w:rFonts w:hint="default" w:eastAsia="宋体"/>
                                <w:sz w:val="24"/>
                                <w:szCs w:val="24"/>
                                <w:lang w:val="en-US" w:eastAsia="zh-CN"/>
                              </w:rPr>
                            </w:pPr>
                            <w:r>
                              <w:rPr>
                                <w:rFonts w:hint="eastAsia"/>
                                <w:lang w:val="en-US" w:eastAsia="zh-CN"/>
                              </w:rPr>
                              <w:t>本项目</w:t>
                            </w:r>
                          </w:p>
                        </w:txbxContent>
                      </wps:txbx>
                      <wps:bodyPr vert="horz" wrap="square" lIns="91440" tIns="45720" rIns="91440" bIns="45720" anchor="t">
                        <a:noAutofit/>
                      </wps:bodyPr>
                    </wps:wsp>
                  </a:graphicData>
                </a:graphic>
              </wp:anchor>
            </w:drawing>
          </mc:Choice>
          <mc:Fallback>
            <w:pict>
              <v:rect id="文本框 46" o:spid="_x0000_s1026" o:spt="1" style="position:absolute;left:0pt;margin-left:481.25pt;margin-top:249.65pt;height:25.3pt;width:59.7pt;z-index:251659264;mso-width-relative:page;mso-height-relative:page;" fillcolor="#FFFFFF" filled="t" stroked="t" coordsize="21600,21600" o:gfxdata="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IEVtxtkAAAAM&#10;AQAADwAAAAAAAAABACAAAAAiAAAAZHJzL2Rvd25yZXYueG1sUEsBAhQAFAAAAAgAh07iQM8Ljr4b&#10;AgAAQAQAAA4AAAAAAAAAAQAgAAAAKAEAAGRycy9lMm9Eb2MueG1sUEsFBgAAAAAGAAYAWQEAALUF&#10;AAAAAA==&#10;">
                <v:fill on="t" focussize="0,0"/>
                <v:stroke weight="0.5pt" color="#000000" joinstyle="round"/>
                <v:imagedata o:title=""/>
                <o:lock v:ext="edit" aspectratio="f"/>
                <v:textbox>
                  <w:txbxContent>
                    <w:p w14:paraId="427D06E2">
                      <w:pPr>
                        <w:jc w:val="center"/>
                        <w:rPr>
                          <w:rFonts w:hint="default" w:eastAsia="宋体"/>
                          <w:sz w:val="24"/>
                          <w:szCs w:val="24"/>
                          <w:lang w:val="en-US" w:eastAsia="zh-CN"/>
                        </w:rPr>
                      </w:pPr>
                      <w:r>
                        <w:rPr>
                          <w:rFonts w:hint="eastAsia"/>
                          <w:lang w:val="en-US" w:eastAsia="zh-CN"/>
                        </w:rPr>
                        <w:t>本项目</w:t>
                      </w:r>
                    </w:p>
                  </w:txbxContent>
                </v:textbox>
              </v:rect>
            </w:pict>
          </mc:Fallback>
        </mc:AlternateContent>
      </w:r>
      <w:r>
        <w:rPr>
          <w:rFonts w:hint="default" w:ascii="Times New Roman" w:hAnsi="Times New Roman" w:cs="Times New Roman"/>
          <w:color w:val="auto"/>
          <w:sz w:val="24"/>
          <w:highlight w:val="none"/>
        </w:rPr>
        <mc:AlternateContent>
          <mc:Choice Requires="wpg">
            <w:drawing>
              <wp:anchor distT="0" distB="0" distL="0" distR="0" simplePos="0" relativeHeight="251661312" behindDoc="0" locked="0" layoutInCell="1" allowOverlap="1">
                <wp:simplePos x="0" y="0"/>
                <wp:positionH relativeFrom="column">
                  <wp:posOffset>2238375</wp:posOffset>
                </wp:positionH>
                <wp:positionV relativeFrom="paragraph">
                  <wp:posOffset>688340</wp:posOffset>
                </wp:positionV>
                <wp:extent cx="389255" cy="602615"/>
                <wp:effectExtent l="13970" t="6350" r="15875" b="19685"/>
                <wp:wrapNone/>
                <wp:docPr id="1045" name="组合 82"/>
                <wp:cNvGraphicFramePr/>
                <a:graphic xmlns:a="http://schemas.openxmlformats.org/drawingml/2006/main">
                  <a:graphicData uri="http://schemas.microsoft.com/office/word/2010/wordprocessingGroup">
                    <wpg:wgp>
                      <wpg:cNvGrpSpPr/>
                      <wpg:grpSpPr>
                        <a:xfrm rot="0">
                          <a:off x="0" y="0"/>
                          <a:ext cx="389254" cy="602615"/>
                          <a:chOff x="13273" y="1075179"/>
                          <a:chExt cx="613" cy="949"/>
                        </a:xfrm>
                      </wpg:grpSpPr>
                      <wps:wsp>
                        <wps:cNvPr id="1" name="矩形 1"/>
                        <wps:cNvSpPr/>
                        <wps:spPr>
                          <a:xfrm>
                            <a:off x="13288" y="1075179"/>
                            <a:ext cx="599" cy="335"/>
                          </a:xfrm>
                          <a:prstGeom prst="rect">
                            <a:avLst/>
                          </a:prstGeom>
                          <a:solidFill>
                            <a:srgbClr val="FF0000">
                              <a:alpha val="48000"/>
                            </a:srgbClr>
                          </a:solidFill>
                          <a:ln w="12700" cap="flat" cmpd="sng">
                            <a:solidFill>
                              <a:srgbClr val="FF0000"/>
                            </a:solidFill>
                            <a:prstDash val="solid"/>
                            <a:miter/>
                          </a:ln>
                        </wps:spPr>
                        <wps:bodyPr/>
                      </wps:wsp>
                      <wps:wsp>
                        <wps:cNvPr id="2" name="矩形 2"/>
                        <wps:cNvSpPr/>
                        <wps:spPr>
                          <a:xfrm>
                            <a:off x="13273" y="1075794"/>
                            <a:ext cx="599" cy="335"/>
                          </a:xfrm>
                          <a:prstGeom prst="rect">
                            <a:avLst/>
                          </a:prstGeom>
                          <a:ln w="28575" cap="flat" cmpd="sng">
                            <a:solidFill>
                              <a:srgbClr val="FFFF00"/>
                            </a:solidFill>
                            <a:prstDash val="solid"/>
                            <a:miter/>
                          </a:ln>
                        </wps:spPr>
                        <wps:bodyPr/>
                      </wps:wsp>
                    </wpg:wgp>
                  </a:graphicData>
                </a:graphic>
              </wp:anchor>
            </w:drawing>
          </mc:Choice>
          <mc:Fallback>
            <w:pict>
              <v:group id="组合 82" o:spid="_x0000_s1026" o:spt="203" style="position:absolute;left:0pt;margin-left:176.25pt;margin-top:54.2pt;height:47.45pt;width:30.65pt;z-index:251661312;mso-width-relative:page;mso-height-relative:page;" coordorigin="13273,1075179" coordsize="613,949" o:gfxdata="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d0jFRtoAAAAL&#10;AQAADwAAAAAAAAABACAAAAAiAAAAZHJzL2Rvd25yZXYueG1sUEsBAhQAFAAAAAgAh07iQB9/RYqM&#10;AgAA0AYAAA4AAAAAAAAAAQAgAAAAKQEAAGRycy9lMm9Eb2MueG1sUEsFBgAAAAAGAAYAWQEAACcG&#10;AAAAAA==&#10;">
                <o:lock v:ext="edit" aspectratio="f"/>
                <v:rect id="_x0000_s1026" o:spid="_x0000_s1026" o:spt="1" style="position:absolute;left:13288;top:1075179;height:335;width:599;" fillcolor="#FF0000" filled="t" stroked="t" coordsize="21600,21600" o:gfxdata="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QZ1Vw7UAAADaAAAADwAA&#10;AAAAAAABACAAAAAiAAAAZHJzL2Rvd25yZXYueG1sUEsBAhQAFAAAAAgAh07iQDMvBZ47AAAAOQAA&#10;ABAAAAAAAAAAAQAgAAAABAEAAGRycy9zaGFwZXhtbC54bWxQSwUGAAAAAAYABgBbAQAArgMAAAAA&#10;">
                  <v:fill on="t" opacity="31457f" focussize="0,0"/>
                  <v:stroke weight="1pt" color="#FF0000" joinstyle="miter"/>
                  <v:imagedata o:title=""/>
                  <o:lock v:ext="edit" aspectratio="f"/>
                </v:rect>
                <v:rect id="_x0000_s1026" o:spid="_x0000_s1026" o:spt="1" style="position:absolute;left:13273;top:1075794;height:335;width:599;" filled="f" stroked="t" coordsize="21600,21600" o:gfxdata="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jCwpK8AAAA&#10;2gAAAA8AAAAAAAAAAQAgAAAAIgAAAGRycy9kb3ducmV2LnhtbFBLAQIUABQAAAAIAIdO4kAzLwWe&#10;OwAAADkAAAAQAAAAAAAAAAEAIAAAAAsBAABkcnMvc2hhcGV4bWwueG1sUEsFBgAAAAAGAAYAWwEA&#10;ALUDAAAAAA==&#10;">
                  <v:fill on="f" focussize="0,0"/>
                  <v:stroke weight="2.25pt" color="#FFFF00" joinstyle="miter"/>
                  <v:imagedata o:title=""/>
                  <o:lock v:ext="edit" aspectratio="f"/>
                </v:rect>
              </v:group>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10734675</wp:posOffset>
            </wp:positionH>
            <wp:positionV relativeFrom="paragraph">
              <wp:posOffset>33020</wp:posOffset>
            </wp:positionV>
            <wp:extent cx="1272540" cy="1241425"/>
            <wp:effectExtent l="0" t="0" r="3810" b="15875"/>
            <wp:wrapNone/>
            <wp:docPr id="1049" name="图片 26"/>
            <wp:cNvGraphicFramePr/>
            <a:graphic xmlns:a="http://schemas.openxmlformats.org/drawingml/2006/main">
              <a:graphicData uri="http://schemas.openxmlformats.org/drawingml/2006/picture">
                <pic:pic xmlns:pic="http://schemas.openxmlformats.org/drawingml/2006/picture">
                  <pic:nvPicPr>
                    <pic:cNvPr id="1049" name="图片 26"/>
                    <pic:cNvPicPr/>
                  </pic:nvPicPr>
                  <pic:blipFill>
                    <a:blip r:embed="rId34" cstate="print"/>
                    <a:srcRect/>
                    <a:stretch>
                      <a:fillRect/>
                    </a:stretch>
                  </pic:blipFill>
                  <pic:spPr>
                    <a:xfrm>
                      <a:off x="0" y="0"/>
                      <a:ext cx="1272540" cy="1241425"/>
                    </a:xfrm>
                    <a:prstGeom prst="rect">
                      <a:avLst/>
                    </a:prstGeom>
                    <a:ln>
                      <a:noFill/>
                    </a:ln>
                  </pic:spPr>
                </pic:pic>
              </a:graphicData>
            </a:graphic>
          </wp:anchor>
        </w:drawing>
      </w:r>
      <w:r>
        <w:rPr>
          <w:sz w:val="24"/>
        </w:rPr>
        <mc:AlternateContent>
          <mc:Choice Requires="wps">
            <w:drawing>
              <wp:anchor distT="0" distB="0" distL="0" distR="0" simplePos="0" relativeHeight="251659264" behindDoc="0" locked="0" layoutInCell="1" allowOverlap="1">
                <wp:simplePos x="0" y="0"/>
                <wp:positionH relativeFrom="column">
                  <wp:posOffset>8588375</wp:posOffset>
                </wp:positionH>
                <wp:positionV relativeFrom="paragraph">
                  <wp:posOffset>2210435</wp:posOffset>
                </wp:positionV>
                <wp:extent cx="819785" cy="415925"/>
                <wp:effectExtent l="4445" t="4445" r="13970" b="17780"/>
                <wp:wrapNone/>
                <wp:docPr id="1050" name="文本框 51"/>
                <wp:cNvGraphicFramePr/>
                <a:graphic xmlns:a="http://schemas.openxmlformats.org/drawingml/2006/main">
                  <a:graphicData uri="http://schemas.microsoft.com/office/word/2010/wordprocessingShape">
                    <wps:wsp>
                      <wps:cNvSpPr/>
                      <wps:spPr>
                        <a:xfrm>
                          <a:off x="0" y="0"/>
                          <a:ext cx="819784" cy="415925"/>
                        </a:xfrm>
                        <a:prstGeom prst="rect">
                          <a:avLst/>
                        </a:prstGeom>
                        <a:solidFill>
                          <a:srgbClr val="FFFFFF"/>
                        </a:solidFill>
                        <a:ln w="6350" cap="flat" cmpd="sng">
                          <a:solidFill>
                            <a:srgbClr val="000000"/>
                          </a:solidFill>
                          <a:prstDash val="solid"/>
                          <a:round/>
                        </a:ln>
                      </wps:spPr>
                      <wps:txbx>
                        <w:txbxContent>
                          <w:p w14:paraId="19C0F695">
                            <w:pPr>
                              <w:jc w:val="center"/>
                              <w:rPr>
                                <w:rFonts w:hint="default" w:eastAsia="宋体"/>
                                <w:lang w:val="en-US" w:eastAsia="zh-CN"/>
                              </w:rPr>
                            </w:pPr>
                            <w:r>
                              <w:rPr>
                                <w:rFonts w:hint="eastAsia"/>
                                <w:lang w:val="en-US" w:eastAsia="zh-CN"/>
                              </w:rPr>
                              <w:t>空厂房</w:t>
                            </w:r>
                          </w:p>
                          <w:p w14:paraId="707043F2">
                            <w:pPr>
                              <w:jc w:val="center"/>
                              <w:rPr>
                                <w:rFonts w:hint="default"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51" o:spid="_x0000_s1026" o:spt="1" style="position:absolute;left:0pt;margin-left:676.25pt;margin-top:174.05pt;height:32.75pt;width:64.55pt;z-index:251659264;mso-width-relative:page;mso-height-relative:page;" fillcolor="#FFFFFF" filled="t" stroked="t" coordsize="21600,21600" o:gfxdata="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RGbdo2QAAAA0B&#10;AAAPAAAAAAAAAAEAIAAAACIAAABkcnMvZG93bnJldi54bWxQSwECFAAUAAAACACHTuJAOSQg5RoC&#10;AABCBAAADgAAAAAAAAABACAAAAAoAQAAZHJzL2Uyb0RvYy54bWxQSwUGAAAAAAYABgBZAQAAtAUA&#10;AAAA&#10;">
                <v:fill on="t" focussize="0,0"/>
                <v:stroke weight="0.5pt" color="#000000" joinstyle="round"/>
                <v:imagedata o:title=""/>
                <o:lock v:ext="edit" aspectratio="f"/>
                <v:textbox>
                  <w:txbxContent>
                    <w:p w14:paraId="19C0F695">
                      <w:pPr>
                        <w:jc w:val="center"/>
                        <w:rPr>
                          <w:rFonts w:hint="default" w:eastAsia="宋体"/>
                          <w:lang w:val="en-US" w:eastAsia="zh-CN"/>
                        </w:rPr>
                      </w:pPr>
                      <w:r>
                        <w:rPr>
                          <w:rFonts w:hint="eastAsia"/>
                          <w:lang w:val="en-US" w:eastAsia="zh-CN"/>
                        </w:rPr>
                        <w:t>空厂房</w:t>
                      </w:r>
                    </w:p>
                    <w:p w14:paraId="707043F2">
                      <w:pPr>
                        <w:jc w:val="center"/>
                        <w:rPr>
                          <w:rFonts w:hint="default" w:eastAsia="宋体"/>
                          <w:sz w:val="24"/>
                          <w:szCs w:val="24"/>
                          <w:lang w:val="en-US" w:eastAsia="zh-CN"/>
                        </w:rPr>
                      </w:pP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7715885</wp:posOffset>
                </wp:positionH>
                <wp:positionV relativeFrom="paragraph">
                  <wp:posOffset>1019810</wp:posOffset>
                </wp:positionV>
                <wp:extent cx="2621915" cy="2980055"/>
                <wp:effectExtent l="13970" t="13970" r="31115" b="15875"/>
                <wp:wrapNone/>
                <wp:docPr id="1051" name="矩形 76"/>
                <wp:cNvGraphicFramePr/>
                <a:graphic xmlns:a="http://schemas.openxmlformats.org/drawingml/2006/main">
                  <a:graphicData uri="http://schemas.microsoft.com/office/word/2010/wordprocessingShape">
                    <wps:wsp>
                      <wps:cNvSpPr/>
                      <wps:spPr>
                        <a:xfrm>
                          <a:off x="0" y="0"/>
                          <a:ext cx="2621915" cy="2980055"/>
                        </a:xfrm>
                        <a:prstGeom prst="rect">
                          <a:avLst/>
                        </a:prstGeom>
                        <a:ln w="28575" cap="flat" cmpd="sng">
                          <a:solidFill>
                            <a:srgbClr val="FFFF00"/>
                          </a:solidFill>
                          <a:prstDash val="solid"/>
                          <a:miter/>
                        </a:ln>
                      </wps:spPr>
                      <wps:bodyPr/>
                    </wps:wsp>
                  </a:graphicData>
                </a:graphic>
              </wp:anchor>
            </w:drawing>
          </mc:Choice>
          <mc:Fallback>
            <w:pict>
              <v:rect id="矩形 76" o:spid="_x0000_s1026" o:spt="1" style="position:absolute;left:0pt;margin-left:607.55pt;margin-top:80.3pt;height:234.65pt;width:206.45pt;z-index:251659264;mso-width-relative:page;mso-height-relative:page;" filled="f" stroked="t" coordsize="21600,21600" o:gfxdata="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ciD7z2QAAAA0BAAAPAAAAAAAAAAEAIAAAACIA&#10;AABkcnMvZG93bnJldi54bWxQSwECFAAUAAAACACHTuJAB197UM8BAACQAwAADgAAAAAAAAABACAA&#10;AAAoAQAAZHJzL2Uyb0RvYy54bWxQSwUGAAAAAAYABgBZAQAAaQU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5895340</wp:posOffset>
                </wp:positionH>
                <wp:positionV relativeFrom="paragraph">
                  <wp:posOffset>5805170</wp:posOffset>
                </wp:positionV>
                <wp:extent cx="819785" cy="437515"/>
                <wp:effectExtent l="4445" t="4445" r="13970" b="15240"/>
                <wp:wrapNone/>
                <wp:docPr id="1052" name="文本框 48"/>
                <wp:cNvGraphicFramePr/>
                <a:graphic xmlns:a="http://schemas.openxmlformats.org/drawingml/2006/main">
                  <a:graphicData uri="http://schemas.microsoft.com/office/word/2010/wordprocessingShape">
                    <wps:wsp>
                      <wps:cNvSpPr/>
                      <wps:spPr>
                        <a:xfrm>
                          <a:off x="0" y="0"/>
                          <a:ext cx="819784" cy="437515"/>
                        </a:xfrm>
                        <a:prstGeom prst="rect">
                          <a:avLst/>
                        </a:prstGeom>
                        <a:solidFill>
                          <a:srgbClr val="FFFFFF"/>
                        </a:solidFill>
                        <a:ln w="6350" cap="flat" cmpd="sng">
                          <a:solidFill>
                            <a:srgbClr val="000000"/>
                          </a:solidFill>
                          <a:prstDash val="solid"/>
                          <a:round/>
                        </a:ln>
                      </wps:spPr>
                      <wps:txbx>
                        <w:txbxContent>
                          <w:p w14:paraId="61C677CC">
                            <w:pPr>
                              <w:jc w:val="center"/>
                              <w:rPr>
                                <w:rFonts w:hint="default" w:eastAsia="宋体"/>
                                <w:lang w:val="en-US" w:eastAsia="zh-CN"/>
                              </w:rPr>
                            </w:pPr>
                            <w:r>
                              <w:rPr>
                                <w:rFonts w:hint="eastAsia"/>
                                <w:lang w:val="en-US" w:eastAsia="zh-CN"/>
                              </w:rPr>
                              <w:t>空厂房</w:t>
                            </w:r>
                          </w:p>
                          <w:p w14:paraId="0B0929D2">
                            <w:pPr>
                              <w:jc w:val="center"/>
                              <w:rPr>
                                <w:rFonts w:hint="default"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48" o:spid="_x0000_s1026" o:spt="1" style="position:absolute;left:0pt;margin-left:464.2pt;margin-top:457.1pt;height:34.45pt;width:64.55pt;z-index:251659264;mso-width-relative:page;mso-height-relative:page;" fillcolor="#FFFFFF" filled="t" stroked="t" coordsize="21600,21600" o:gfxdata="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LOEw9kAAAAM&#10;AQAADwAAAAAAAAABACAAAAAiAAAAZHJzL2Rvd25yZXYueG1sUEsBAhQAFAAAAAgAh07iQOE+j6Ab&#10;AgAAQgQAAA4AAAAAAAAAAQAgAAAAKAEAAGRycy9lMm9Eb2MueG1sUEsFBgAAAAAGAAYAWQEAALUF&#10;AAAAAA==&#10;">
                <v:fill on="t" focussize="0,0"/>
                <v:stroke weight="0.5pt" color="#000000" joinstyle="round"/>
                <v:imagedata o:title=""/>
                <o:lock v:ext="edit" aspectratio="f"/>
                <v:textbox>
                  <w:txbxContent>
                    <w:p w14:paraId="61C677CC">
                      <w:pPr>
                        <w:jc w:val="center"/>
                        <w:rPr>
                          <w:rFonts w:hint="default" w:eastAsia="宋体"/>
                          <w:lang w:val="en-US" w:eastAsia="zh-CN"/>
                        </w:rPr>
                      </w:pPr>
                      <w:r>
                        <w:rPr>
                          <w:rFonts w:hint="eastAsia"/>
                          <w:lang w:val="en-US" w:eastAsia="zh-CN"/>
                        </w:rPr>
                        <w:t>空厂房</w:t>
                      </w:r>
                    </w:p>
                    <w:p w14:paraId="0B0929D2">
                      <w:pPr>
                        <w:jc w:val="center"/>
                        <w:rPr>
                          <w:rFonts w:hint="default" w:eastAsia="宋体"/>
                          <w:sz w:val="24"/>
                          <w:szCs w:val="24"/>
                          <w:lang w:val="en-US" w:eastAsia="zh-CN"/>
                        </w:rPr>
                      </w:pP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5131435</wp:posOffset>
                </wp:positionH>
                <wp:positionV relativeFrom="paragraph">
                  <wp:posOffset>4763770</wp:posOffset>
                </wp:positionV>
                <wp:extent cx="2481580" cy="2512695"/>
                <wp:effectExtent l="13970" t="13970" r="19050" b="26035"/>
                <wp:wrapNone/>
                <wp:docPr id="1053" name="矩形 45"/>
                <wp:cNvGraphicFramePr/>
                <a:graphic xmlns:a="http://schemas.openxmlformats.org/drawingml/2006/main">
                  <a:graphicData uri="http://schemas.microsoft.com/office/word/2010/wordprocessingShape">
                    <wps:wsp>
                      <wps:cNvSpPr/>
                      <wps:spPr>
                        <a:xfrm>
                          <a:off x="0" y="0"/>
                          <a:ext cx="2481579" cy="2512694"/>
                        </a:xfrm>
                        <a:prstGeom prst="rect">
                          <a:avLst/>
                        </a:prstGeom>
                        <a:ln w="28575" cap="flat" cmpd="sng">
                          <a:solidFill>
                            <a:srgbClr val="FFFF00"/>
                          </a:solidFill>
                          <a:prstDash val="solid"/>
                          <a:miter/>
                        </a:ln>
                      </wps:spPr>
                      <wps:bodyPr/>
                    </wps:wsp>
                  </a:graphicData>
                </a:graphic>
              </wp:anchor>
            </w:drawing>
          </mc:Choice>
          <mc:Fallback>
            <w:pict>
              <v:rect id="矩形 45" o:spid="_x0000_s1026" o:spt="1" style="position:absolute;left:0pt;margin-left:404.05pt;margin-top:375.1pt;height:197.85pt;width:195.4pt;z-index:251659264;mso-width-relative:page;mso-height-relative:page;" filled="f" stroked="t" coordsize="21600,21600" o:gfxdata="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s4UKM2gAAAA0BAAAPAAAAAAAAAAEAIAAA&#10;ACIAAABkcnMvZG93bnJldi54bWxQSwECFAAUAAAACACHTuJAI2p+BtEBAACQAwAADgAAAAAAAAAB&#10;ACAAAAApAQAAZHJzL2Uyb0RvYy54bWxQSwUGAAAAAAYABgBZAQAAbAU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3080385</wp:posOffset>
                </wp:positionH>
                <wp:positionV relativeFrom="paragraph">
                  <wp:posOffset>2790190</wp:posOffset>
                </wp:positionV>
                <wp:extent cx="1334135" cy="367665"/>
                <wp:effectExtent l="4445" t="4445" r="13970" b="8890"/>
                <wp:wrapNone/>
                <wp:docPr id="1054" name="文本框 243"/>
                <wp:cNvGraphicFramePr/>
                <a:graphic xmlns:a="http://schemas.openxmlformats.org/drawingml/2006/main">
                  <a:graphicData uri="http://schemas.microsoft.com/office/word/2010/wordprocessingShape">
                    <wps:wsp>
                      <wps:cNvSpPr/>
                      <wps:spPr>
                        <a:xfrm>
                          <a:off x="0" y="0"/>
                          <a:ext cx="1334135" cy="367664"/>
                        </a:xfrm>
                        <a:prstGeom prst="rect">
                          <a:avLst/>
                        </a:prstGeom>
                        <a:solidFill>
                          <a:srgbClr val="FFFFFF"/>
                        </a:solidFill>
                        <a:ln w="6350" cap="flat" cmpd="sng">
                          <a:solidFill>
                            <a:srgbClr val="000000"/>
                          </a:solidFill>
                          <a:prstDash val="solid"/>
                          <a:round/>
                        </a:ln>
                      </wps:spPr>
                      <wps:txbx>
                        <w:txbxContent>
                          <w:p w14:paraId="24E39356">
                            <w:pPr>
                              <w:jc w:val="center"/>
                              <w:rPr>
                                <w:rFonts w:hint="default" w:eastAsia="宋体"/>
                                <w:lang w:val="en-US" w:eastAsia="zh-CN"/>
                              </w:rPr>
                            </w:pPr>
                            <w:r>
                              <w:rPr>
                                <w:rFonts w:hint="eastAsia"/>
                                <w:lang w:val="en-US" w:eastAsia="zh-CN"/>
                              </w:rPr>
                              <w:t>空厂房</w:t>
                            </w:r>
                          </w:p>
                        </w:txbxContent>
                      </wps:txbx>
                      <wps:bodyPr vert="horz" wrap="square" lIns="91440" tIns="45720" rIns="91440" bIns="45720" anchor="t">
                        <a:noAutofit/>
                      </wps:bodyPr>
                    </wps:wsp>
                  </a:graphicData>
                </a:graphic>
              </wp:anchor>
            </w:drawing>
          </mc:Choice>
          <mc:Fallback>
            <w:pict>
              <v:rect id="文本框 243" o:spid="_x0000_s1026" o:spt="1" style="position:absolute;left:0pt;margin-left:242.55pt;margin-top:219.7pt;height:28.95pt;width:105.05pt;z-index:251659264;mso-width-relative:page;mso-height-relative:page;" fillcolor="#FFFFFF" filled="t" stroked="t" coordsize="21600,21600" o:gfxdata="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TWRrPZAAAA&#10;CwEAAA8AAAAAAAAAAQAgAAAAIgAAAGRycy9kb3ducmV2LnhtbFBLAQIUABQAAAAIAIdO4kDJercu&#10;HAIAAEQEAAAOAAAAAAAAAAEAIAAAACgBAABkcnMvZTJvRG9jLnhtbFBLBQYAAAAABgAGAFkBAAC2&#10;BQAAAAA=&#10;">
                <v:fill on="t" focussize="0,0"/>
                <v:stroke weight="0.5pt" color="#000000" joinstyle="round"/>
                <v:imagedata o:title=""/>
                <o:lock v:ext="edit" aspectratio="f"/>
                <v:textbox>
                  <w:txbxContent>
                    <w:p w14:paraId="24E39356">
                      <w:pPr>
                        <w:jc w:val="center"/>
                        <w:rPr>
                          <w:rFonts w:hint="default" w:eastAsia="宋体"/>
                          <w:lang w:val="en-US" w:eastAsia="zh-CN"/>
                        </w:rPr>
                      </w:pPr>
                      <w:r>
                        <w:rPr>
                          <w:rFonts w:hint="eastAsia"/>
                          <w:lang w:val="en-US" w:eastAsia="zh-CN"/>
                        </w:rPr>
                        <w:t>空厂房</w:t>
                      </w:r>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3030220</wp:posOffset>
                </wp:positionH>
                <wp:positionV relativeFrom="paragraph">
                  <wp:posOffset>2286635</wp:posOffset>
                </wp:positionV>
                <wp:extent cx="1488440" cy="1341755"/>
                <wp:effectExtent l="13970" t="13970" r="21590" b="15875"/>
                <wp:wrapNone/>
                <wp:docPr id="1055" name="矩形 34"/>
                <wp:cNvGraphicFramePr/>
                <a:graphic xmlns:a="http://schemas.openxmlformats.org/drawingml/2006/main">
                  <a:graphicData uri="http://schemas.microsoft.com/office/word/2010/wordprocessingShape">
                    <wps:wsp>
                      <wps:cNvSpPr/>
                      <wps:spPr>
                        <a:xfrm>
                          <a:off x="0" y="0"/>
                          <a:ext cx="1488439" cy="1341755"/>
                        </a:xfrm>
                        <a:prstGeom prst="rect">
                          <a:avLst/>
                        </a:prstGeom>
                        <a:ln w="28575" cap="flat" cmpd="sng">
                          <a:solidFill>
                            <a:srgbClr val="FFFF00"/>
                          </a:solidFill>
                          <a:prstDash val="solid"/>
                          <a:miter/>
                        </a:ln>
                      </wps:spPr>
                      <wps:bodyPr/>
                    </wps:wsp>
                  </a:graphicData>
                </a:graphic>
              </wp:anchor>
            </w:drawing>
          </mc:Choice>
          <mc:Fallback>
            <w:pict>
              <v:rect id="矩形 34" o:spid="_x0000_s1026" o:spt="1" style="position:absolute;left:0pt;margin-left:238.6pt;margin-top:180.05pt;height:105.65pt;width:117.2pt;z-index:251659264;mso-width-relative:page;mso-height-relative:page;" filled="f" stroked="t" coordsize="21600,21600" o:gfxdata="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eYAF/ZAAAACwEAAA8AAAAAAAAAAQAgAAAA&#10;IgAAAGRycy9kb3ducmV2LnhtbFBLAQIUABQAAAAIAIdO4kDdLPde0QEAAJADAAAOAAAAAAAAAAEA&#10;IAAAACgBAABkcnMvZTJvRG9jLnhtbFBLBQYAAAAABgAGAFkBAABrBQAAAAA=&#10;">
                <v:fill on="f" focussize="0,0"/>
                <v:stroke weight="2.25pt" color="#FFFF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5601970</wp:posOffset>
                </wp:positionH>
                <wp:positionV relativeFrom="paragraph">
                  <wp:posOffset>2033905</wp:posOffset>
                </wp:positionV>
                <wp:extent cx="758190" cy="321310"/>
                <wp:effectExtent l="4445" t="4445" r="18415" b="17145"/>
                <wp:wrapNone/>
                <wp:docPr id="1056" name="文本框 46"/>
                <wp:cNvGraphicFramePr/>
                <a:graphic xmlns:a="http://schemas.openxmlformats.org/drawingml/2006/main">
                  <a:graphicData uri="http://schemas.microsoft.com/office/word/2010/wordprocessingShape">
                    <wps:wsp>
                      <wps:cNvSpPr/>
                      <wps:spPr>
                        <a:xfrm>
                          <a:off x="0" y="0"/>
                          <a:ext cx="758189" cy="321310"/>
                        </a:xfrm>
                        <a:prstGeom prst="rect">
                          <a:avLst/>
                        </a:prstGeom>
                        <a:solidFill>
                          <a:srgbClr val="FFFFFF"/>
                        </a:solidFill>
                        <a:ln w="6350" cap="flat" cmpd="sng">
                          <a:solidFill>
                            <a:srgbClr val="000000"/>
                          </a:solidFill>
                          <a:prstDash val="solid"/>
                          <a:round/>
                        </a:ln>
                      </wps:spPr>
                      <wps:txbx>
                        <w:txbxContent>
                          <w:p w14:paraId="74E5E490">
                            <w:pPr>
                              <w:jc w:val="center"/>
                              <w:rPr>
                                <w:rFonts w:hint="default" w:eastAsia="宋体"/>
                                <w:lang w:val="en-US" w:eastAsia="zh-CN"/>
                              </w:rPr>
                            </w:pPr>
                            <w:r>
                              <w:rPr>
                                <w:rFonts w:hint="eastAsia"/>
                                <w:lang w:val="en-US" w:eastAsia="zh-CN"/>
                              </w:rPr>
                              <w:t>空厂房</w:t>
                            </w:r>
                          </w:p>
                          <w:p w14:paraId="0DC1C261">
                            <w:pPr>
                              <w:jc w:val="center"/>
                              <w:rPr>
                                <w:rFonts w:hint="eastAsia" w:eastAsia="宋体"/>
                                <w:sz w:val="24"/>
                                <w:szCs w:val="24"/>
                                <w:lang w:val="en-US" w:eastAsia="zh-CN"/>
                              </w:rPr>
                            </w:pPr>
                          </w:p>
                        </w:txbxContent>
                      </wps:txbx>
                      <wps:bodyPr vert="horz" wrap="square" lIns="91440" tIns="45720" rIns="91440" bIns="45720" anchor="t">
                        <a:noAutofit/>
                      </wps:bodyPr>
                    </wps:wsp>
                  </a:graphicData>
                </a:graphic>
              </wp:anchor>
            </w:drawing>
          </mc:Choice>
          <mc:Fallback>
            <w:pict>
              <v:rect id="文本框 46" o:spid="_x0000_s1026" o:spt="1" style="position:absolute;left:0pt;margin-left:441.1pt;margin-top:160.15pt;height:25.3pt;width:59.7pt;z-index:251659264;mso-width-relative:page;mso-height-relative:page;" fillcolor="#FFFFFF" filled="t" stroked="t" coordsize="21600,21600" o:gfxdata="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BTXyB2AAA&#10;AAwBAAAPAAAAAAAAAAEAIAAAACIAAABkcnMvZG93bnJldi54bWxQSwECFAAUAAAACACHTuJAJGLh&#10;IB4CAABCBAAADgAAAAAAAAABACAAAAAnAQAAZHJzL2Uyb0RvYy54bWxQSwUGAAAAAAYABgBZAQAA&#10;twUAAAAA&#10;">
                <v:fill on="t" focussize="0,0"/>
                <v:stroke weight="0.5pt" color="#000000" joinstyle="round"/>
                <v:imagedata o:title=""/>
                <o:lock v:ext="edit" aspectratio="f"/>
                <v:textbox>
                  <w:txbxContent>
                    <w:p w14:paraId="74E5E490">
                      <w:pPr>
                        <w:jc w:val="center"/>
                        <w:rPr>
                          <w:rFonts w:hint="default" w:eastAsia="宋体"/>
                          <w:lang w:val="en-US" w:eastAsia="zh-CN"/>
                        </w:rPr>
                      </w:pPr>
                      <w:r>
                        <w:rPr>
                          <w:rFonts w:hint="eastAsia"/>
                          <w:lang w:val="en-US" w:eastAsia="zh-CN"/>
                        </w:rPr>
                        <w:t>空厂房</w:t>
                      </w:r>
                    </w:p>
                    <w:p w14:paraId="0DC1C261">
                      <w:pPr>
                        <w:jc w:val="center"/>
                        <w:rPr>
                          <w:rFonts w:hint="eastAsia" w:eastAsia="宋体"/>
                          <w:sz w:val="24"/>
                          <w:szCs w:val="24"/>
                          <w:lang w:val="en-US" w:eastAsia="zh-CN"/>
                        </w:rPr>
                      </w:pPr>
                    </w:p>
                  </w:txbxContent>
                </v:textbox>
              </v:rect>
            </w:pict>
          </mc:Fallback>
        </mc:AlternateContent>
      </w:r>
      <w:r>
        <w:drawing>
          <wp:inline distT="0" distB="0" distL="0" distR="0">
            <wp:extent cx="10733405" cy="7734935"/>
            <wp:effectExtent l="0" t="0" r="10795" b="18415"/>
            <wp:docPr id="1057" name="图片 73" descr="粤联昌 四至图"/>
            <wp:cNvGraphicFramePr/>
            <a:graphic xmlns:a="http://schemas.openxmlformats.org/drawingml/2006/main">
              <a:graphicData uri="http://schemas.openxmlformats.org/drawingml/2006/picture">
                <pic:pic xmlns:pic="http://schemas.openxmlformats.org/drawingml/2006/picture">
                  <pic:nvPicPr>
                    <pic:cNvPr id="1057" name="图片 73" descr="粤联昌 四至图"/>
                    <pic:cNvPicPr/>
                  </pic:nvPicPr>
                  <pic:blipFill>
                    <a:blip r:embed="rId35" cstate="print"/>
                    <a:srcRect/>
                    <a:stretch>
                      <a:fillRect/>
                    </a:stretch>
                  </pic:blipFill>
                  <pic:spPr>
                    <a:xfrm>
                      <a:off x="0" y="0"/>
                      <a:ext cx="10733405" cy="7734935"/>
                    </a:xfrm>
                    <a:prstGeom prst="rect">
                      <a:avLst/>
                    </a:prstGeom>
                  </pic:spPr>
                </pic:pic>
              </a:graphicData>
            </a:graphic>
          </wp:inline>
        </w:drawing>
      </w:r>
      <w:r>
        <mc:AlternateContent>
          <mc:Choice Requires="wps">
            <w:drawing>
              <wp:anchor distT="0" distB="0" distL="0" distR="0" simplePos="0" relativeHeight="251659264" behindDoc="0" locked="0" layoutInCell="1" allowOverlap="1">
                <wp:simplePos x="0" y="0"/>
                <wp:positionH relativeFrom="column">
                  <wp:posOffset>4740275</wp:posOffset>
                </wp:positionH>
                <wp:positionV relativeFrom="paragraph">
                  <wp:posOffset>2745740</wp:posOffset>
                </wp:positionV>
                <wp:extent cx="2440305" cy="1289685"/>
                <wp:effectExtent l="6350" t="6350" r="10795" b="18415"/>
                <wp:wrapNone/>
                <wp:docPr id="1058" name="矩形 71"/>
                <wp:cNvGraphicFramePr/>
                <a:graphic xmlns:a="http://schemas.openxmlformats.org/drawingml/2006/main">
                  <a:graphicData uri="http://schemas.microsoft.com/office/word/2010/wordprocessingShape">
                    <wps:wsp>
                      <wps:cNvSpPr/>
                      <wps:spPr>
                        <a:xfrm>
                          <a:off x="0" y="0"/>
                          <a:ext cx="2440305" cy="1289685"/>
                        </a:xfrm>
                        <a:prstGeom prst="rect">
                          <a:avLst/>
                        </a:prstGeom>
                        <a:solidFill>
                          <a:srgbClr val="FF0000">
                            <a:alpha val="48000"/>
                          </a:srgbClr>
                        </a:solidFill>
                        <a:ln w="12700" cap="flat" cmpd="sng">
                          <a:solidFill>
                            <a:srgbClr val="FF0000"/>
                          </a:solidFill>
                          <a:prstDash val="solid"/>
                          <a:miter/>
                        </a:ln>
                      </wps:spPr>
                      <wps:bodyPr/>
                    </wps:wsp>
                  </a:graphicData>
                </a:graphic>
              </wp:anchor>
            </w:drawing>
          </mc:Choice>
          <mc:Fallback>
            <w:pict>
              <v:rect id="矩形 71" o:spid="_x0000_s1026" o:spt="1" style="position:absolute;left:0pt;margin-left:373.25pt;margin-top:216.2pt;height:101.55pt;width:192.15pt;z-index:251659264;mso-width-relative:page;mso-height-relative:page;" fillcolor="#FF0000" filled="t" stroked="t" coordsize="21600,21600" o:gfxdata="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i1Blg&#10;2QAAAAwBAAAPAAAAAAAAAAEAIAAAACIAAABkcnMvZG93bnJldi54bWxQSwECFAAUAAAACACHTuJA&#10;RSVyiecBAADlAwAADgAAAAAAAAABACAAAAAoAQAAZHJzL2Uyb0RvYy54bWxQSwUGAAAAAAYABgBZ&#10;AQAAgQUAAAAA&#10;">
                <v:fill on="t" opacity="31457f" focussize="0,0"/>
                <v:stroke weight="1pt" color="#FF0000" joinstyle="miter"/>
                <v:imagedata o:title=""/>
                <o:lock v:ext="edit" aspectratio="f"/>
              </v:rect>
            </w:pict>
          </mc:Fallback>
        </mc:AlternateContent>
      </w:r>
      <w:r>
        <mc:AlternateContent>
          <mc:Choice Requires="wps">
            <w:drawing>
              <wp:anchor distT="0" distB="0" distL="0" distR="0" simplePos="0" relativeHeight="251659264" behindDoc="0" locked="0" layoutInCell="1" allowOverlap="1">
                <wp:simplePos x="0" y="0"/>
                <wp:positionH relativeFrom="column">
                  <wp:posOffset>4719955</wp:posOffset>
                </wp:positionH>
                <wp:positionV relativeFrom="paragraph">
                  <wp:posOffset>1637030</wp:posOffset>
                </wp:positionV>
                <wp:extent cx="2463800" cy="1037590"/>
                <wp:effectExtent l="13970" t="14605" r="17780" b="14605"/>
                <wp:wrapNone/>
                <wp:docPr id="1059" name="矩形 44"/>
                <wp:cNvGraphicFramePr/>
                <a:graphic xmlns:a="http://schemas.openxmlformats.org/drawingml/2006/main">
                  <a:graphicData uri="http://schemas.microsoft.com/office/word/2010/wordprocessingShape">
                    <wps:wsp>
                      <wps:cNvSpPr/>
                      <wps:spPr>
                        <a:xfrm>
                          <a:off x="0" y="0"/>
                          <a:ext cx="2463800" cy="1037590"/>
                        </a:xfrm>
                        <a:prstGeom prst="rect">
                          <a:avLst/>
                        </a:prstGeom>
                        <a:ln w="28575" cap="flat" cmpd="sng">
                          <a:solidFill>
                            <a:srgbClr val="FFFF00"/>
                          </a:solidFill>
                          <a:prstDash val="solid"/>
                          <a:miter/>
                        </a:ln>
                      </wps:spPr>
                      <wps:bodyPr/>
                    </wps:wsp>
                  </a:graphicData>
                </a:graphic>
              </wp:anchor>
            </w:drawing>
          </mc:Choice>
          <mc:Fallback>
            <w:pict>
              <v:rect id="矩形 44" o:spid="_x0000_s1026" o:spt="1" style="position:absolute;left:0pt;margin-left:371.65pt;margin-top:128.9pt;height:81.7pt;width:194pt;z-index:251659264;mso-width-relative:page;mso-height-relative:page;" filled="f" stroked="t" coordsize="21600,21600" o:gfxdata="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JwkyytkAAAAMAQAADwAAAAAAAAABACAAAAAi&#10;AAAAZHJzL2Rvd25yZXYueG1sUEsBAhQAFAAAAAgAh07iQMFYxG/QAQAAkAMAAA4AAAAAAAAAAQAg&#10;AAAAKAEAAGRycy9lMm9Eb2MueG1sUEsFBgAAAAAGAAYAWQEAAGoFAAAAAA==&#10;">
                <v:fill on="f" focussize="0,0"/>
                <v:stroke weight="2.25pt" color="#FFFF00" joinstyle="miter"/>
                <v:imagedata o:title=""/>
                <o:lock v:ext="edit" aspectratio="f"/>
              </v:rect>
            </w:pict>
          </mc:Fallback>
        </mc:AlternateContent>
      </w:r>
    </w:p>
    <w:p w14:paraId="00D4A8E8">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rPr>
      </w:pPr>
      <w:bookmarkStart w:id="128" w:name="_Toc15397"/>
      <w:bookmarkStart w:id="129" w:name="_Toc11926"/>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8124825</wp:posOffset>
            </wp:positionH>
            <wp:positionV relativeFrom="paragraph">
              <wp:posOffset>29845</wp:posOffset>
            </wp:positionV>
            <wp:extent cx="383540" cy="403225"/>
            <wp:effectExtent l="0" t="0" r="16510" b="15875"/>
            <wp:wrapNone/>
            <wp:docPr id="1060" name="图片 102" descr="指北针"/>
            <wp:cNvGraphicFramePr/>
            <a:graphic xmlns:a="http://schemas.openxmlformats.org/drawingml/2006/main">
              <a:graphicData uri="http://schemas.openxmlformats.org/drawingml/2006/picture">
                <pic:pic xmlns:pic="http://schemas.openxmlformats.org/drawingml/2006/picture">
                  <pic:nvPicPr>
                    <pic:cNvPr id="1060" name="图片 102" descr="指北针"/>
                    <pic:cNvPicPr/>
                  </pic:nvPicPr>
                  <pic:blipFill>
                    <a:blip r:embed="rId32" cstate="print"/>
                    <a:srcRect/>
                    <a:stretch>
                      <a:fillRect/>
                    </a:stretch>
                  </pic:blipFill>
                  <pic:spPr>
                    <a:xfrm>
                      <a:off x="0" y="0"/>
                      <a:ext cx="383540" cy="403225"/>
                    </a:xfrm>
                    <a:prstGeom prst="rect">
                      <a:avLst/>
                    </a:prstGeom>
                  </pic:spPr>
                </pic:pic>
              </a:graphicData>
            </a:graphic>
          </wp:anchor>
        </w:drawing>
      </w:r>
      <w:r>
        <w:rPr>
          <w:rFonts w:hint="default" w:ascii="Times New Roman" w:hAnsi="Times New Roman" w:eastAsia="宋体" w:cs="Times New Roman"/>
          <w:b/>
          <w:bCs/>
          <w:color w:val="auto"/>
          <w:kern w:val="0"/>
          <w:sz w:val="24"/>
          <w:szCs w:val="24"/>
          <w:highlight w:val="none"/>
          <w:lang w:val="en-US" w:eastAsia="zh-CN" w:bidi="ar-SA"/>
        </w:rPr>
        <w:t>附图3</w:t>
      </w:r>
      <w:r>
        <w:rPr>
          <w:rFonts w:hint="default" w:ascii="Times New Roman" w:hAnsi="Times New Roman" w:eastAsia="宋体" w:cs="Times New Roman"/>
          <w:b/>
          <w:bCs/>
          <w:color w:val="auto"/>
          <w:sz w:val="24"/>
          <w:szCs w:val="24"/>
          <w:highlight w:val="none"/>
        </w:rPr>
        <w:t>平面布置图</w:t>
      </w:r>
      <w:bookmarkEnd w:id="128"/>
      <w:bookmarkEnd w:id="129"/>
    </w:p>
    <w:p w14:paraId="403A4691">
      <w:pPr>
        <w:bidi w:val="0"/>
        <w:rPr>
          <w:rFonts w:hint="default"/>
        </w:rPr>
      </w:pPr>
    </w:p>
    <w:p w14:paraId="3F33ACBD">
      <w:pPr>
        <w:bidi w:val="0"/>
        <w:jc w:val="center"/>
        <w:rPr>
          <w:rFonts w:hint="default" w:ascii="Times New Roman" w:hAnsi="Times New Roman" w:cs="Times New Roman"/>
          <w:color w:val="auto"/>
          <w:highlight w:val="none"/>
        </w:rPr>
        <w:sectPr>
          <w:pgSz w:w="16838" w:h="11906" w:orient="landscape"/>
          <w:pgMar w:top="1417" w:right="1417" w:bottom="1134" w:left="1559" w:header="851" w:footer="624" w:gutter="0"/>
          <w:pgBorders>
            <w:top w:val="none" w:sz="0" w:space="0"/>
            <w:left w:val="none" w:sz="0" w:space="0"/>
            <w:bottom w:val="none" w:sz="0" w:space="0"/>
            <w:right w:val="none" w:sz="0" w:space="0"/>
          </w:pgBorders>
          <w:pgNumType w:fmt="decimal"/>
          <w:cols w:space="720" w:num="1"/>
          <w:docGrid w:type="lines" w:linePitch="312" w:charSpace="0"/>
        </w:sectPr>
      </w:pPr>
      <w:r>
        <w:drawing>
          <wp:inline distT="0" distB="0" distL="0" distR="0">
            <wp:extent cx="8796655" cy="4354195"/>
            <wp:effectExtent l="0" t="0" r="0" b="8255"/>
            <wp:docPr id="1061" name="图片 1"/>
            <wp:cNvGraphicFramePr/>
            <a:graphic xmlns:a="http://schemas.openxmlformats.org/drawingml/2006/main">
              <a:graphicData uri="http://schemas.openxmlformats.org/drawingml/2006/picture">
                <pic:pic xmlns:pic="http://schemas.openxmlformats.org/drawingml/2006/picture">
                  <pic:nvPicPr>
                    <pic:cNvPr id="1061" name="图片 1"/>
                    <pic:cNvPicPr/>
                  </pic:nvPicPr>
                  <pic:blipFill>
                    <a:blip r:embed="rId36" cstate="print"/>
                    <a:srcRect/>
                    <a:stretch>
                      <a:fillRect/>
                    </a:stretch>
                  </pic:blipFill>
                  <pic:spPr>
                    <a:xfrm>
                      <a:off x="0" y="0"/>
                      <a:ext cx="8796655" cy="4354195"/>
                    </a:xfrm>
                    <a:prstGeom prst="rect">
                      <a:avLst/>
                    </a:prstGeom>
                    <a:ln>
                      <a:noFill/>
                    </a:ln>
                  </pic:spPr>
                </pic:pic>
              </a:graphicData>
            </a:graphic>
          </wp:inline>
        </w:drawing>
      </w:r>
    </w:p>
    <w:p w14:paraId="66566EB1">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30" w:name="_Toc31546"/>
      <w:bookmarkStart w:id="131" w:name="_Toc16804"/>
      <w:bookmarkStart w:id="132" w:name="_Toc30205"/>
      <w:r>
        <w:rPr>
          <w:rFonts w:hint="default" w:ascii="Times New Roman" w:hAnsi="Times New Roman" w:eastAsia="宋体" w:cs="Times New Roman"/>
          <w:b/>
          <w:bCs/>
          <w:color w:val="auto"/>
          <w:kern w:val="0"/>
          <w:sz w:val="24"/>
          <w:szCs w:val="24"/>
          <w:highlight w:val="none"/>
          <w:lang w:val="en-US" w:eastAsia="zh-CN" w:bidi="ar-SA"/>
        </w:rPr>
        <w:t xml:space="preserve">附图4 </w:t>
      </w:r>
      <w:r>
        <w:rPr>
          <w:rFonts w:hint="default" w:ascii="Times New Roman" w:hAnsi="Times New Roman" w:eastAsia="宋体" w:cs="Times New Roman"/>
          <w:b/>
          <w:bCs/>
          <w:color w:val="auto"/>
          <w:sz w:val="24"/>
          <w:szCs w:val="24"/>
          <w:highlight w:val="none"/>
          <w:lang w:eastAsia="zh-CN"/>
        </w:rPr>
        <w:t>环境保护目标分布图</w:t>
      </w:r>
      <w:bookmarkEnd w:id="130"/>
      <w:bookmarkEnd w:id="131"/>
      <w:bookmarkEnd w:id="132"/>
    </w:p>
    <w:p w14:paraId="085FFEB1">
      <w:pPr>
        <w:pStyle w:val="2"/>
        <w:jc w:val="center"/>
        <w:rPr>
          <w:rFonts w:hint="default" w:ascii="Times New Roman" w:hAnsi="Times New Roman" w:eastAsia="宋体" w:cs="Times New Roman"/>
          <w:b/>
          <w:bCs/>
          <w:color w:val="auto"/>
          <w:kern w:val="0"/>
          <w:sz w:val="24"/>
          <w:szCs w:val="24"/>
          <w:highlight w:val="none"/>
          <w:lang w:val="en-US" w:eastAsia="zh-CN" w:bidi="ar-SA"/>
        </w:rPr>
      </w:pP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1664970</wp:posOffset>
                </wp:positionH>
                <wp:positionV relativeFrom="paragraph">
                  <wp:posOffset>78105</wp:posOffset>
                </wp:positionV>
                <wp:extent cx="1226820" cy="1003300"/>
                <wp:effectExtent l="4445" t="4445" r="6985" b="20955"/>
                <wp:wrapNone/>
                <wp:docPr id="1068" name="文本框 95"/>
                <wp:cNvGraphicFramePr/>
                <a:graphic xmlns:a="http://schemas.openxmlformats.org/drawingml/2006/main">
                  <a:graphicData uri="http://schemas.microsoft.com/office/word/2010/wordprocessingShape">
                    <wps:wsp>
                      <wps:cNvSpPr/>
                      <wps:spPr>
                        <a:xfrm>
                          <a:off x="0" y="0"/>
                          <a:ext cx="1226820" cy="1003300"/>
                        </a:xfrm>
                        <a:prstGeom prst="rect">
                          <a:avLst/>
                        </a:prstGeom>
                        <a:solidFill>
                          <a:srgbClr val="BFBFBF"/>
                        </a:solidFill>
                        <a:ln w="6350" cap="flat" cmpd="sng">
                          <a:solidFill>
                            <a:srgbClr val="000000"/>
                          </a:solidFill>
                          <a:prstDash val="solid"/>
                          <a:round/>
                        </a:ln>
                      </wps:spPr>
                      <wps:txbx>
                        <w:txbxContent>
                          <w:p w14:paraId="0C9EBD2E">
                            <w:pPr>
                              <w:rPr>
                                <w:rFonts w:hint="eastAsia"/>
                                <w:lang w:val="en-US" w:eastAsia="zh-CN"/>
                              </w:rPr>
                            </w:pPr>
                            <w:r>
                              <w:rPr>
                                <w:rFonts w:hint="eastAsia"/>
                                <w:lang w:val="en-US" w:eastAsia="zh-CN"/>
                              </w:rPr>
                              <w:t>图例</w:t>
                            </w:r>
                          </w:p>
                          <w:p w14:paraId="66F0017E">
                            <w:pPr>
                              <w:rPr>
                                <w:rFonts w:hint="eastAsia"/>
                                <w:lang w:val="en-US" w:eastAsia="zh-CN"/>
                              </w:rPr>
                            </w:pPr>
                            <w:r>
                              <w:rPr>
                                <w:rFonts w:hint="eastAsia"/>
                                <w:lang w:val="en-US" w:eastAsia="zh-CN"/>
                              </w:rPr>
                              <w:t>500m范围：</w:t>
                            </w:r>
                          </w:p>
                          <w:p w14:paraId="437F80C2">
                            <w:pPr>
                              <w:rPr>
                                <w:rFonts w:hint="default"/>
                                <w:lang w:val="en-US" w:eastAsia="zh-CN"/>
                              </w:rPr>
                            </w:pPr>
                            <w:r>
                              <w:rPr>
                                <w:rFonts w:hint="eastAsia"/>
                                <w:lang w:val="en-US" w:eastAsia="zh-CN"/>
                              </w:rPr>
                              <w:t>项目红线：</w:t>
                            </w:r>
                          </w:p>
                        </w:txbxContent>
                      </wps:txbx>
                      <wps:bodyPr vert="horz" wrap="square" lIns="91440" tIns="45720" rIns="91440" bIns="45720" anchor="t">
                        <a:noAutofit/>
                      </wps:bodyPr>
                    </wps:wsp>
                  </a:graphicData>
                </a:graphic>
              </wp:anchor>
            </w:drawing>
          </mc:Choice>
          <mc:Fallback>
            <w:pict>
              <v:rect id="文本框 95" o:spid="_x0000_s1026" o:spt="1" style="position:absolute;left:0pt;margin-left:131.1pt;margin-top:6.15pt;height:79pt;width:96.6pt;z-index:251659264;mso-width-relative:page;mso-height-relative:page;" fillcolor="#BFBFBF" filled="t" stroked="t" coordsize="21600,21600" o:gfxdata="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KoWYkdkA&#10;AAAKAQAADwAAAAAAAAABACAAAAAiAAAAZHJzL2Rvd25yZXYueG1sUEsBAhQAFAAAAAgAh07iQFUa&#10;g+EeAgAARAQAAA4AAAAAAAAAAQAgAAAAKAEAAGRycy9lMm9Eb2MueG1sUEsFBgAAAAAGAAYAWQEA&#10;ALgFAAAAAA==&#10;">
                <v:fill on="t" focussize="0,0"/>
                <v:stroke weight="0.5pt" color="#000000" joinstyle="round"/>
                <v:imagedata o:title=""/>
                <o:lock v:ext="edit" aspectratio="f"/>
                <v:textbox>
                  <w:txbxContent>
                    <w:p w14:paraId="0C9EBD2E">
                      <w:pPr>
                        <w:rPr>
                          <w:rFonts w:hint="eastAsia"/>
                          <w:lang w:val="en-US" w:eastAsia="zh-CN"/>
                        </w:rPr>
                      </w:pPr>
                      <w:r>
                        <w:rPr>
                          <w:rFonts w:hint="eastAsia"/>
                          <w:lang w:val="en-US" w:eastAsia="zh-CN"/>
                        </w:rPr>
                        <w:t>图例</w:t>
                      </w:r>
                    </w:p>
                    <w:p w14:paraId="66F0017E">
                      <w:pPr>
                        <w:rPr>
                          <w:rFonts w:hint="eastAsia"/>
                          <w:lang w:val="en-US" w:eastAsia="zh-CN"/>
                        </w:rPr>
                      </w:pPr>
                      <w:r>
                        <w:rPr>
                          <w:rFonts w:hint="eastAsia"/>
                          <w:lang w:val="en-US" w:eastAsia="zh-CN"/>
                        </w:rPr>
                        <w:t>500m范围：</w:t>
                      </w:r>
                    </w:p>
                    <w:p w14:paraId="437F80C2">
                      <w:pPr>
                        <w:rPr>
                          <w:rFonts w:hint="default"/>
                          <w:lang w:val="en-US" w:eastAsia="zh-CN"/>
                        </w:rPr>
                      </w:pPr>
                      <w:r>
                        <w:rPr>
                          <w:rFonts w:hint="eastAsia"/>
                          <w:lang w:val="en-US" w:eastAsia="zh-CN"/>
                        </w:rPr>
                        <w:t>项目红线：</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5226050</wp:posOffset>
                </wp:positionH>
                <wp:positionV relativeFrom="paragraph">
                  <wp:posOffset>1351915</wp:posOffset>
                </wp:positionV>
                <wp:extent cx="791210" cy="275590"/>
                <wp:effectExtent l="5080" t="4445" r="22860" b="5715"/>
                <wp:wrapNone/>
                <wp:docPr id="1062" name="文本框 36"/>
                <wp:cNvGraphicFramePr/>
                <a:graphic xmlns:a="http://schemas.openxmlformats.org/drawingml/2006/main">
                  <a:graphicData uri="http://schemas.microsoft.com/office/word/2010/wordprocessingShape">
                    <wps:wsp>
                      <wps:cNvSpPr/>
                      <wps:spPr>
                        <a:xfrm>
                          <a:off x="0" y="0"/>
                          <a:ext cx="791209" cy="275589"/>
                        </a:xfrm>
                        <a:prstGeom prst="rect">
                          <a:avLst/>
                        </a:prstGeom>
                        <a:solidFill>
                          <a:srgbClr val="FFFFFF"/>
                        </a:solidFill>
                        <a:ln w="6350" cap="flat" cmpd="sng">
                          <a:solidFill>
                            <a:srgbClr val="000000"/>
                          </a:solidFill>
                          <a:prstDash val="solid"/>
                          <a:round/>
                        </a:ln>
                      </wps:spPr>
                      <wps:txbx>
                        <w:txbxContent>
                          <w:p w14:paraId="3ACAFC55">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尚都新城</w:t>
                            </w:r>
                          </w:p>
                        </w:txbxContent>
                      </wps:txbx>
                      <wps:bodyPr vert="horz" wrap="square" lIns="91440" tIns="45720" rIns="91440" bIns="45720" anchor="t">
                        <a:noAutofit/>
                      </wps:bodyPr>
                    </wps:wsp>
                  </a:graphicData>
                </a:graphic>
              </wp:anchor>
            </w:drawing>
          </mc:Choice>
          <mc:Fallback>
            <w:pict>
              <v:rect id="文本框 36" o:spid="_x0000_s1026" o:spt="1" style="position:absolute;left:0pt;margin-left:411.5pt;margin-top:106.45pt;height:21.7pt;width:62.3pt;z-index:251659264;mso-width-relative:page;mso-height-relative:page;" fillcolor="#FFFFFF" filled="t" stroked="t" coordsize="21600,21600" o:gfxdata="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z13pbaAAAA&#10;CwEAAA8AAAAAAAAAAQAgAAAAIgAAAGRycy9kb3ducmV2LnhtbFBLAQIUABQAAAAIAIdO4kBXU5EA&#10;GwIAAEIEAAAOAAAAAAAAAAEAIAAAACkBAABkcnMvZTJvRG9jLnhtbFBLBQYAAAAABgAGAFkBAAC2&#10;BQAAAAA=&#10;">
                <v:fill on="t" focussize="0,0"/>
                <v:stroke weight="0.5pt" color="#000000" joinstyle="round"/>
                <v:imagedata o:title=""/>
                <o:lock v:ext="edit" aspectratio="f"/>
                <v:textbox>
                  <w:txbxContent>
                    <w:p w14:paraId="3ACAFC55">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尚都新城</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4251960</wp:posOffset>
                </wp:positionH>
                <wp:positionV relativeFrom="paragraph">
                  <wp:posOffset>2581910</wp:posOffset>
                </wp:positionV>
                <wp:extent cx="530860" cy="203835"/>
                <wp:effectExtent l="6350" t="6350" r="15240" b="18415"/>
                <wp:wrapNone/>
                <wp:docPr id="1063" name="矩形 33"/>
                <wp:cNvGraphicFramePr/>
                <a:graphic xmlns:a="http://schemas.openxmlformats.org/drawingml/2006/main">
                  <a:graphicData uri="http://schemas.microsoft.com/office/word/2010/wordprocessingShape">
                    <wps:wsp>
                      <wps:cNvSpPr/>
                      <wps:spPr>
                        <a:xfrm>
                          <a:off x="0" y="0"/>
                          <a:ext cx="530859" cy="203835"/>
                        </a:xfrm>
                        <a:prstGeom prst="rect">
                          <a:avLst/>
                        </a:prstGeom>
                        <a:ln w="12700" cap="flat" cmpd="sng">
                          <a:solidFill>
                            <a:srgbClr val="FF0000"/>
                          </a:solidFill>
                          <a:prstDash val="solid"/>
                          <a:miter/>
                        </a:ln>
                      </wps:spPr>
                      <wps:bodyPr/>
                    </wps:wsp>
                  </a:graphicData>
                </a:graphic>
              </wp:anchor>
            </w:drawing>
          </mc:Choice>
          <mc:Fallback>
            <w:pict>
              <v:rect id="矩形 33" o:spid="_x0000_s1026" o:spt="1" style="position:absolute;left:0pt;margin-left:334.8pt;margin-top:203.3pt;height:16.05pt;width:41.8pt;z-index:251659264;mso-width-relative:page;mso-height-relative:page;" filled="f" stroked="t" coordsize="21600,21600" o:gfxdata="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xeM7NsAAAALAQAADwAAAAAAAAABACAAAAAi&#10;AAAAZHJzL2Rvd25yZXYueG1sUEsBAhQAFAAAAAgAh07iQCRwRWXOAQAAjgMAAA4AAAAAAAAAAQAg&#10;AAAAKgEAAGRycy9lMm9Eb2MueG1sUEsFBgAAAAAGAAYAWQEAAGoFAAAAAA==&#10;">
                <v:fill on="f" focussize="0,0"/>
                <v:stroke weight="1pt" color="#FF00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2500630</wp:posOffset>
                </wp:positionH>
                <wp:positionV relativeFrom="paragraph">
                  <wp:posOffset>762000</wp:posOffset>
                </wp:positionV>
                <wp:extent cx="340360" cy="184150"/>
                <wp:effectExtent l="6350" t="6350" r="15240" b="19050"/>
                <wp:wrapNone/>
                <wp:docPr id="1064" name="矩形 31"/>
                <wp:cNvGraphicFramePr/>
                <a:graphic xmlns:a="http://schemas.openxmlformats.org/drawingml/2006/main">
                  <a:graphicData uri="http://schemas.microsoft.com/office/word/2010/wordprocessingShape">
                    <wps:wsp>
                      <wps:cNvSpPr/>
                      <wps:spPr>
                        <a:xfrm>
                          <a:off x="0" y="0"/>
                          <a:ext cx="340360" cy="184150"/>
                        </a:xfrm>
                        <a:prstGeom prst="rect">
                          <a:avLst/>
                        </a:prstGeom>
                        <a:ln w="12700" cap="flat" cmpd="sng">
                          <a:solidFill>
                            <a:srgbClr val="FF0000"/>
                          </a:solidFill>
                          <a:prstDash val="solid"/>
                          <a:miter/>
                        </a:ln>
                      </wps:spPr>
                      <wps:bodyPr/>
                    </wps:wsp>
                  </a:graphicData>
                </a:graphic>
              </wp:anchor>
            </w:drawing>
          </mc:Choice>
          <mc:Fallback>
            <w:pict>
              <v:rect id="矩形 31" o:spid="_x0000_s1026" o:spt="1" style="position:absolute;left:0pt;margin-left:196.9pt;margin-top:60pt;height:14.5pt;width:26.8pt;z-index:251659264;mso-width-relative:page;mso-height-relative:page;" filled="f" stroked="t" coordsize="21600,21600" o:gfxdata="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AppFrTaAAAACwEAAA8AAAAAAAAAAQAgAAAAIgAA&#10;AGRycy9kb3ducmV2LnhtbFBLAQIUABQAAAAIAIdO4kCmfRvjzQEAAI4DAAAOAAAAAAAAAAEAIAAA&#10;ACkBAABkcnMvZTJvRG9jLnhtbFBLBQYAAAAABgAGAFkBAABoBQAAAAA=&#10;">
                <v:fill on="f" focussize="0,0"/>
                <v:stroke weight="1pt" color="#FF0000" joinstyle="miter"/>
                <v:imagedata o:title=""/>
                <o:lock v:ext="edit" aspectratio="f"/>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4590415</wp:posOffset>
                </wp:positionH>
                <wp:positionV relativeFrom="paragraph">
                  <wp:posOffset>1859280</wp:posOffset>
                </wp:positionV>
                <wp:extent cx="532765" cy="275590"/>
                <wp:effectExtent l="5080" t="4445" r="14605" b="5715"/>
                <wp:wrapNone/>
                <wp:docPr id="1065" name="文本框 6"/>
                <wp:cNvGraphicFramePr/>
                <a:graphic xmlns:a="http://schemas.openxmlformats.org/drawingml/2006/main">
                  <a:graphicData uri="http://schemas.microsoft.com/office/word/2010/wordprocessingShape">
                    <wps:wsp>
                      <wps:cNvSpPr/>
                      <wps:spPr>
                        <a:xfrm>
                          <a:off x="0" y="0"/>
                          <a:ext cx="532764" cy="275589"/>
                        </a:xfrm>
                        <a:prstGeom prst="rect">
                          <a:avLst/>
                        </a:prstGeom>
                        <a:solidFill>
                          <a:srgbClr val="FFFFFF"/>
                        </a:solidFill>
                        <a:ln w="6350" cap="flat" cmpd="sng">
                          <a:solidFill>
                            <a:srgbClr val="000000"/>
                          </a:solidFill>
                          <a:prstDash val="solid"/>
                          <a:round/>
                        </a:ln>
                      </wps:spPr>
                      <wps:txbx>
                        <w:txbxContent>
                          <w:p w14:paraId="4227B12F">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253m</w:t>
                            </w:r>
                          </w:p>
                        </w:txbxContent>
                      </wps:txbx>
                      <wps:bodyPr vert="horz" wrap="square" lIns="91440" tIns="45720" rIns="91440" bIns="45720" anchor="t">
                        <a:noAutofit/>
                      </wps:bodyPr>
                    </wps:wsp>
                  </a:graphicData>
                </a:graphic>
              </wp:anchor>
            </w:drawing>
          </mc:Choice>
          <mc:Fallback>
            <w:pict>
              <v:rect id="文本框 6" o:spid="_x0000_s1026" o:spt="1" style="position:absolute;left:0pt;margin-left:361.45pt;margin-top:146.4pt;height:21.7pt;width:41.95pt;z-index:251659264;mso-width-relative:page;mso-height-relative:page;" fillcolor="#FFFFFF" filled="t" stroked="t" coordsize="21600,21600" o:gfxdata="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OPhSNkAAAAL&#10;AQAADwAAAAAAAAABACAAAAAiAAAAZHJzL2Rvd25yZXYueG1sUEsBAhQAFAAAAAgAh07iQFTLKw8b&#10;AgAAQQQAAA4AAAAAAAAAAQAgAAAAKAEAAGRycy9lMm9Eb2MueG1sUEsFBgAAAAAGAAYAWQEAALUF&#10;AAAAAA==&#10;">
                <v:fill on="t" focussize="0,0"/>
                <v:stroke weight="0.5pt" color="#000000" joinstyle="round"/>
                <v:imagedata o:title=""/>
                <o:lock v:ext="edit" aspectratio="f"/>
                <v:textbox>
                  <w:txbxContent>
                    <w:p w14:paraId="4227B12F">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1"/>
                          <w:szCs w:val="21"/>
                          <w:lang w:val="en-US" w:eastAsia="zh-CN"/>
                        </w:rPr>
                      </w:pPr>
                      <w:r>
                        <w:rPr>
                          <w:rFonts w:hint="eastAsia"/>
                          <w:sz w:val="21"/>
                          <w:szCs w:val="21"/>
                          <w:lang w:val="en-US" w:eastAsia="zh-CN"/>
                        </w:rPr>
                        <w:t>253m</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4781550</wp:posOffset>
                </wp:positionH>
                <wp:positionV relativeFrom="paragraph">
                  <wp:posOffset>1631950</wp:posOffset>
                </wp:positionV>
                <wp:extent cx="669290" cy="933450"/>
                <wp:effectExtent l="0" t="0" r="16510" b="0"/>
                <wp:wrapNone/>
                <wp:docPr id="1066" name="直接箭头连接符 5"/>
                <wp:cNvGraphicFramePr/>
                <a:graphic xmlns:a="http://schemas.openxmlformats.org/drawingml/2006/main">
                  <a:graphicData uri="http://schemas.microsoft.com/office/word/2010/wordprocessingShape">
                    <wps:wsp>
                      <wps:cNvCnPr/>
                      <wps:spPr>
                        <a:xfrm flipV="1">
                          <a:off x="0" y="0"/>
                          <a:ext cx="669290" cy="933450"/>
                        </a:xfrm>
                        <a:prstGeom prst="straightConnector1">
                          <a:avLst/>
                        </a:prstGeom>
                        <a:ln w="12700" cap="flat" cmpd="sng">
                          <a:solidFill>
                            <a:srgbClr val="FF0000"/>
                          </a:solidFill>
                          <a:prstDash val="solid"/>
                          <a:miter/>
                          <a:headEnd type="arrow" w="med" len="med"/>
                          <a:tailEnd type="arrow" w="med" len="med"/>
                        </a:ln>
                      </wps:spPr>
                      <wps:bodyPr/>
                    </wps:wsp>
                  </a:graphicData>
                </a:graphic>
              </wp:anchor>
            </w:drawing>
          </mc:Choice>
          <mc:Fallback>
            <w:pict>
              <v:shape id="直接箭头连接符 5" o:spid="_x0000_s1026" o:spt="32" type="#_x0000_t32" style="position:absolute;left:0pt;flip:y;margin-left:376.5pt;margin-top:128.5pt;height:73.5pt;width:52.7pt;z-index:251659264;mso-width-relative:page;mso-height-relative:page;" filled="f" stroked="t" coordsize="21600,21600" o:gfxdata="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YVtje2gAAAAsBAAAPAAAA&#10;AAAAAAEAIAAAACIAAABkcnMvZG93bnJldi54bWxQSwECFAAUAAAACACHTuJAv5L2kBMCAAAKBAAA&#10;DgAAAAAAAAABACAAAAApAQAAZHJzL2Uyb0RvYy54bWxQSwUGAAAAAAYABgBZAQAArgUAAAAA&#10;">
                <v:fill on="f" focussize="0,0"/>
                <v:stroke weight="1pt" color="#FF0000" joinstyle="miter" startarrow="open" endarrow="open"/>
                <v:imagedata o:title=""/>
                <o:lock v:ext="edit" aspectratio="f"/>
              </v:shape>
            </w:pict>
          </mc:Fallback>
        </mc:AlternateContent>
      </w:r>
      <w:r>
        <w:rPr>
          <w:rFonts w:hint="default" w:ascii="Times New Roman" w:hAnsi="Times New Roman" w:cs="Times New Roman"/>
          <w:color w:val="auto"/>
          <w:sz w:val="24"/>
          <w:highlight w:val="none"/>
        </w:rPr>
        <mc:AlternateContent>
          <mc:Choice Requires="wps">
            <w:drawing>
              <wp:anchor distT="0" distB="0" distL="0" distR="0" simplePos="0" relativeHeight="251659264" behindDoc="0" locked="0" layoutInCell="1" allowOverlap="1">
                <wp:simplePos x="0" y="0"/>
                <wp:positionH relativeFrom="column">
                  <wp:posOffset>2544445</wp:posOffset>
                </wp:positionH>
                <wp:positionV relativeFrom="paragraph">
                  <wp:posOffset>375920</wp:posOffset>
                </wp:positionV>
                <wp:extent cx="258445" cy="269240"/>
                <wp:effectExtent l="14605" t="14605" r="31750" b="20955"/>
                <wp:wrapNone/>
                <wp:docPr id="1067" name="椭圆 98"/>
                <wp:cNvGraphicFramePr/>
                <a:graphic xmlns:a="http://schemas.openxmlformats.org/drawingml/2006/main">
                  <a:graphicData uri="http://schemas.microsoft.com/office/word/2010/wordprocessingShape">
                    <wps:wsp>
                      <wps:cNvSpPr/>
                      <wps:spPr>
                        <a:xfrm>
                          <a:off x="0" y="0"/>
                          <a:ext cx="258444" cy="269240"/>
                        </a:xfrm>
                        <a:prstGeom prst="ellipse">
                          <a:avLst/>
                        </a:prstGeom>
                        <a:ln w="28575" cap="flat" cmpd="sng">
                          <a:solidFill>
                            <a:srgbClr val="FF0000"/>
                          </a:solidFill>
                          <a:prstDash val="solid"/>
                          <a:miter/>
                        </a:ln>
                      </wps:spPr>
                      <wps:bodyPr/>
                    </wps:wsp>
                  </a:graphicData>
                </a:graphic>
              </wp:anchor>
            </w:drawing>
          </mc:Choice>
          <mc:Fallback>
            <w:pict>
              <v:shape id="椭圆 98" o:spid="_x0000_s1026" o:spt="3" type="#_x0000_t3" style="position:absolute;left:0pt;margin-left:200.35pt;margin-top:29.6pt;height:21.2pt;width:20.35pt;z-index:251659264;mso-width-relative:page;mso-height-relative:page;" filled="f" stroked="t" coordsize="21600,21600" o:gfxdata="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Y4Nb3ZAAAACgEAAA8AAAAAAAAAAQAgAAAA&#10;IgAAAGRycy9kb3ducmV2LnhtbFBLAQIUABQAAAAIAIdO4kDUm/F90QEAAJEDAAAOAAAAAAAAAAEA&#10;IAAAACgBAABkcnMvZTJvRG9jLnhtbFBLBQYAAAAABgAGAFkBAABrBQAAAAA=&#10;">
                <v:fill on="f" focussize="0,0"/>
                <v:stroke weight="2.25pt" color="#FF0000" joinstyle="miter"/>
                <v:imagedata o:title=""/>
                <o:lock v:ext="edit" aspectratio="f"/>
              </v:shape>
            </w:pict>
          </mc:Fallback>
        </mc:AlternateContent>
      </w:r>
      <w:r>
        <w:rPr>
          <w:rFonts w:hint="default" w:ascii="Times New Roman" w:hAnsi="Times New Roman" w:eastAsia="宋体" w:cs="Times New Roman"/>
          <w:b/>
          <w:bCs/>
          <w:color w:val="auto"/>
          <w:sz w:val="24"/>
          <w:szCs w:val="24"/>
          <w:highlight w:val="none"/>
          <w:lang w:eastAsia="zh-CN"/>
        </w:rPr>
        <w:drawing>
          <wp:inline distT="0" distB="0" distL="0" distR="0">
            <wp:extent cx="5521960" cy="5163185"/>
            <wp:effectExtent l="0" t="0" r="2540" b="18415"/>
            <wp:docPr id="1069" name="图片 114" descr="粤联昌 500m"/>
            <wp:cNvGraphicFramePr/>
            <a:graphic xmlns:a="http://schemas.openxmlformats.org/drawingml/2006/main">
              <a:graphicData uri="http://schemas.openxmlformats.org/drawingml/2006/picture">
                <pic:pic xmlns:pic="http://schemas.openxmlformats.org/drawingml/2006/picture">
                  <pic:nvPicPr>
                    <pic:cNvPr id="1069" name="图片 114" descr="粤联昌 500m"/>
                    <pic:cNvPicPr/>
                  </pic:nvPicPr>
                  <pic:blipFill>
                    <a:blip r:embed="rId37" cstate="print"/>
                    <a:srcRect/>
                    <a:stretch>
                      <a:fillRect/>
                    </a:stretch>
                  </pic:blipFill>
                  <pic:spPr>
                    <a:xfrm>
                      <a:off x="0" y="0"/>
                      <a:ext cx="5521960" cy="5163185"/>
                    </a:xfrm>
                    <a:prstGeom prst="rect">
                      <a:avLst/>
                    </a:prstGeom>
                  </pic:spPr>
                </pic:pic>
              </a:graphicData>
            </a:graphic>
          </wp:inline>
        </w:drawing>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5151755</wp:posOffset>
                </wp:positionH>
                <wp:positionV relativeFrom="paragraph">
                  <wp:posOffset>3616325</wp:posOffset>
                </wp:positionV>
                <wp:extent cx="635" cy="635"/>
                <wp:effectExtent l="0" t="0" r="0" b="0"/>
                <wp:wrapNone/>
                <wp:docPr id="1070" name="墨迹 161"/>
                <wp:cNvGraphicFramePr/>
                <a:graphic xmlns:a="http://schemas.openxmlformats.org/drawingml/2006/main">
                  <a:graphicData uri="http://schemas.microsoft.com/office/word/2010/wordprocessingInk">
                    <mc:AlternateContent xmlns:a14="http://schemas.microsoft.com/office/drawing/2010/main">
                      <mc:Choice Requires="a14">
                        <w14:contentPart bwMode="auto" r:id="rId38">
                          <w14:nvContentPartPr>
                            <w14:cNvPr id="1070" name="墨迹 161"/>
                            <w14:cNvContentPartPr/>
                          </w14:nvContentPartPr>
                          <w14:xfrm>
                            <a:off x="0" y="0"/>
                            <a:ext cx="634" cy="634"/>
                          </w14:xfrm>
                        </w14:contentPart>
                      </mc:Choice>
                    </mc:AlternateContent>
                  </a:graphicData>
                </a:graphic>
              </wp:anchor>
            </w:drawing>
          </mc:Choice>
          <mc:Fallback>
            <w:pict>
              <v:shape id="墨迹 161" o:spid="_x0000_s1026" o:spt="75" style="position:absolute;left:0pt;margin-left:405.65pt;margin-top:284.75pt;height:0.05pt;width:0.05pt;z-index:251659264;mso-width-relative:page;mso-height-relative:page;" coordsize="21600,21600" o:gfxdata="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4818380</wp:posOffset>
                </wp:positionH>
                <wp:positionV relativeFrom="paragraph">
                  <wp:posOffset>3616325</wp:posOffset>
                </wp:positionV>
                <wp:extent cx="635" cy="635"/>
                <wp:effectExtent l="0" t="0" r="0" b="0"/>
                <wp:wrapNone/>
                <wp:docPr id="1071" name="墨迹 158"/>
                <wp:cNvGraphicFramePr/>
                <a:graphic xmlns:a="http://schemas.openxmlformats.org/drawingml/2006/main">
                  <a:graphicData uri="http://schemas.microsoft.com/office/word/2010/wordprocessingInk">
                    <mc:AlternateContent xmlns:a14="http://schemas.microsoft.com/office/drawing/2010/main">
                      <mc:Choice Requires="a14">
                        <w14:contentPart bwMode="auto" r:id="rId40">
                          <w14:nvContentPartPr>
                            <w14:cNvPr id="1071" name="墨迹 158"/>
                            <w14:cNvContentPartPr/>
                          </w14:nvContentPartPr>
                          <w14:xfrm>
                            <a:off x="0" y="0"/>
                            <a:ext cx="634" cy="634"/>
                          </w14:xfrm>
                        </w14:contentPart>
                      </mc:Choice>
                    </mc:AlternateContent>
                  </a:graphicData>
                </a:graphic>
              </wp:anchor>
            </w:drawing>
          </mc:Choice>
          <mc:Fallback>
            <w:pict>
              <v:shape id="墨迹 158" o:spid="_x0000_s1026" o:spt="75" style="position:absolute;left:0pt;margin-left:379.4pt;margin-top:284.75pt;height:0.05pt;width:0.05pt;z-index:251659264;mso-width-relative:page;mso-height-relative:page;" coordsize="21600,21600" o:gfxdata="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5123180</wp:posOffset>
                </wp:positionH>
                <wp:positionV relativeFrom="paragraph">
                  <wp:posOffset>3711575</wp:posOffset>
                </wp:positionV>
                <wp:extent cx="635" cy="635"/>
                <wp:effectExtent l="0" t="0" r="0" b="0"/>
                <wp:wrapNone/>
                <wp:docPr id="1072" name="墨迹 1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41">
                          <w14:nvContentPartPr>
                            <w14:cNvPr id="1072" name="墨迹 156"/>
                            <w14:cNvContentPartPr/>
                          </w14:nvContentPartPr>
                          <w14:xfrm>
                            <a:off x="0" y="0"/>
                            <a:ext cx="634" cy="634"/>
                          </w14:xfrm>
                        </w14:contentPart>
                      </mc:Choice>
                    </mc:AlternateContent>
                  </a:graphicData>
                </a:graphic>
              </wp:anchor>
            </w:drawing>
          </mc:Choice>
          <mc:Fallback>
            <w:pict>
              <v:shape id="墨迹 156" o:spid="_x0000_s1026" o:spt="75" style="position:absolute;left:0pt;margin-left:403.4pt;margin-top:292.25pt;height:0.05pt;width:0.05pt;z-index:251659264;mso-width-relative:page;mso-height-relative:page;" coordsize="21600,21600" o:gfxdata="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">
                <v:imagedata r:id="rId39" o:title=""/>
                <o:lock v:ext="edit"/>
              </v:shape>
            </w:pict>
          </mc:Fallback>
        </mc:AlternateContent>
      </w:r>
      <w:r>
        <w:rPr>
          <w:rFonts w:hint="default" w:ascii="Times New Roman" w:hAnsi="Times New Roman" w:cs="Times New Roman"/>
          <w:color w:val="auto"/>
          <w:sz w:val="21"/>
          <w:highlight w:val="none"/>
        </w:rPr>
        <mc:AlternateContent>
          <mc:Choice Requires="wps">
            <w:drawing>
              <wp:anchor distT="0" distB="0" distL="0" distR="0" simplePos="0" relativeHeight="251659264" behindDoc="0" locked="0" layoutInCell="1" allowOverlap="1">
                <wp:simplePos x="0" y="0"/>
                <wp:positionH relativeFrom="column">
                  <wp:posOffset>5132705</wp:posOffset>
                </wp:positionH>
                <wp:positionV relativeFrom="paragraph">
                  <wp:posOffset>3606800</wp:posOffset>
                </wp:positionV>
                <wp:extent cx="635" cy="635"/>
                <wp:effectExtent l="0" t="0" r="0" b="0"/>
                <wp:wrapNone/>
                <wp:docPr id="1073" name="墨迹 154"/>
                <wp:cNvGraphicFramePr/>
                <a:graphic xmlns:a="http://schemas.openxmlformats.org/drawingml/2006/main">
                  <a:graphicData uri="http://schemas.microsoft.com/office/word/2010/wordprocessingInk">
                    <mc:AlternateContent xmlns:a14="http://schemas.microsoft.com/office/drawing/2010/main">
                      <mc:Choice Requires="a14">
                        <w14:contentPart bwMode="auto" r:id="rId42">
                          <w14:nvContentPartPr>
                            <w14:cNvPr id="1073" name="墨迹 154"/>
                            <w14:cNvContentPartPr/>
                          </w14:nvContentPartPr>
                          <w14:xfrm>
                            <a:off x="0" y="0"/>
                            <a:ext cx="634" cy="634"/>
                          </w14:xfrm>
                        </w14:contentPart>
                      </mc:Choice>
                    </mc:AlternateContent>
                  </a:graphicData>
                </a:graphic>
              </wp:anchor>
            </w:drawing>
          </mc:Choice>
          <mc:Fallback>
            <w:pict>
              <v:shape id="墨迹 154" o:spid="_x0000_s1026" o:spt="75" style="position:absolute;left:0pt;margin-left:404.15pt;margin-top:284pt;height:0.05pt;width:0.05pt;z-index:251659264;mso-width-relative:page;mso-height-relative:page;" coordsize="21600,21600" o:gfxdata="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">
                <v:imagedata r:id="rId39" o:title=""/>
                <o:lock v:ext="edit"/>
              </v:shape>
            </w:pict>
          </mc:Fallback>
        </mc:AlternateContent>
      </w:r>
    </w:p>
    <w:p w14:paraId="76DA15E3">
      <w:pPr>
        <w:pStyle w:val="43"/>
        <w:numPr>
          <w:ilvl w:val="0"/>
          <w:numId w:val="0"/>
        </w:numPr>
        <w:adjustRightInd/>
        <w:spacing w:line="240" w:lineRule="auto"/>
        <w:ind w:left="397" w:leftChars="0"/>
        <w:jc w:val="both"/>
        <w:textAlignment w:val="auto"/>
        <w:outlineLvl w:val="0"/>
        <w:rPr>
          <w:rFonts w:hint="default" w:ascii="Times New Roman" w:hAnsi="Times New Roman" w:eastAsia="宋体" w:cs="Times New Roman"/>
          <w:b/>
          <w:bCs/>
          <w:color w:val="auto"/>
          <w:kern w:val="0"/>
          <w:sz w:val="24"/>
          <w:szCs w:val="24"/>
          <w:highlight w:val="none"/>
          <w:lang w:val="en-US" w:eastAsia="zh-CN" w:bidi="ar-SA"/>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Times New Roman" w:hAnsi="Times New Roman" w:eastAsia="宋体" w:cs="Times New Roman"/>
          <w:b w:val="0"/>
          <w:bCs w:val="0"/>
          <w:color w:val="auto"/>
          <w:highlight w:val="none"/>
          <w:lang w:eastAsia="zh-CN"/>
        </w:rPr>
        <w:drawing>
          <wp:anchor distT="0" distB="0" distL="0" distR="0" simplePos="0" relativeHeight="251659264" behindDoc="0" locked="0" layoutInCell="1" allowOverlap="1">
            <wp:simplePos x="0" y="0"/>
            <wp:positionH relativeFrom="column">
              <wp:posOffset>7210425</wp:posOffset>
            </wp:positionH>
            <wp:positionV relativeFrom="paragraph">
              <wp:posOffset>-5269865</wp:posOffset>
            </wp:positionV>
            <wp:extent cx="383540" cy="403225"/>
            <wp:effectExtent l="0" t="0" r="16510" b="15875"/>
            <wp:wrapNone/>
            <wp:docPr id="1074" name="图片 112" descr="指北针"/>
            <wp:cNvGraphicFramePr/>
            <a:graphic xmlns:a="http://schemas.openxmlformats.org/drawingml/2006/main">
              <a:graphicData uri="http://schemas.openxmlformats.org/drawingml/2006/picture">
                <pic:pic xmlns:pic="http://schemas.openxmlformats.org/drawingml/2006/picture">
                  <pic:nvPicPr>
                    <pic:cNvPr id="1074" name="图片 112" descr="指北针"/>
                    <pic:cNvPicPr/>
                  </pic:nvPicPr>
                  <pic:blipFill>
                    <a:blip r:embed="rId32" cstate="print"/>
                    <a:srcRect/>
                    <a:stretch>
                      <a:fillRect/>
                    </a:stretch>
                  </pic:blipFill>
                  <pic:spPr>
                    <a:xfrm>
                      <a:off x="0" y="0"/>
                      <a:ext cx="383540" cy="403225"/>
                    </a:xfrm>
                    <a:prstGeom prst="rect">
                      <a:avLst/>
                    </a:prstGeom>
                  </pic:spPr>
                </pic:pic>
              </a:graphicData>
            </a:graphic>
          </wp:anchor>
        </w:drawing>
      </w:r>
    </w:p>
    <w:p w14:paraId="4C3D8FFF">
      <w:pPr>
        <w:pStyle w:val="43"/>
        <w:numPr>
          <w:ilvl w:val="0"/>
          <w:numId w:val="0"/>
        </w:numPr>
        <w:adjustRightInd/>
        <w:spacing w:line="240" w:lineRule="auto"/>
        <w:ind w:left="397" w:leftChars="0"/>
        <w:jc w:val="both"/>
        <w:textAlignment w:val="auto"/>
        <w:outlineLvl w:val="0"/>
        <w:rPr>
          <w:rFonts w:hint="default" w:ascii="Times New Roman" w:hAnsi="Times New Roman" w:eastAsia="宋体" w:cs="Times New Roman"/>
          <w:b/>
          <w:bCs/>
          <w:color w:val="auto"/>
          <w:sz w:val="24"/>
          <w:szCs w:val="24"/>
          <w:highlight w:val="none"/>
          <w:lang w:eastAsia="zh-CN"/>
        </w:rPr>
      </w:pPr>
      <w:bookmarkStart w:id="133" w:name="_Toc6139"/>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6827520</wp:posOffset>
            </wp:positionH>
            <wp:positionV relativeFrom="paragraph">
              <wp:posOffset>-4491990</wp:posOffset>
            </wp:positionV>
            <wp:extent cx="1045845" cy="1019175"/>
            <wp:effectExtent l="0" t="0" r="1905" b="9525"/>
            <wp:wrapNone/>
            <wp:docPr id="1075" name="图片 26"/>
            <wp:cNvGraphicFramePr/>
            <a:graphic xmlns:a="http://schemas.openxmlformats.org/drawingml/2006/main">
              <a:graphicData uri="http://schemas.openxmlformats.org/drawingml/2006/picture">
                <pic:pic xmlns:pic="http://schemas.openxmlformats.org/drawingml/2006/picture">
                  <pic:nvPicPr>
                    <pic:cNvPr id="1075"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bookmarkStart w:id="134" w:name="_Toc12257"/>
      <w:r>
        <w:rPr>
          <w:rFonts w:hint="default" w:ascii="Times New Roman" w:hAnsi="Times New Roman" w:eastAsia="宋体" w:cs="Times New Roman"/>
          <w:b/>
          <w:bCs/>
          <w:color w:val="auto"/>
          <w:kern w:val="0"/>
          <w:sz w:val="24"/>
          <w:szCs w:val="24"/>
          <w:highlight w:val="none"/>
          <w:lang w:val="en-US" w:eastAsia="zh-CN" w:bidi="ar-SA"/>
        </w:rPr>
        <w:t xml:space="preserve">附图5 </w:t>
      </w:r>
      <w:r>
        <w:rPr>
          <w:rFonts w:hint="default" w:ascii="Times New Roman" w:hAnsi="Times New Roman" w:eastAsia="宋体" w:cs="Times New Roman"/>
          <w:b/>
          <w:bCs/>
          <w:color w:val="auto"/>
          <w:sz w:val="24"/>
          <w:szCs w:val="24"/>
          <w:highlight w:val="none"/>
          <w:lang w:eastAsia="zh-CN"/>
        </w:rPr>
        <w:t>建设项目土地利用规划图</w:t>
      </w:r>
      <w:bookmarkEnd w:id="133"/>
      <w:bookmarkEnd w:id="134"/>
    </w:p>
    <w:p w14:paraId="0577BA0B">
      <w:pPr>
        <w:pStyle w:val="43"/>
        <w:numPr>
          <w:ilvl w:val="0"/>
          <w:numId w:val="0"/>
        </w:numPr>
        <w:adjustRightInd/>
        <w:spacing w:line="240" w:lineRule="auto"/>
        <w:ind w:left="397" w:leftChars="0"/>
        <w:jc w:val="both"/>
        <w:textAlignment w:val="auto"/>
        <w:outlineLvl w:val="9"/>
        <w:rPr>
          <w:rFonts w:hint="default" w:ascii="Times New Roman" w:hAnsi="Times New Roman" w:eastAsia="宋体" w:cs="Times New Roman"/>
          <w:b/>
          <w:bCs/>
          <w:color w:val="auto"/>
          <w:sz w:val="24"/>
          <w:szCs w:val="24"/>
          <w:highlight w:val="none"/>
          <w:lang w:eastAsia="zh-CN"/>
        </w:rPr>
      </w:pPr>
      <w:r>
        <w:rPr>
          <w:rFonts w:hint="eastAsia"/>
        </w:rPr>
        <w:drawing>
          <wp:inline distT="0" distB="0" distL="0" distR="0">
            <wp:extent cx="7426960" cy="5396865"/>
            <wp:effectExtent l="0" t="0" r="1905" b="13334"/>
            <wp:docPr id="1079" name="图片 11" descr="01城东法定图则"/>
            <wp:cNvGraphicFramePr/>
            <a:graphic xmlns:a="http://schemas.openxmlformats.org/drawingml/2006/main">
              <a:graphicData uri="http://schemas.openxmlformats.org/drawingml/2006/picture">
                <pic:pic xmlns:pic="http://schemas.openxmlformats.org/drawingml/2006/picture">
                  <pic:nvPicPr>
                    <pic:cNvPr id="1079" name="图片 11" descr="01城东法定图则"/>
                    <pic:cNvPicPr/>
                  </pic:nvPicPr>
                  <pic:blipFill>
                    <a:blip r:embed="rId43" cstate="print"/>
                    <a:srcRect t="7638" r="31471" b="21897"/>
                    <a:stretch>
                      <a:fillRect/>
                    </a:stretch>
                  </pic:blipFill>
                  <pic:spPr>
                    <a:xfrm>
                      <a:off x="0" y="0"/>
                      <a:ext cx="7427594" cy="5396865"/>
                    </a:xfrm>
                    <a:prstGeom prst="rect">
                      <a:avLst/>
                    </a:prstGeom>
                  </pic:spPr>
                </pic:pic>
              </a:graphicData>
            </a:graphic>
          </wp:inline>
        </w:drawing>
      </w:r>
    </w:p>
    <w:p w14:paraId="64B8730A">
      <w:pPr>
        <w:jc w:val="center"/>
        <w:rPr>
          <w:rFonts w:hint="default" w:ascii="Times New Roman" w:hAnsi="Times New Roman" w:cs="Times New Roman"/>
          <w:color w:val="auto"/>
          <w:highlight w:val="none"/>
          <w:lang w:eastAsia="zh-CN"/>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s">
            <w:drawing>
              <wp:anchor distT="0" distB="0" distL="0" distR="0" simplePos="0" relativeHeight="251659264" behindDoc="0" locked="0" layoutInCell="1" allowOverlap="1">
                <wp:simplePos x="0" y="0"/>
                <wp:positionH relativeFrom="column">
                  <wp:posOffset>2766695</wp:posOffset>
                </wp:positionH>
                <wp:positionV relativeFrom="paragraph">
                  <wp:posOffset>2686050</wp:posOffset>
                </wp:positionV>
                <wp:extent cx="571500" cy="254000"/>
                <wp:effectExtent l="0" t="0" r="0" b="0"/>
                <wp:wrapNone/>
                <wp:docPr id="1076" name="文本框 15"/>
                <wp:cNvGraphicFramePr/>
                <a:graphic xmlns:a="http://schemas.openxmlformats.org/drawingml/2006/main">
                  <a:graphicData uri="http://schemas.microsoft.com/office/word/2010/wordprocessingShape">
                    <wps:wsp>
                      <wps:cNvSpPr/>
                      <wps:spPr>
                        <a:xfrm>
                          <a:off x="0" y="0"/>
                          <a:ext cx="571499" cy="254000"/>
                        </a:xfrm>
                        <a:prstGeom prst="rect">
                          <a:avLst/>
                        </a:prstGeom>
                        <a:ln>
                          <a:noFill/>
                        </a:ln>
                      </wps:spPr>
                      <wps:txbx>
                        <w:txbxContent>
                          <w:p w14:paraId="4030C773">
                            <w:pPr>
                              <w:keepNext w:val="0"/>
                              <w:keepLines w:val="0"/>
                              <w:pageBreakBefore w:val="0"/>
                              <w:widowControl w:val="0"/>
                              <w:kinsoku/>
                              <w:wordWrap/>
                              <w:overflowPunct/>
                              <w:topLinePunct w:val="0"/>
                              <w:bidi w:val="0"/>
                              <w:adjustRightInd/>
                              <w:snapToGrid/>
                              <w:spacing w:line="240" w:lineRule="auto"/>
                              <w:textAlignment w:val="auto"/>
                              <w:rPr>
                                <w:rFonts w:hint="eastAsia" w:eastAsia="宋体"/>
                                <w:sz w:val="15"/>
                                <w:szCs w:val="15"/>
                                <w:lang w:val="en-US" w:eastAsia="zh-CN"/>
                              </w:rPr>
                            </w:pPr>
                            <w:r>
                              <w:rPr>
                                <w:rFonts w:hint="eastAsia"/>
                                <w:sz w:val="15"/>
                                <w:szCs w:val="15"/>
                                <w:lang w:val="en-US" w:eastAsia="zh-CN"/>
                              </w:rPr>
                              <w:t>建设项目</w:t>
                            </w:r>
                          </w:p>
                        </w:txbxContent>
                      </wps:txbx>
                      <wps:bodyPr vert="horz" wrap="square" lIns="91440" tIns="45720" rIns="91440" bIns="45720" anchor="t">
                        <a:noAutofit/>
                      </wps:bodyPr>
                    </wps:wsp>
                  </a:graphicData>
                </a:graphic>
              </wp:anchor>
            </w:drawing>
          </mc:Choice>
          <mc:Fallback>
            <w:pict>
              <v:rect id="文本框 15" o:spid="_x0000_s1026" o:spt="1" style="position:absolute;left:0pt;margin-left:217.85pt;margin-top:211.5pt;height:20pt;width:45pt;z-index:251659264;mso-width-relative:page;mso-height-relative:page;" filled="f" stroked="f" coordsize="21600,21600" o:gfxdata="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Zb88E2gAAAAsBAAAPAAAA&#10;AAAAAAEAIAAAACIAAABkcnMvZG93bnJldi54bWxQSwECFAAUAAAACACHTuJAkYe3BdoBAACjAwAA&#10;DgAAAAAAAAABACAAAAApAQAAZHJzL2Uyb0RvYy54bWxQSwUGAAAAAAYABgBZAQAAdQUAAAAA&#10;">
                <v:fill on="f" focussize="0,0"/>
                <v:stroke on="f"/>
                <v:imagedata o:title=""/>
                <o:lock v:ext="edit" aspectratio="f"/>
                <v:textbox>
                  <w:txbxContent>
                    <w:p w14:paraId="4030C773">
                      <w:pPr>
                        <w:keepNext w:val="0"/>
                        <w:keepLines w:val="0"/>
                        <w:pageBreakBefore w:val="0"/>
                        <w:widowControl w:val="0"/>
                        <w:kinsoku/>
                        <w:wordWrap/>
                        <w:overflowPunct/>
                        <w:topLinePunct w:val="0"/>
                        <w:bidi w:val="0"/>
                        <w:adjustRightInd/>
                        <w:snapToGrid/>
                        <w:spacing w:line="240" w:lineRule="auto"/>
                        <w:textAlignment w:val="auto"/>
                        <w:rPr>
                          <w:rFonts w:hint="eastAsia" w:eastAsia="宋体"/>
                          <w:sz w:val="15"/>
                          <w:szCs w:val="15"/>
                          <w:lang w:val="en-US" w:eastAsia="zh-CN"/>
                        </w:rPr>
                      </w:pPr>
                      <w:r>
                        <w:rPr>
                          <w:rFonts w:hint="eastAsia"/>
                          <w:sz w:val="15"/>
                          <w:szCs w:val="15"/>
                          <w:lang w:val="en-US" w:eastAsia="zh-CN"/>
                        </w:rPr>
                        <w:t>建设项目</w:t>
                      </w:r>
                    </w:p>
                  </w:txbxContent>
                </v:textbox>
              </v:rect>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2837180</wp:posOffset>
                </wp:positionH>
                <wp:positionV relativeFrom="paragraph">
                  <wp:posOffset>2737485</wp:posOffset>
                </wp:positionV>
                <wp:extent cx="443865" cy="190500"/>
                <wp:effectExtent l="6350" t="6350" r="6985" b="88900"/>
                <wp:wrapNone/>
                <wp:docPr id="1077" name="矩形标注 14"/>
                <wp:cNvGraphicFramePr/>
                <a:graphic xmlns:a="http://schemas.openxmlformats.org/drawingml/2006/main">
                  <a:graphicData uri="http://schemas.microsoft.com/office/word/2010/wordprocessingShape">
                    <wps:wsp>
                      <wps:cNvSpPr/>
                      <wps:spPr>
                        <a:xfrm>
                          <a:off x="0" y="0"/>
                          <a:ext cx="443865" cy="190500"/>
                        </a:xfrm>
                        <a:prstGeom prst="wedgeRectCallout">
                          <a:avLst>
                            <a:gd name="adj1" fmla="val -22642"/>
                            <a:gd name="adj2" fmla="val 84541"/>
                          </a:avLst>
                        </a:prstGeom>
                        <a:solidFill>
                          <a:srgbClr val="FFFFFF"/>
                        </a:solidFill>
                        <a:ln w="12700" cap="flat" cmpd="sng">
                          <a:solidFill>
                            <a:srgbClr val="000000"/>
                          </a:solidFill>
                          <a:prstDash val="solid"/>
                          <a:miter/>
                        </a:ln>
                      </wps:spPr>
                      <wps:txbx>
                        <w:txbxContent>
                          <w:p w14:paraId="4B7104DF">
                            <w:pPr>
                              <w:jc w:val="center"/>
                            </w:pPr>
                          </w:p>
                        </w:txbxContent>
                      </wps:txbx>
                      <wps:bodyPr vert="horz" wrap="square" lIns="91440" tIns="45720" rIns="91440" bIns="45720" anchor="ctr">
                        <a:noAutofit/>
                      </wps:bodyPr>
                    </wps:wsp>
                  </a:graphicData>
                </a:graphic>
              </wp:anchor>
            </w:drawing>
          </mc:Choice>
          <mc:Fallback>
            <w:pict>
              <v:shape id="矩形标注 14" o:spid="_x0000_s1026" o:spt="61" type="#_x0000_t61" style="position:absolute;left:0pt;margin-left:223.4pt;margin-top:215.55pt;height:15pt;width:34.95pt;z-index:251659264;v-text-anchor:middle;mso-width-relative:page;mso-height-relative:page;" fillcolor="#FFFFFF" filled="t" stroked="t" coordsize="21600,21600" o:gfxdata="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sv6edoAAAALAQAA&#10;DwAAAAAAAAABACAAAAAiAAAAZHJzL2Rvd25yZXYueG1sUEsBAhQAFAAAAAgAh07iQKLGGVBQAgAA&#10;pgQAAA4AAAAAAAAAAQAgAAAAKQEAAGRycy9lMm9Eb2MueG1sUEsFBgAAAAAGAAYAWQEAAOsFAAAA&#10;AA==&#10;" adj="5909,29061">
                <v:fill on="t" focussize="0,0"/>
                <v:stroke weight="1pt" color="#000000" joinstyle="miter"/>
                <v:imagedata o:title=""/>
                <o:lock v:ext="edit" aspectratio="f"/>
                <v:textbox>
                  <w:txbxContent>
                    <w:p w14:paraId="4B7104DF">
                      <w:pPr>
                        <w:jc w:val="center"/>
                      </w:pPr>
                    </w:p>
                  </w:txbxContent>
                </v:textbox>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2874010</wp:posOffset>
                </wp:positionH>
                <wp:positionV relativeFrom="paragraph">
                  <wp:posOffset>3010535</wp:posOffset>
                </wp:positionV>
                <wp:extent cx="104140" cy="75565"/>
                <wp:effectExtent l="6350" t="6350" r="22860" b="13334"/>
                <wp:wrapNone/>
                <wp:docPr id="1078" name="矩形 13"/>
                <wp:cNvGraphicFramePr/>
                <a:graphic xmlns:a="http://schemas.openxmlformats.org/drawingml/2006/main">
                  <a:graphicData uri="http://schemas.microsoft.com/office/word/2010/wordprocessingShape">
                    <wps:wsp>
                      <wps:cNvSpPr/>
                      <wps:spPr>
                        <a:xfrm>
                          <a:off x="0" y="0"/>
                          <a:ext cx="104139" cy="75564"/>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3" o:spid="_x0000_s1026" o:spt="1" style="position:absolute;left:0pt;margin-left:226.3pt;margin-top:237.05pt;height:5.95pt;width:8.2pt;z-index:251659264;mso-width-relative:page;mso-height-relative:page;" fillcolor="#FF0000" filled="t" stroked="t" coordsize="21600,21600" o:gfxdata="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IrQsHaAAAACwEAAA8AAAAAAAAA&#10;AQAgAAAAIgAAAGRycy9kb3ducmV2LnhtbFBLAQIUABQAAAAIAIdO4kDCbPDO1gEAAMEDAAAOAAAA&#10;AAAAAAEAIAAAACkBAABkcnMvZTJvRG9jLnhtbFBLBQYAAAAABgAGAFkBAABxBQAAAAA=&#10;">
                <v:fill on="t" focussize="0,0"/>
                <v:stroke weight="1pt" color="#000000" joinstyle="miter"/>
                <v:imagedata o:title=""/>
                <o:lock v:ext="edit" aspectratio="f"/>
              </v:rect>
            </w:pict>
          </mc:Fallback>
        </mc:AlternateContent>
      </w:r>
    </w:p>
    <w:p w14:paraId="7CFBD3DB">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35" w:name="_Toc13440"/>
      <w:bookmarkStart w:id="136" w:name="_Toc1085"/>
      <w:r>
        <w:rPr>
          <w:rFonts w:hint="default" w:ascii="Times New Roman" w:hAnsi="Times New Roman" w:eastAsia="宋体" w:cs="Times New Roman"/>
          <w:b/>
          <w:bCs/>
          <w:color w:val="auto"/>
          <w:kern w:val="0"/>
          <w:sz w:val="24"/>
          <w:szCs w:val="24"/>
          <w:highlight w:val="none"/>
          <w:lang w:val="en-US" w:eastAsia="zh-CN" w:bidi="ar-SA"/>
        </w:rPr>
        <w:t xml:space="preserve">附图6 </w:t>
      </w:r>
      <w:r>
        <w:rPr>
          <w:rFonts w:hint="eastAsia" w:cs="Times New Roman"/>
          <w:b/>
          <w:bCs/>
          <w:color w:val="auto"/>
          <w:sz w:val="24"/>
          <w:szCs w:val="24"/>
          <w:highlight w:val="none"/>
          <w:lang w:val="en-US" w:eastAsia="zh-CN"/>
        </w:rPr>
        <w:t>周边水系</w:t>
      </w:r>
      <w:r>
        <w:rPr>
          <w:rFonts w:hint="default" w:ascii="Times New Roman" w:hAnsi="Times New Roman" w:eastAsia="宋体" w:cs="Times New Roman"/>
          <w:b/>
          <w:bCs/>
          <w:color w:val="auto"/>
          <w:sz w:val="24"/>
          <w:szCs w:val="24"/>
          <w:highlight w:val="none"/>
          <w:lang w:eastAsia="zh-CN"/>
        </w:rPr>
        <w:t>图</w:t>
      </w:r>
      <w:bookmarkEnd w:id="135"/>
      <w:bookmarkEnd w:id="136"/>
    </w:p>
    <w:p w14:paraId="4674795E">
      <w:pPr>
        <w:pStyle w:val="2"/>
        <w:jc w:val="center"/>
        <w:rPr>
          <w:rFonts w:hint="default" w:ascii="Times New Roman" w:hAnsi="Times New Roman" w:eastAsia="宋体" w:cs="Times New Roman"/>
          <w:b/>
          <w:bCs/>
          <w:color w:val="auto"/>
          <w:sz w:val="24"/>
          <w:szCs w:val="24"/>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2482215</wp:posOffset>
                </wp:positionH>
                <wp:positionV relativeFrom="paragraph">
                  <wp:posOffset>2143760</wp:posOffset>
                </wp:positionV>
                <wp:extent cx="914400" cy="693420"/>
                <wp:effectExtent l="0" t="0" r="0" b="49530"/>
                <wp:wrapNone/>
                <wp:docPr id="1080" name="组合 184"/>
                <wp:cNvGraphicFramePr/>
                <a:graphic xmlns:a="http://schemas.openxmlformats.org/drawingml/2006/main">
                  <a:graphicData uri="http://schemas.microsoft.com/office/word/2010/wordprocessingGroup">
                    <wpg:wgp>
                      <wpg:cNvGrpSpPr/>
                      <wpg:grpSpPr>
                        <a:xfrm rot="0">
                          <a:off x="0" y="0"/>
                          <a:ext cx="914400" cy="693419"/>
                          <a:chOff x="6885" y="1344607"/>
                          <a:chExt cx="1440" cy="1092"/>
                        </a:xfrm>
                      </wpg:grpSpPr>
                      <wps:wsp>
                        <wps:cNvPr id="3" name="十字星 3"/>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4" name="组合 4"/>
                        <wpg:cNvGrpSpPr/>
                        <wpg:grpSpPr>
                          <a:xfrm>
                            <a:off x="6885" y="1344607"/>
                            <a:ext cx="1440" cy="510"/>
                            <a:chOff x="6885" y="1344607"/>
                            <a:chExt cx="1440" cy="510"/>
                          </a:xfrm>
                        </wpg:grpSpPr>
                        <wps:wsp>
                          <wps:cNvPr id="5" name="矩形标注 5"/>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03680A4C">
                                <w:pPr>
                                  <w:jc w:val="center"/>
                                </w:pPr>
                              </w:p>
                            </w:txbxContent>
                          </wps:txbx>
                          <wps:bodyPr vert="horz" wrap="square" lIns="91440" tIns="45720" rIns="91440" bIns="45720" anchor="ctr">
                            <a:noAutofit/>
                          </wps:bodyPr>
                        </wps:wsp>
                        <wps:wsp>
                          <wps:cNvPr id="6" name="矩形 6"/>
                          <wps:cNvSpPr/>
                          <wps:spPr>
                            <a:xfrm>
                              <a:off x="6885" y="1344607"/>
                              <a:ext cx="1440" cy="511"/>
                            </a:xfrm>
                            <a:prstGeom prst="rect">
                              <a:avLst/>
                            </a:prstGeom>
                            <a:ln>
                              <a:noFill/>
                            </a:ln>
                          </wps:spPr>
                          <wps:txbx>
                            <w:txbxContent>
                              <w:p w14:paraId="3A320E1B">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84" o:spid="_x0000_s1026" o:spt="203" style="position:absolute;left:0pt;margin-left:195.45pt;margin-top:168.8pt;height:54.6pt;width:72pt;z-index:251659264;mso-width-relative:page;mso-height-relative:page;" coordorigin="6885,1344607" coordsize="1440,1092" o:gfxdata="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rLhAX7sAAADa&#10;AAAADwAAAGRycy9kb3ducmV2LnhtbEWPX2vCQBDE3wt+h2MF3+rGCqVETwlapQ8BqbXvS27NBXN7&#10;IXf+6bfvCYKPw8z8hpkvb65VF+5D40XDZJyBYqm8aaTWcPjZvH6ACpHEUOuFNfxxgOVi8DKn3Pir&#10;fPNlH2uVIBJy0mBj7HLEUFl2FMa+Y0ne0feOYpJ9jaana4K7Ft+y7B0dNZIWLHW8slyd9men4bMs&#10;KlxhcSjK3dRhXIffrS21Hg0n2QxU5Ft8hh/tL6NhCvcr6Qbg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LhAX7sAAADa&#10;AAAADwAAAAAAAAABACAAAAAiAAAAZHJzL2Rvd25yZXYueG1sUEsBAhQAFAAAAAgAh07iQDMvBZ47&#10;AAAAOQAAABAAAAAAAAAAAQAgAAAACgEAAGRycy9zaGFwZXhtbC54bWxQSwUGAAAAAAYABgBbAQAA&#10;tAM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BO6v7rwAAADa&#10;AAAADwAAAGRycy9kb3ducmV2LnhtbEWPQWsCMRSE7wX/Q3iCl1KTFZSyGj0Iigc9qIXS2+vmuVnc&#10;vKybuOq/N0Khx2FmvmFmi7urRUdtqDxryIYKBHHhTcWlhq/j6uMTRIjIBmvPpOFBARbz3tsMc+Nv&#10;vKfuEEuRIBxy1GBjbHIpQ2HJYRj6hjh5J986jEm2pTQt3hLc1XKk1EQ6rDgtWGxoaak4H65OQ/Vu&#10;i+/sOLl06/Hvj9qp4E7boPWgn6kpiEj3+B/+a2+MhjG8rqQbIO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ur+68AAAA&#10;2gAAAA8AAAAAAAAAAQAgAAAAIgAAAGRycy9kb3ducmV2LnhtbFBLAQIUABQAAAAIAIdO4kAzLwWe&#10;OwAAADkAAAAQAAAAAAAAAAEAIAAAAAsBAABkcnMvc2hhcGV4bWwueG1sUEsFBgAAAAAGAAYAWwEA&#10;ALUDAAAAAA==&#10;" adj="6305,35114">
                    <v:fill on="t" focussize="0,0"/>
                    <v:stroke weight="1pt" color="#000000" joinstyle="miter"/>
                    <v:imagedata o:title=""/>
                    <o:lock v:ext="edit" aspectratio="f"/>
                    <v:textbox>
                      <w:txbxContent>
                        <w:p w14:paraId="03680A4C">
                          <w:pPr>
                            <w:jc w:val="center"/>
                          </w:pPr>
                        </w:p>
                      </w:txbxContent>
                    </v:textbox>
                  </v:shape>
                  <v:rect id="_x0000_s1026" o:spid="_x0000_s1026" o:spt="1" style="position:absolute;left:6885;top:1344607;height:511;width:1440;" filled="f" stroked="f" coordsize="21600,21600" o:gfxdata="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RsTm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A320E1B">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3425"/>
            <wp:effectExtent l="0" t="0" r="10160" b="9525"/>
            <wp:docPr id="1085" name="IM 12"/>
            <wp:cNvGraphicFramePr/>
            <a:graphic xmlns:a="http://schemas.openxmlformats.org/drawingml/2006/main">
              <a:graphicData uri="http://schemas.openxmlformats.org/drawingml/2006/picture">
                <pic:pic xmlns:pic="http://schemas.openxmlformats.org/drawingml/2006/picture">
                  <pic:nvPicPr>
                    <pic:cNvPr id="1085" name="IM 12"/>
                    <pic:cNvPicPr/>
                  </pic:nvPicPr>
                  <pic:blipFill>
                    <a:blip r:embed="rId44" cstate="print"/>
                    <a:srcRect/>
                    <a:stretch>
                      <a:fillRect/>
                    </a:stretch>
                  </pic:blipFill>
                  <pic:spPr>
                    <a:xfrm>
                      <a:off x="0" y="0"/>
                      <a:ext cx="5266690" cy="8353425"/>
                    </a:xfrm>
                    <a:prstGeom prst="rect">
                      <a:avLst/>
                    </a:prstGeom>
                  </pic:spPr>
                </pic:pic>
              </a:graphicData>
            </a:graphic>
          </wp:inline>
        </w:drawing>
      </w:r>
    </w:p>
    <w:p w14:paraId="1ABDDC0F">
      <w:pPr>
        <w:rPr>
          <w:rFonts w:hint="default" w:ascii="Times New Roman" w:hAnsi="Times New Roman" w:eastAsia="宋体" w:cs="Times New Roman"/>
          <w:b/>
          <w:bCs/>
          <w:color w:val="auto"/>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AEF406B">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eastAsia="zh-CN"/>
        </w:rPr>
      </w:pPr>
      <w:bookmarkStart w:id="137" w:name="_Toc10881"/>
      <w:bookmarkStart w:id="138" w:name="_Toc24616"/>
      <w:r>
        <w:rPr>
          <w:rFonts w:hint="default" w:ascii="Times New Roman" w:hAnsi="Times New Roman" w:eastAsia="宋体" w:cs="Times New Roman"/>
          <w:b/>
          <w:bCs/>
          <w:color w:val="auto"/>
          <w:kern w:val="2"/>
          <w:sz w:val="24"/>
          <w:szCs w:val="24"/>
          <w:highlight w:val="none"/>
          <w:lang w:val="en-US" w:eastAsia="zh-CN" w:bidi="ar-SA"/>
        </w:rPr>
        <w:t xml:space="preserve">附图7 </w:t>
      </w:r>
      <w:r>
        <w:rPr>
          <w:rFonts w:hint="default" w:ascii="Times New Roman" w:hAnsi="Times New Roman" w:eastAsia="宋体" w:cs="Times New Roman"/>
          <w:b/>
          <w:bCs/>
          <w:color w:val="auto"/>
          <w:sz w:val="24"/>
          <w:szCs w:val="24"/>
          <w:highlight w:val="none"/>
          <w:lang w:eastAsia="zh-CN"/>
        </w:rPr>
        <w:t>大气环境功能区划图</w:t>
      </w:r>
      <w:bookmarkEnd w:id="137"/>
      <w:bookmarkEnd w:id="138"/>
    </w:p>
    <w:p w14:paraId="6BCD3C55">
      <w:pPr>
        <w:kinsoku w:val="0"/>
        <w:overflowPunct w:val="0"/>
        <w:adjustRightInd w:val="0"/>
        <w:snapToGrid w:val="0"/>
        <w:ind w:firstLine="480" w:firstLineChars="200"/>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3515995</wp:posOffset>
                </wp:positionH>
                <wp:positionV relativeFrom="paragraph">
                  <wp:posOffset>3281680</wp:posOffset>
                </wp:positionV>
                <wp:extent cx="914400" cy="693420"/>
                <wp:effectExtent l="0" t="0" r="0" b="49530"/>
                <wp:wrapNone/>
                <wp:docPr id="1086" name="组合 179"/>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7" name="十字星 7"/>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8" name="组合 8"/>
                        <wpg:cNvGrpSpPr/>
                        <wpg:grpSpPr>
                          <a:xfrm>
                            <a:off x="6885" y="1344607"/>
                            <a:ext cx="1440" cy="510"/>
                            <a:chOff x="6885" y="1344607"/>
                            <a:chExt cx="1440" cy="510"/>
                          </a:xfrm>
                        </wpg:grpSpPr>
                        <wps:wsp>
                          <wps:cNvPr id="9" name="矩形标注 9"/>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1DD226C6">
                                <w:pPr>
                                  <w:jc w:val="center"/>
                                </w:pPr>
                              </w:p>
                            </w:txbxContent>
                          </wps:txbx>
                          <wps:bodyPr vert="horz" wrap="square" lIns="91440" tIns="45720" rIns="91440" bIns="45720" anchor="ctr">
                            <a:noAutofit/>
                          </wps:bodyPr>
                        </wps:wsp>
                        <wps:wsp>
                          <wps:cNvPr id="10" name="矩形 10"/>
                          <wps:cNvSpPr/>
                          <wps:spPr>
                            <a:xfrm>
                              <a:off x="6885" y="1344607"/>
                              <a:ext cx="1440" cy="511"/>
                            </a:xfrm>
                            <a:prstGeom prst="rect">
                              <a:avLst/>
                            </a:prstGeom>
                            <a:ln>
                              <a:noFill/>
                            </a:ln>
                          </wps:spPr>
                          <wps:txbx>
                            <w:txbxContent>
                              <w:p w14:paraId="5661D5A2">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79" o:spid="_x0000_s1026" o:spt="203" style="position:absolute;left:0pt;margin-left:276.85pt;margin-top:258.4pt;height:54.6pt;width:72pt;z-index:251659264;mso-width-relative:page;mso-height-relative:page;" coordorigin="6885,1344607" coordsize="1440,1092" o:gfxdata="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04NGXLwAAADa&#10;AAAADwAAAGRycy9kb3ducmV2LnhtbEWPS2vDMBCE74X8B7GB3pp1WmiLEyWYpAk5GErzuC/WxjKx&#10;VsZSXv8+KhR6HGbmG2Y6v7lWXbgPjRcN41EGiqXyppFaw363evkEFSKJodYLa7hzgPls8DSl3Pir&#10;/PBlG2uVIBJy0mBj7HLEUFl2FEa+Y0ne0feOYpJ9jaana4K7Fl+z7B0dNZIWLHW8sFydtmen4ass&#10;KlxgsS/K7zeHcRkOa1tq/TwcZxNQkW/xP/zX3hgNH/B7Jd0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DRly8AAAA&#10;2g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haOl674AAADa&#10;AAAADwAAAGRycy9kb3ducmV2LnhtbEWPzWrDMBCE74W+g9hCLyWRXEhoHMs5FFpyaA75gZLbxtpY&#10;JtbKtRQnffuoUMhxmJlvmGJxda0YqA+NZw3ZWIEgrrxpuNaw236M3kCEiGyw9UwafinAonx8KDA3&#10;/sJrGjaxFgnCIUcNNsYulzJUlhyGse+Ik3f0vcOYZF9L0+MlwV0rX5WaSocNpwWLHb1bqk6bs9PQ&#10;vNjqO9tOf4bPyWGvViq441fQ+vkpU3MQka7xHv5vL42GGfxdSTdAl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Ol674A&#10;AADa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1DD226C6">
                          <w:pPr>
                            <w:jc w:val="center"/>
                          </w:pPr>
                        </w:p>
                      </w:txbxContent>
                    </v:textbox>
                  </v:shape>
                  <v:rect id="_x0000_s1026" o:spid="_x0000_s1026" o:spt="1" style="position:absolute;left:6885;top:1344607;height:511;width:1440;" filled="f" stroked="f" coordsize="21600,21600" o:gfxdata="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P6Q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661D5A2">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3425"/>
            <wp:effectExtent l="0" t="0" r="10160" b="9525"/>
            <wp:docPr id="1091" name="IM 22"/>
            <wp:cNvGraphicFramePr/>
            <a:graphic xmlns:a="http://schemas.openxmlformats.org/drawingml/2006/main">
              <a:graphicData uri="http://schemas.openxmlformats.org/drawingml/2006/picture">
                <pic:pic xmlns:pic="http://schemas.openxmlformats.org/drawingml/2006/picture">
                  <pic:nvPicPr>
                    <pic:cNvPr id="1091" name="IM 22"/>
                    <pic:cNvPicPr/>
                  </pic:nvPicPr>
                  <pic:blipFill>
                    <a:blip r:embed="rId45" cstate="print"/>
                    <a:srcRect/>
                    <a:stretch>
                      <a:fillRect/>
                    </a:stretch>
                  </pic:blipFill>
                  <pic:spPr>
                    <a:xfrm>
                      <a:off x="0" y="0"/>
                      <a:ext cx="5266690" cy="8353425"/>
                    </a:xfrm>
                    <a:prstGeom prst="rect">
                      <a:avLst/>
                    </a:prstGeom>
                  </pic:spPr>
                </pic:pic>
              </a:graphicData>
            </a:graphic>
          </wp:inline>
        </w:drawing>
      </w:r>
    </w:p>
    <w:p w14:paraId="00DCB673">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0407A8B">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val="en-US" w:eastAsia="zh-CN"/>
        </w:rPr>
      </w:pPr>
      <w:bookmarkStart w:id="139" w:name="_Toc2821"/>
      <w:r>
        <w:rPr>
          <w:rFonts w:hint="default" w:ascii="Times New Roman" w:hAnsi="Times New Roman" w:eastAsia="宋体" w:cs="Times New Roman"/>
          <w:b/>
          <w:bCs/>
          <w:color w:val="auto"/>
          <w:kern w:val="2"/>
          <w:sz w:val="24"/>
          <w:szCs w:val="24"/>
          <w:highlight w:val="none"/>
          <w:lang w:val="en-US" w:eastAsia="zh-CN" w:bidi="ar-SA"/>
        </w:rPr>
        <w:t xml:space="preserve">附图8 </w:t>
      </w:r>
      <w:r>
        <w:rPr>
          <w:rFonts w:hint="eastAsia" w:ascii="Times New Roman" w:hAnsi="Times New Roman" w:eastAsia="宋体" w:cs="Times New Roman"/>
          <w:b/>
          <w:bCs/>
          <w:color w:val="auto"/>
          <w:sz w:val="24"/>
          <w:szCs w:val="24"/>
          <w:highlight w:val="none"/>
          <w:lang w:val="en-US" w:eastAsia="zh-CN"/>
        </w:rPr>
        <w:t>声环境功能区划图</w:t>
      </w:r>
      <w:bookmarkEnd w:id="139"/>
    </w:p>
    <w:p w14:paraId="0156A967">
      <w:pPr>
        <w:pStyle w:val="3"/>
        <w:numPr>
          <w:ilvl w:val="0"/>
          <w:numId w:val="0"/>
        </w:numPr>
        <w:bidi w:val="0"/>
        <w:ind w:left="0" w:leftChars="0" w:firstLine="397" w:firstLineChars="0"/>
        <w:outlineLvl w:val="9"/>
      </w:pPr>
      <w:r>
        <w:rPr>
          <w:sz w:val="24"/>
        </w:rPr>
        <mc:AlternateContent>
          <mc:Choice Requires="wpg">
            <w:drawing>
              <wp:anchor distT="0" distB="0" distL="0" distR="0" simplePos="0" relativeHeight="251659264" behindDoc="0" locked="0" layoutInCell="1" allowOverlap="1">
                <wp:simplePos x="0" y="0"/>
                <wp:positionH relativeFrom="column">
                  <wp:posOffset>3863340</wp:posOffset>
                </wp:positionH>
                <wp:positionV relativeFrom="paragraph">
                  <wp:posOffset>1925955</wp:posOffset>
                </wp:positionV>
                <wp:extent cx="914400" cy="693420"/>
                <wp:effectExtent l="0" t="0" r="0" b="49530"/>
                <wp:wrapNone/>
                <wp:docPr id="1092" name="组合 115"/>
                <wp:cNvGraphicFramePr/>
                <a:graphic xmlns:a="http://schemas.openxmlformats.org/drawingml/2006/main">
                  <a:graphicData uri="http://schemas.microsoft.com/office/word/2010/wordprocessingGroup">
                    <wpg:wgp>
                      <wpg:cNvGrpSpPr/>
                      <wpg:grpSpPr>
                        <a:xfrm rot="0">
                          <a:off x="0" y="0"/>
                          <a:ext cx="914400" cy="693419"/>
                          <a:chOff x="6885" y="1344607"/>
                          <a:chExt cx="1440" cy="1092"/>
                        </a:xfrm>
                      </wpg:grpSpPr>
                      <wps:wsp>
                        <wps:cNvPr id="11" name="十字星 11"/>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12" name="组合 12"/>
                        <wpg:cNvGrpSpPr/>
                        <wpg:grpSpPr>
                          <a:xfrm>
                            <a:off x="6885" y="1344607"/>
                            <a:ext cx="1440" cy="510"/>
                            <a:chOff x="6885" y="1344607"/>
                            <a:chExt cx="1440" cy="510"/>
                          </a:xfrm>
                        </wpg:grpSpPr>
                        <wps:wsp>
                          <wps:cNvPr id="13" name="矩形标注 13"/>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66A28E57">
                                <w:pPr>
                                  <w:jc w:val="center"/>
                                </w:pPr>
                              </w:p>
                            </w:txbxContent>
                          </wps:txbx>
                          <wps:bodyPr vert="horz" wrap="square" lIns="91440" tIns="45720" rIns="91440" bIns="45720" anchor="ctr">
                            <a:noAutofit/>
                          </wps:bodyPr>
                        </wps:wsp>
                        <wps:wsp>
                          <wps:cNvPr id="14" name="矩形 14"/>
                          <wps:cNvSpPr/>
                          <wps:spPr>
                            <a:xfrm>
                              <a:off x="6885" y="1344607"/>
                              <a:ext cx="1440" cy="511"/>
                            </a:xfrm>
                            <a:prstGeom prst="rect">
                              <a:avLst/>
                            </a:prstGeom>
                            <a:ln>
                              <a:noFill/>
                            </a:ln>
                          </wps:spPr>
                          <wps:txbx>
                            <w:txbxContent>
                              <w:p w14:paraId="49994E45">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15" o:spid="_x0000_s1026" o:spt="203" style="position:absolute;left:0pt;margin-left:304.2pt;margin-top:151.65pt;height:54.6pt;width:72pt;z-index:251659264;mso-width-relative:page;mso-height-relative:page;" coordorigin="6885,1344607" coordsize="1440,1092" o:gfxdata="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7M79prkAAADb&#10;AAAADwAAAGRycy9kb3ducmV2LnhtbEVPS2vCQBC+F/wPywje6iQVSkldJfiih4BU7X3ITrOh2dmQ&#10;3ar9911B8DYf33Pmy6vr1JmH0HrRkE8zUCy1N600Gk7H7fMbqBBJDHVeWMMfB1guRk9zKoy/yCef&#10;D7FRKURCQRpsjH2BGGrLjsLU9yyJ+/aDo5jg0KAZ6JLCXYcvWfaKjlpJDZZ6Xlmufw6/TsOmKmtc&#10;YXkqq/3MYVyHr52ttJ6M8+wdVORrfIjv7g+T5udw+yUdgI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zO/aa5AAAA2wAA&#10;AA8AAAAAAAAAAQAgAAAAIgAAAGRycy9kb3ducmV2LnhtbFBLAQIUABQAAAAIAIdO4kAzLwWeOwAA&#10;ADkAAAAQAAAAAAAAAAEAIAAAAAgBAABkcnMvc2hhcGV4bWwueG1sUEsFBgAAAAAGAAYAWwEAALID&#10;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IkufMrwAAADb&#10;AAAADwAAAGRycy9kb3ducmV2LnhtbEVPTWsCMRC9F/wPYQq9FE3Wosh2owdB8dAeqgXxNt3MbpZu&#10;JusmrvbfNwWht3m8zylWN9eKgfrQeNaQTRQI4tKbhmsNn4fNeAEiRGSDrWfS8EMBVsvRQ4G58Vf+&#10;oGEfa5FCOOSowcbY5VKG0pLDMPEdceIq3zuMCfa1ND1eU7hr5VSpuXTYcGqw2NHaUvm9vzgNzbMt&#10;j9lhfh62s6+TelfBVW9B66fHTL2CiHSL/+K7e2fS/Bf4+yUd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JLnzK8AAAA&#10;2wAAAA8AAAAAAAAAAQAgAAAAIgAAAGRycy9kb3ducmV2LnhtbFBLAQIUABQAAAAIAIdO4kAzLwWe&#10;OwAAADkAAAAQAAAAAAAAAAEAIAAAAAsBAABkcnMvc2hhcGV4bWwueG1sUEsFBgAAAAAGAAYAWwEA&#10;ALUDAAAAAA==&#10;" adj="6305,35114">
                    <v:fill on="t" focussize="0,0"/>
                    <v:stroke weight="1pt" color="#000000" joinstyle="miter"/>
                    <v:imagedata o:title=""/>
                    <o:lock v:ext="edit" aspectratio="f"/>
                    <v:textbox>
                      <w:txbxContent>
                        <w:p w14:paraId="66A28E57">
                          <w:pPr>
                            <w:jc w:val="center"/>
                          </w:pPr>
                        </w:p>
                      </w:txbxContent>
                    </v:textbox>
                  </v:shape>
                  <v:rect id="_x0000_s1026" o:spid="_x0000_s1026" o:spt="1" style="position:absolute;left:6885;top:1344607;height:511;width:1440;" filled="f" stroked="f" coordsize="21600,21600" o:gfxdata="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BKI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49994E45">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drawing>
          <wp:inline distT="0" distB="0" distL="0" distR="0">
            <wp:extent cx="5505450" cy="7724775"/>
            <wp:effectExtent l="0" t="0" r="0" b="9525"/>
            <wp:docPr id="1097" name="图片 6"/>
            <wp:cNvGraphicFramePr/>
            <a:graphic xmlns:a="http://schemas.openxmlformats.org/drawingml/2006/main">
              <a:graphicData uri="http://schemas.openxmlformats.org/drawingml/2006/picture">
                <pic:pic xmlns:pic="http://schemas.openxmlformats.org/drawingml/2006/picture">
                  <pic:nvPicPr>
                    <pic:cNvPr id="1097" name="图片 6"/>
                    <pic:cNvPicPr/>
                  </pic:nvPicPr>
                  <pic:blipFill>
                    <a:blip r:embed="rId46" cstate="print"/>
                    <a:srcRect/>
                    <a:stretch>
                      <a:fillRect/>
                    </a:stretch>
                  </pic:blipFill>
                  <pic:spPr>
                    <a:xfrm>
                      <a:off x="0" y="0"/>
                      <a:ext cx="5505450" cy="7724775"/>
                    </a:xfrm>
                    <a:prstGeom prst="rect">
                      <a:avLst/>
                    </a:prstGeom>
                    <a:ln>
                      <a:noFill/>
                    </a:ln>
                  </pic:spPr>
                </pic:pic>
              </a:graphicData>
            </a:graphic>
          </wp:inline>
        </w:drawing>
      </w:r>
    </w:p>
    <w:p w14:paraId="237F50D7">
      <w:r>
        <w:br w:type="page"/>
      </w:r>
    </w:p>
    <w:p w14:paraId="48ADA895">
      <w:pPr>
        <w:rPr>
          <w:rFonts w:hint="eastAsia"/>
          <w:lang w:eastAsia="zh-CN"/>
        </w:rPr>
      </w:pPr>
      <w:bookmarkStart w:id="140" w:name="_Toc20884"/>
      <w:r>
        <w:rPr>
          <w:rFonts w:hint="default" w:ascii="Times New Roman" w:hAnsi="Times New Roman" w:eastAsia="宋体" w:cs="Times New Roman"/>
          <w:b/>
          <w:bCs/>
          <w:color w:val="auto"/>
          <w:kern w:val="2"/>
          <w:sz w:val="24"/>
          <w:szCs w:val="24"/>
          <w:highlight w:val="none"/>
          <w:lang w:val="en-US" w:eastAsia="zh-CN" w:bidi="ar-SA"/>
        </w:rPr>
        <w:t>附图</w:t>
      </w:r>
      <w:r>
        <w:rPr>
          <w:rFonts w:hint="eastAsia" w:ascii="Times New Roman" w:hAnsi="Times New Roman" w:eastAsia="宋体" w:cs="Times New Roman"/>
          <w:b/>
          <w:bCs/>
          <w:color w:val="auto"/>
          <w:kern w:val="2"/>
          <w:sz w:val="24"/>
          <w:szCs w:val="24"/>
          <w:highlight w:val="none"/>
          <w:lang w:val="en-US" w:eastAsia="zh-CN" w:bidi="ar-SA"/>
        </w:rPr>
        <w:t>9</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default" w:ascii="Times New Roman" w:hAnsi="Times New Roman" w:eastAsia="宋体" w:cs="Times New Roman"/>
          <w:b/>
          <w:bCs/>
          <w:color w:val="auto"/>
          <w:sz w:val="24"/>
          <w:szCs w:val="24"/>
          <w:highlight w:val="none"/>
          <w:lang w:eastAsia="zh-CN"/>
        </w:rPr>
        <w:t>生态红线分布图</w:t>
      </w:r>
      <w:bookmarkEnd w:id="140"/>
    </w:p>
    <w:p w14:paraId="38FE1027">
      <w:pPr>
        <w:pStyle w:val="3"/>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3510915</wp:posOffset>
                </wp:positionH>
                <wp:positionV relativeFrom="paragraph">
                  <wp:posOffset>3184525</wp:posOffset>
                </wp:positionV>
                <wp:extent cx="914400" cy="693420"/>
                <wp:effectExtent l="0" t="0" r="0" b="49530"/>
                <wp:wrapNone/>
                <wp:docPr id="1098" name="组合 174"/>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15" name="十字星 15"/>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16" name="组合 16"/>
                        <wpg:cNvGrpSpPr/>
                        <wpg:grpSpPr>
                          <a:xfrm>
                            <a:off x="6885" y="1344607"/>
                            <a:ext cx="1440" cy="510"/>
                            <a:chOff x="6885" y="1344607"/>
                            <a:chExt cx="1440" cy="510"/>
                          </a:xfrm>
                        </wpg:grpSpPr>
                        <wps:wsp>
                          <wps:cNvPr id="17" name="矩形标注 17"/>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DA3C2F1">
                                <w:pPr>
                                  <w:jc w:val="center"/>
                                </w:pPr>
                              </w:p>
                            </w:txbxContent>
                          </wps:txbx>
                          <wps:bodyPr vert="horz" wrap="square" lIns="91440" tIns="45720" rIns="91440" bIns="45720" anchor="ctr">
                            <a:noAutofit/>
                          </wps:bodyPr>
                        </wps:wsp>
                        <wps:wsp>
                          <wps:cNvPr id="18" name="矩形 18"/>
                          <wps:cNvSpPr/>
                          <wps:spPr>
                            <a:xfrm>
                              <a:off x="6885" y="1344607"/>
                              <a:ext cx="1440" cy="511"/>
                            </a:xfrm>
                            <a:prstGeom prst="rect">
                              <a:avLst/>
                            </a:prstGeom>
                            <a:ln>
                              <a:noFill/>
                            </a:ln>
                          </wps:spPr>
                          <wps:txbx>
                            <w:txbxContent>
                              <w:p w14:paraId="185D2020">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74" o:spid="_x0000_s1026" o:spt="203" style="position:absolute;left:0pt;margin-left:276.45pt;margin-top:250.75pt;height:54.6pt;width:72pt;z-index:251659264;mso-width-relative:page;mso-height-relative:page;" coordorigin="6885,1344607" coordsize="1440,1092" o:gfxdata="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k/X7pboAAADb&#10;AAAADwAAAGRycy9kb3ducmV2LnhtbEVPS2vCQBC+F/wPywi91YktLSW6StAqHgKlPu5DdswGs7Mh&#10;u77+vVso9DYf33Om85tr1YX70HjRMB5loFgqbxqpNex3q5dPUCGSGGq9sIY7B5jPBk9Tyo2/yg9f&#10;trFWKURCThpsjF2OGCrLjsLIdyyJO/reUUywr9H0dE3hrsXXLPtAR42kBksdLyxXp+3ZafgqiwoX&#10;WOyL8vvNYVyGw9qWWj8Px9kEVORb/Bf/uTcmzX+H31/SATh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T9fulugAAANsA&#10;AAAPAAAAAAAAAAEAIAAAACIAAABkcnMvZG93bnJldi54bWxQSwECFAAUAAAACACHTuJAMy8FnjsA&#10;AAA5AAAAEAAAAAAAAAABACAAAAAJAQAAZHJzL3NoYXBleG1sLnhtbFBLBQYAAAAABgAGAFsBAACz&#10;Aw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XXCZMb0AAADb&#10;AAAADwAAAGRycy9kb3ducmV2LnhtbEVPS2sCMRC+F/ofwhR6KZpsQSvrZj0UWjzUgw8o3sbNuFnc&#10;TLabuNp/bwoFb/PxPadYXF0rBupD41lDNlYgiCtvGq417LYfoxmIEJENtp5Jwy8FWJSPDwXmxl94&#10;TcMm1iKFcMhRg42xy6UMlSWHYew74sQdfe8wJtjX0vR4SeGula9KTaXDhlODxY7eLVWnzdlpaF5s&#10;9Z1tpz/D5+SwVysV3PEraP38lKk5iEjXeBf/u5cmzX+Dv1/SAbK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JkxvQAA&#10;ANsAAAAPAAAAAAAAAAEAIAAAACIAAABkcnMvZG93bnJldi54bWxQSwECFAAUAAAACACHTuJAMy8F&#10;njsAAAA5AAAAEAAAAAAAAAABACAAAAAMAQAAZHJzL3NoYXBleG1sLnhtbFBLBQYAAAAABgAGAFsB&#10;AAC2AwAAAAA=&#10;" adj="6305,35114">
                    <v:fill on="t" focussize="0,0"/>
                    <v:stroke weight="1pt" color="#000000" joinstyle="miter"/>
                    <v:imagedata o:title=""/>
                    <o:lock v:ext="edit" aspectratio="f"/>
                    <v:textbox>
                      <w:txbxContent>
                        <w:p w14:paraId="3DA3C2F1">
                          <w:pPr>
                            <w:jc w:val="center"/>
                          </w:pPr>
                        </w:p>
                      </w:txbxContent>
                    </v:textbox>
                  </v:shape>
                  <v:rect id="_x0000_s1026" o:spid="_x0000_s1026" o:spt="1" style="position:absolute;left:6885;top:1344607;height:511;width:1440;" filled="f" stroked="f" coordsize="21600,21600" o:gfxdata="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Sag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85D2020">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0885"/>
            <wp:effectExtent l="0" t="0" r="10160" b="12065"/>
            <wp:docPr id="1103" name="IM 30"/>
            <wp:cNvGraphicFramePr/>
            <a:graphic xmlns:a="http://schemas.openxmlformats.org/drawingml/2006/main">
              <a:graphicData uri="http://schemas.openxmlformats.org/drawingml/2006/picture">
                <pic:pic xmlns:pic="http://schemas.openxmlformats.org/drawingml/2006/picture">
                  <pic:nvPicPr>
                    <pic:cNvPr id="1103" name="IM 30"/>
                    <pic:cNvPicPr/>
                  </pic:nvPicPr>
                  <pic:blipFill>
                    <a:blip r:embed="rId47" cstate="print"/>
                    <a:srcRect/>
                    <a:stretch>
                      <a:fillRect/>
                    </a:stretch>
                  </pic:blipFill>
                  <pic:spPr>
                    <a:xfrm>
                      <a:off x="0" y="0"/>
                      <a:ext cx="5266690" cy="8350885"/>
                    </a:xfrm>
                    <a:prstGeom prst="rect">
                      <a:avLst/>
                    </a:prstGeom>
                  </pic:spPr>
                </pic:pic>
              </a:graphicData>
            </a:graphic>
          </wp:inline>
        </w:drawing>
      </w:r>
    </w:p>
    <w:p w14:paraId="7BDBD548">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A30F9B7">
      <w:pPr>
        <w:pStyle w:val="43"/>
        <w:pageBreakBefore w:val="0"/>
        <w:numPr>
          <w:ilvl w:val="0"/>
          <w:numId w:val="0"/>
        </w:numPr>
        <w:wordWrap w:val="0"/>
        <w:overflowPunct/>
        <w:bidi w:val="0"/>
        <w:adjustRightInd/>
        <w:spacing w:line="240" w:lineRule="auto"/>
        <w:ind w:left="397" w:left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41" w:name="_Toc17156"/>
      <w:bookmarkStart w:id="142" w:name="_Toc11394"/>
      <w:r>
        <w:rPr>
          <w:rFonts w:hint="default" w:ascii="Times New Roman" w:hAnsi="Times New Roman" w:eastAsia="宋体" w:cs="Times New Roman"/>
          <w:b/>
          <w:bCs/>
          <w:color w:val="auto"/>
          <w:kern w:val="2"/>
          <w:sz w:val="24"/>
          <w:szCs w:val="24"/>
          <w:highlight w:val="none"/>
          <w:lang w:val="en-US" w:eastAsia="zh-CN" w:bidi="ar-SA"/>
        </w:rPr>
        <w:t>附图</w:t>
      </w:r>
      <w:r>
        <w:rPr>
          <w:rFonts w:hint="eastAsia" w:ascii="Times New Roman" w:hAnsi="Times New Roman" w:cs="Times New Roman"/>
          <w:b/>
          <w:bCs/>
          <w:color w:val="auto"/>
          <w:kern w:val="2"/>
          <w:sz w:val="24"/>
          <w:szCs w:val="24"/>
          <w:highlight w:val="none"/>
          <w:lang w:val="en-US" w:eastAsia="zh-CN" w:bidi="ar-SA"/>
        </w:rPr>
        <w:t>10</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1"/>
      <w:r>
        <w:rPr>
          <w:rFonts w:hint="default" w:ascii="Times New Roman" w:hAnsi="Times New Roman" w:eastAsia="宋体" w:cs="Times New Roman"/>
          <w:b/>
          <w:bCs/>
          <w:color w:val="auto"/>
          <w:sz w:val="24"/>
          <w:szCs w:val="24"/>
          <w:highlight w:val="none"/>
          <w:lang w:eastAsia="zh-CN"/>
        </w:rPr>
        <w:t>周边主要饮用水源保护区分布图</w:t>
      </w:r>
      <w:bookmarkEnd w:id="142"/>
    </w:p>
    <w:p w14:paraId="5B7D2A55">
      <w:pPr>
        <w:pStyle w:val="3"/>
        <w:jc w:val="center"/>
        <w:rPr>
          <w:rFonts w:hint="eastAsia" w:ascii="Times New Roman" w:hAnsi="Times New Roman" w:eastAsia="宋体" w:cs="Times New Roman"/>
          <w:color w:val="auto"/>
          <w:highlight w:val="none"/>
          <w:lang w:eastAsia="zh-CN"/>
        </w:rPr>
      </w:pPr>
      <w:r>
        <w:rPr>
          <w:sz w:val="24"/>
        </w:rPr>
        <mc:AlternateContent>
          <mc:Choice Requires="wpg">
            <w:drawing>
              <wp:anchor distT="0" distB="0" distL="0" distR="0" simplePos="0" relativeHeight="251659264" behindDoc="0" locked="0" layoutInCell="1" allowOverlap="1">
                <wp:simplePos x="0" y="0"/>
                <wp:positionH relativeFrom="column">
                  <wp:posOffset>1781810</wp:posOffset>
                </wp:positionH>
                <wp:positionV relativeFrom="paragraph">
                  <wp:posOffset>854075</wp:posOffset>
                </wp:positionV>
                <wp:extent cx="914400" cy="693420"/>
                <wp:effectExtent l="0" t="0" r="0" b="49530"/>
                <wp:wrapNone/>
                <wp:docPr id="1104" name="组合 169"/>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19" name="十字星 19"/>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0" name="组合 20"/>
                        <wpg:cNvGrpSpPr/>
                        <wpg:grpSpPr>
                          <a:xfrm>
                            <a:off x="6885" y="1344607"/>
                            <a:ext cx="1440" cy="510"/>
                            <a:chOff x="6885" y="1344607"/>
                            <a:chExt cx="1440" cy="510"/>
                          </a:xfrm>
                        </wpg:grpSpPr>
                        <wps:wsp>
                          <wps:cNvPr id="21" name="矩形标注 21"/>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E28090F">
                                <w:pPr>
                                  <w:jc w:val="center"/>
                                </w:pPr>
                              </w:p>
                            </w:txbxContent>
                          </wps:txbx>
                          <wps:bodyPr vert="horz" wrap="square" lIns="91440" tIns="45720" rIns="91440" bIns="45720" anchor="ctr">
                            <a:noAutofit/>
                          </wps:bodyPr>
                        </wps:wsp>
                        <wps:wsp>
                          <wps:cNvPr id="22" name="矩形 22"/>
                          <wps:cNvSpPr/>
                          <wps:spPr>
                            <a:xfrm>
                              <a:off x="6885" y="1344607"/>
                              <a:ext cx="1440" cy="511"/>
                            </a:xfrm>
                            <a:prstGeom prst="rect">
                              <a:avLst/>
                            </a:prstGeom>
                            <a:ln>
                              <a:noFill/>
                            </a:ln>
                          </wps:spPr>
                          <wps:txbx>
                            <w:txbxContent>
                              <w:p w14:paraId="2540E5BE">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9" o:spid="_x0000_s1026" o:spt="203" style="position:absolute;left:0pt;margin-left:140.3pt;margin-top:67.25pt;height:54.6pt;width:72pt;z-index:251659264;mso-width-relative:page;mso-height-relative:page;" coordorigin="6885,1344607" coordsize="1440,1092" o:gfxdata="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ErjxoLoAAADb&#10;AAAADwAAAGRycy9kb3ducmV2LnhtbEVPS2vCQBC+F/wPywi91YktlDa6StAqHgKlPu5DdswGs7Mh&#10;u77+vVso9DYf33Om85tr1YX70HjRMB5loFgqbxqpNex3q5cPUCGSGGq9sIY7B5jPBk9Tyo2/yg9f&#10;trFWKURCThpsjF2OGCrLjsLIdyyJO/reUUywr9H0dE3hrsXXLHtHR42kBksdLyxXp+3ZafgqiwoX&#10;WOyL8vvNYVyGw9qWWj8Px9kEVORb/Bf/uTcmzf+E31/SATh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uPGgugAAANsA&#10;AAAPAAAAAAAAAAEAIAAAACIAAABkcnMvZG93bnJldi54bWxQSwECFAAUAAAACACHTuJAMy8FnjsA&#10;AAA5AAAAEAAAAAAAAAABACAAAAAJAQAAZHJzL3NoYXBleG1sLnhtbFBLBQYAAAAABgAGAFsBAACz&#10;Aw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c7luY74AAADb&#10;AAAADwAAAGRycy9kb3ducmV2LnhtbEWPQWvCQBSE7wX/w/IEL6XZjaCU6CYHwdKDPVQF6e01+8wG&#10;s2/T7Dbaf98VCj0OM/MNs65urhMjDaH1rCHPFAji2puWGw3Hw/bpGUSIyAY7z6ThhwJU5eRhjYXx&#10;V36ncR8bkSAcCtRgY+wLKUNtyWHIfE+cvLMfHMYkh0aaAa8J7jo5V2opHbacFiz2tLFUX/bfTkP7&#10;aOtTflh+jS+Lzw/1poI774LWs2muViAi3eJ/+K/9ajTMc7h/ST9Al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7luY74A&#10;AADb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3E28090F">
                          <w:pPr>
                            <w:jc w:val="center"/>
                          </w:pPr>
                        </w:p>
                      </w:txbxContent>
                    </v:textbox>
                  </v:shape>
                  <v:rect id="_x0000_s1026" o:spid="_x0000_s1026" o:spt="1" style="position:absolute;left:6885;top:1344607;height:511;width:1440;" filled="f" stroked="f" coordsize="21600,21600" o:gfxdata="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VQb4A&#10;AADb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540E5BE">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74945" cy="8369300"/>
            <wp:effectExtent l="0" t="0" r="1905" b="12700"/>
            <wp:docPr id="1109" name="IM 18"/>
            <wp:cNvGraphicFramePr/>
            <a:graphic xmlns:a="http://schemas.openxmlformats.org/drawingml/2006/main">
              <a:graphicData uri="http://schemas.openxmlformats.org/drawingml/2006/picture">
                <pic:pic xmlns:pic="http://schemas.openxmlformats.org/drawingml/2006/picture">
                  <pic:nvPicPr>
                    <pic:cNvPr id="1109" name="IM 18"/>
                    <pic:cNvPicPr/>
                  </pic:nvPicPr>
                  <pic:blipFill>
                    <a:blip r:embed="rId48" cstate="print"/>
                    <a:srcRect/>
                    <a:stretch>
                      <a:fillRect/>
                    </a:stretch>
                  </pic:blipFill>
                  <pic:spPr>
                    <a:xfrm>
                      <a:off x="0" y="0"/>
                      <a:ext cx="5274945" cy="8369300"/>
                    </a:xfrm>
                    <a:prstGeom prst="rect">
                      <a:avLst/>
                    </a:prstGeom>
                  </pic:spPr>
                </pic:pic>
              </a:graphicData>
            </a:graphic>
          </wp:inline>
        </w:drawing>
      </w:r>
    </w:p>
    <w:p w14:paraId="2AB4D25C">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24AB477">
      <w:pPr>
        <w:pStyle w:val="3"/>
        <w:numPr>
          <w:ilvl w:val="0"/>
          <w:numId w:val="0"/>
        </w:numPr>
        <w:bidi w:val="0"/>
        <w:ind w:left="0" w:leftChars="0" w:firstLine="397" w:firstLineChars="0"/>
        <w:outlineLvl w:val="0"/>
        <w:rPr>
          <w:rFonts w:hint="default" w:ascii="Times New Roman" w:hAnsi="Times New Roman" w:eastAsia="宋体" w:cs="Times New Roman"/>
          <w:b/>
          <w:bCs/>
          <w:color w:val="auto"/>
          <w:sz w:val="24"/>
          <w:szCs w:val="24"/>
          <w:highlight w:val="none"/>
          <w:lang w:val="en-US" w:eastAsia="zh-CN"/>
        </w:rPr>
      </w:pPr>
      <w:bookmarkStart w:id="143" w:name="_Toc29931"/>
      <w:bookmarkStart w:id="144" w:name="_Toc2048"/>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cs="Times New Roman"/>
          <w:b/>
          <w:bCs/>
          <w:color w:val="auto"/>
          <w:kern w:val="2"/>
          <w:sz w:val="24"/>
          <w:szCs w:val="24"/>
          <w:highlight w:val="none"/>
          <w:lang w:val="en-US" w:eastAsia="zh-CN" w:bidi="ar-SA"/>
        </w:rPr>
        <w:t>1</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3"/>
      <w:r>
        <w:rPr>
          <w:rFonts w:hint="default" w:ascii="Times New Roman" w:hAnsi="Times New Roman" w:eastAsia="宋体" w:cs="Times New Roman"/>
          <w:b/>
          <w:bCs/>
          <w:color w:val="auto"/>
          <w:sz w:val="24"/>
          <w:szCs w:val="24"/>
          <w:highlight w:val="none"/>
          <w:lang w:eastAsia="zh-CN"/>
        </w:rPr>
        <w:t>区域生态功能区划示意</w:t>
      </w:r>
      <w:r>
        <w:rPr>
          <w:rFonts w:hint="default" w:ascii="Times New Roman" w:hAnsi="Times New Roman" w:cs="Times New Roman"/>
          <w:b/>
          <w:bCs/>
          <w:color w:val="auto"/>
          <w:sz w:val="24"/>
          <w:szCs w:val="24"/>
          <w:highlight w:val="none"/>
          <w:lang w:val="en-US" w:eastAsia="zh-CN"/>
        </w:rPr>
        <w:t>图</w:t>
      </w:r>
      <w:bookmarkEnd w:id="144"/>
    </w:p>
    <w:p w14:paraId="298FAB3D">
      <w:pPr>
        <w:pStyle w:val="3"/>
        <w:numPr>
          <w:ilvl w:val="0"/>
          <w:numId w:val="0"/>
        </w:numPr>
        <w:bidi w:val="0"/>
        <w:ind w:left="397" w:leftChars="0"/>
        <w:jc w:val="center"/>
        <w:rPr>
          <w:rFonts w:hint="default" w:ascii="Times New Roman" w:hAnsi="Times New Roman" w:cs="Times New Roman"/>
          <w:color w:val="auto"/>
          <w:highlight w:val="none"/>
        </w:rPr>
      </w:pPr>
      <w:r>
        <w:rPr>
          <w:sz w:val="24"/>
        </w:rPr>
        <mc:AlternateContent>
          <mc:Choice Requires="wpg">
            <w:drawing>
              <wp:anchor distT="0" distB="0" distL="0" distR="0" simplePos="0" relativeHeight="251659264" behindDoc="0" locked="0" layoutInCell="1" allowOverlap="1">
                <wp:simplePos x="0" y="0"/>
                <wp:positionH relativeFrom="column">
                  <wp:posOffset>3253740</wp:posOffset>
                </wp:positionH>
                <wp:positionV relativeFrom="paragraph">
                  <wp:posOffset>3673475</wp:posOffset>
                </wp:positionV>
                <wp:extent cx="914400" cy="693420"/>
                <wp:effectExtent l="0" t="0" r="0" b="49530"/>
                <wp:wrapNone/>
                <wp:docPr id="1110" name="组合 163"/>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23" name="十字星 23"/>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4" name="组合 24"/>
                        <wpg:cNvGrpSpPr/>
                        <wpg:grpSpPr>
                          <a:xfrm>
                            <a:off x="6885" y="1344607"/>
                            <a:ext cx="1440" cy="510"/>
                            <a:chOff x="6885" y="1344607"/>
                            <a:chExt cx="1440" cy="510"/>
                          </a:xfrm>
                        </wpg:grpSpPr>
                        <wps:wsp>
                          <wps:cNvPr id="25" name="矩形标注 25"/>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4110B833">
                                <w:pPr>
                                  <w:jc w:val="center"/>
                                </w:pPr>
                              </w:p>
                            </w:txbxContent>
                          </wps:txbx>
                          <wps:bodyPr vert="horz" wrap="square" lIns="91440" tIns="45720" rIns="91440" bIns="45720" anchor="ctr">
                            <a:noAutofit/>
                          </wps:bodyPr>
                        </wps:wsp>
                        <wps:wsp>
                          <wps:cNvPr id="26" name="矩形 26"/>
                          <wps:cNvSpPr/>
                          <wps:spPr>
                            <a:xfrm>
                              <a:off x="6885" y="1344607"/>
                              <a:ext cx="1440" cy="511"/>
                            </a:xfrm>
                            <a:prstGeom prst="rect">
                              <a:avLst/>
                            </a:prstGeom>
                            <a:ln>
                              <a:noFill/>
                            </a:ln>
                          </wps:spPr>
                          <wps:txbx>
                            <w:txbxContent>
                              <w:p w14:paraId="0C5F0D79">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3" o:spid="_x0000_s1026" o:spt="203" style="position:absolute;left:0pt;margin-left:256.2pt;margin-top:289.25pt;height:54.6pt;width:72pt;z-index:251659264;mso-width-relative:page;mso-height-relative:page;" coordorigin="6885,1344607" coordsize="1440,1092" o:gfxdata="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vTwM97wAAADb&#10;AAAADwAAAGRycy9kb3ducmV2LnhtbEWPzWrDMBCE74W+g9hCb806CYTgRDYmSUsPhpK/+2JtLVNr&#10;ZSw1Sd8+KhR6HGbmG2Zd3lyvLjyGzouG6SQDxdJ400mr4XR8fVmCCpHEUO+FNfxwgLJ4fFhTbvxV&#10;9nw5xFYliIScNNgYhxwxNJYdhYkfWJL36UdHMcmxRTPSNcFdj7MsW6CjTtKCpYE3lpuvw7fTsKur&#10;BjdYnar6Y+4wbsP5zdZaPz9NsxWoyLf4H/5rvxsNszn8fkk/A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08DPe8AAAA&#10;2w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DIJoYL8AAADb&#10;AAAADwAAAGRycy9kb3ducmV2LnhtbEWPzWrDMBCE74G+g9hCL6GWHEgoTmQfAi09tIf8QOltY20s&#10;E2vlWqqTvn0VCOQ4zMw3zKq6uE6MNITWs4Y8UyCIa29abjTsd6/PLyBCRDbYeSYNfxSgKh8mKyyM&#10;P/OGxm1sRIJwKFCDjbEvpAy1JYch8z1x8o5+cBiTHBppBjwnuOvkTKmFdNhyWrDY09pSfdr+Og3t&#10;1NZf+W7xM77ND9/qUwV3/AhaPz3magki0iXew7f2u9Ewm8P1S/oBsv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yCaGC/&#10;AAAA2wAAAA8AAAAAAAAAAQAgAAAAIgAAAGRycy9kb3ducmV2LnhtbFBLAQIUABQAAAAIAIdO4kAz&#10;LwWeOwAAADkAAAAQAAAAAAAAAAEAIAAAAA4BAABkcnMvc2hhcGV4bWwueG1sUEsFBgAAAAAGAAYA&#10;WwEAALgDAAAAAA==&#10;" adj="6305,35114">
                    <v:fill on="t" focussize="0,0"/>
                    <v:stroke weight="1pt" color="#000000" joinstyle="miter"/>
                    <v:imagedata o:title=""/>
                    <o:lock v:ext="edit" aspectratio="f"/>
                    <v:textbox>
                      <w:txbxContent>
                        <w:p w14:paraId="4110B833">
                          <w:pPr>
                            <w:jc w:val="center"/>
                          </w:pPr>
                        </w:p>
                      </w:txbxContent>
                    </v:textbox>
                  </v:shape>
                  <v:rect id="_x0000_s1026" o:spid="_x0000_s1026" o:spt="1" style="position:absolute;left:6885;top:1344607;height:511;width:1440;" filled="f" stroked="f" coordsize="21600,21600" o:gfxdata="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72U0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C5F0D79">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350885"/>
            <wp:effectExtent l="0" t="0" r="10160" b="12065"/>
            <wp:docPr id="1115" name="IM 28"/>
            <wp:cNvGraphicFramePr/>
            <a:graphic xmlns:a="http://schemas.openxmlformats.org/drawingml/2006/main">
              <a:graphicData uri="http://schemas.openxmlformats.org/drawingml/2006/picture">
                <pic:pic xmlns:pic="http://schemas.openxmlformats.org/drawingml/2006/picture">
                  <pic:nvPicPr>
                    <pic:cNvPr id="1115" name="IM 28"/>
                    <pic:cNvPicPr/>
                  </pic:nvPicPr>
                  <pic:blipFill>
                    <a:blip r:embed="rId49" cstate="print"/>
                    <a:srcRect/>
                    <a:stretch>
                      <a:fillRect/>
                    </a:stretch>
                  </pic:blipFill>
                  <pic:spPr>
                    <a:xfrm>
                      <a:off x="0" y="0"/>
                      <a:ext cx="5266690" cy="8350885"/>
                    </a:xfrm>
                    <a:prstGeom prst="rect">
                      <a:avLst/>
                    </a:prstGeom>
                  </pic:spPr>
                </pic:pic>
              </a:graphicData>
            </a:graphic>
          </wp:inline>
        </w:drawing>
      </w:r>
    </w:p>
    <w:p w14:paraId="12FCFABC">
      <w:pPr>
        <w:rPr>
          <w:rFonts w:hint="default" w:ascii="Times New Roman" w:hAnsi="Times New Roman" w:cs="Times New Roman"/>
          <w:color w:val="auto"/>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C69E4A">
      <w:pPr>
        <w:pStyle w:val="3"/>
        <w:numPr>
          <w:ilvl w:val="0"/>
          <w:numId w:val="0"/>
        </w:numPr>
        <w:bidi w:val="0"/>
        <w:ind w:left="0" w:leftChars="0" w:firstLine="397" w:firstLineChars="0"/>
        <w:jc w:val="left"/>
        <w:outlineLvl w:val="0"/>
        <w:rPr>
          <w:rFonts w:hint="default" w:ascii="Times New Roman" w:hAnsi="Times New Roman" w:eastAsia="宋体" w:cs="Times New Roman"/>
          <w:b/>
          <w:bCs/>
          <w:color w:val="auto"/>
          <w:sz w:val="24"/>
          <w:szCs w:val="24"/>
          <w:highlight w:val="none"/>
          <w:lang w:eastAsia="zh-CN"/>
        </w:rPr>
      </w:pPr>
      <w:bookmarkStart w:id="145" w:name="_Toc24068"/>
      <w:bookmarkStart w:id="146" w:name="_Toc792"/>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 xml:space="preserve"> </w:t>
      </w:r>
      <w:bookmarkEnd w:id="145"/>
      <w:r>
        <w:rPr>
          <w:rFonts w:hint="default" w:ascii="Times New Roman" w:hAnsi="Times New Roman" w:eastAsia="宋体" w:cs="Times New Roman"/>
          <w:b/>
          <w:bCs/>
          <w:color w:val="auto"/>
          <w:sz w:val="24"/>
          <w:szCs w:val="24"/>
          <w:highlight w:val="none"/>
          <w:lang w:eastAsia="zh-CN"/>
        </w:rPr>
        <w:t>周边</w:t>
      </w:r>
      <w:r>
        <w:rPr>
          <w:rFonts w:hint="eastAsia" w:cs="Times New Roman"/>
          <w:b/>
          <w:bCs/>
          <w:color w:val="auto"/>
          <w:sz w:val="24"/>
          <w:szCs w:val="24"/>
          <w:highlight w:val="none"/>
          <w:lang w:eastAsia="zh-CN"/>
        </w:rPr>
        <w:t>永久基本农田</w:t>
      </w:r>
      <w:r>
        <w:rPr>
          <w:rFonts w:hint="default" w:ascii="Times New Roman" w:hAnsi="Times New Roman" w:eastAsia="宋体" w:cs="Times New Roman"/>
          <w:b/>
          <w:bCs/>
          <w:color w:val="auto"/>
          <w:sz w:val="24"/>
          <w:szCs w:val="24"/>
          <w:highlight w:val="none"/>
          <w:lang w:eastAsia="zh-CN"/>
        </w:rPr>
        <w:t>、耕地、园地分布图</w:t>
      </w:r>
      <w:bookmarkEnd w:id="146"/>
    </w:p>
    <w:p w14:paraId="54FA0EAD">
      <w:pPr>
        <w:pStyle w:val="3"/>
        <w:numPr>
          <w:ilvl w:val="0"/>
          <w:numId w:val="0"/>
        </w:numPr>
        <w:bidi w:val="0"/>
        <w:ind w:left="397" w:leftChars="0"/>
        <w:jc w:val="center"/>
        <w:rPr>
          <w:rFonts w:hint="default" w:ascii="Times New Roman" w:hAnsi="Times New Roman" w:eastAsia="宋体" w:cs="Times New Roman"/>
          <w:b/>
          <w:bCs/>
          <w:color w:val="auto"/>
          <w:sz w:val="24"/>
          <w:szCs w:val="24"/>
          <w:highlight w:val="none"/>
          <w:lang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sz w:val="24"/>
        </w:rPr>
        <mc:AlternateContent>
          <mc:Choice Requires="wpg">
            <w:drawing>
              <wp:anchor distT="0" distB="0" distL="0" distR="0" simplePos="0" relativeHeight="251659264" behindDoc="0" locked="0" layoutInCell="1" allowOverlap="1">
                <wp:simplePos x="0" y="0"/>
                <wp:positionH relativeFrom="column">
                  <wp:posOffset>2392045</wp:posOffset>
                </wp:positionH>
                <wp:positionV relativeFrom="paragraph">
                  <wp:posOffset>3416935</wp:posOffset>
                </wp:positionV>
                <wp:extent cx="914400" cy="693420"/>
                <wp:effectExtent l="0" t="0" r="0" b="49530"/>
                <wp:wrapNone/>
                <wp:docPr id="1116" name="组合 164"/>
                <wp:cNvGraphicFramePr/>
                <a:graphic xmlns:a="http://schemas.openxmlformats.org/drawingml/2006/main">
                  <a:graphicData uri="http://schemas.microsoft.com/office/word/2010/wordprocessingGroup">
                    <wpg:wgp>
                      <wpg:cNvGrpSpPr/>
                      <wpg:grpSpPr>
                        <a:xfrm rot="0">
                          <a:off x="0" y="0"/>
                          <a:ext cx="914400" cy="693420"/>
                          <a:chOff x="6885" y="1344607"/>
                          <a:chExt cx="1440" cy="1092"/>
                        </a:xfrm>
                      </wpg:grpSpPr>
                      <wps:wsp>
                        <wps:cNvPr id="27" name="十字星 27"/>
                        <wps:cNvSpPr/>
                        <wps:spPr>
                          <a:xfrm>
                            <a:off x="7245" y="1345385"/>
                            <a:ext cx="284" cy="315"/>
                          </a:xfrm>
                          <a:prstGeom prst="star4">
                            <a:avLst/>
                          </a:prstGeom>
                          <a:solidFill>
                            <a:srgbClr val="00B0F0"/>
                          </a:solidFill>
                          <a:ln w="12700" cap="flat" cmpd="sng">
                            <a:solidFill>
                              <a:srgbClr val="000000"/>
                            </a:solidFill>
                            <a:prstDash val="solid"/>
                            <a:miter/>
                          </a:ln>
                        </wps:spPr>
                        <wps:bodyPr/>
                      </wps:wsp>
                      <wpg:grpSp>
                        <wpg:cNvPr id="28" name="组合 28"/>
                        <wpg:cNvGrpSpPr/>
                        <wpg:grpSpPr>
                          <a:xfrm>
                            <a:off x="6885" y="1344607"/>
                            <a:ext cx="1440" cy="510"/>
                            <a:chOff x="6885" y="1344607"/>
                            <a:chExt cx="1440" cy="510"/>
                          </a:xfrm>
                        </wpg:grpSpPr>
                        <wps:wsp>
                          <wps:cNvPr id="29" name="矩形标注 29"/>
                          <wps:cNvSpPr/>
                          <wps:spPr>
                            <a:xfrm>
                              <a:off x="7155" y="1344712"/>
                              <a:ext cx="899" cy="390"/>
                            </a:xfrm>
                            <a:prstGeom prst="wedgeRectCallout">
                              <a:avLst>
                                <a:gd name="adj1" fmla="val -20810"/>
                                <a:gd name="adj2" fmla="val 112564"/>
                              </a:avLst>
                            </a:prstGeom>
                            <a:solidFill>
                              <a:srgbClr val="FFFFFF"/>
                            </a:solidFill>
                            <a:ln w="12700" cap="flat" cmpd="sng">
                              <a:solidFill>
                                <a:srgbClr val="000000"/>
                              </a:solidFill>
                              <a:prstDash val="solid"/>
                              <a:miter/>
                            </a:ln>
                          </wps:spPr>
                          <wps:txbx>
                            <w:txbxContent>
                              <w:p w14:paraId="3F82A287">
                                <w:pPr>
                                  <w:jc w:val="center"/>
                                </w:pPr>
                              </w:p>
                            </w:txbxContent>
                          </wps:txbx>
                          <wps:bodyPr vert="horz" wrap="square" lIns="91440" tIns="45720" rIns="91440" bIns="45720" anchor="ctr">
                            <a:noAutofit/>
                          </wps:bodyPr>
                        </wps:wsp>
                        <wps:wsp>
                          <wps:cNvPr id="30" name="矩形 30"/>
                          <wps:cNvSpPr/>
                          <wps:spPr>
                            <a:xfrm>
                              <a:off x="6885" y="1344607"/>
                              <a:ext cx="1440" cy="511"/>
                            </a:xfrm>
                            <a:prstGeom prst="rect">
                              <a:avLst/>
                            </a:prstGeom>
                            <a:ln>
                              <a:noFill/>
                            </a:ln>
                          </wps:spPr>
                          <wps:txbx>
                            <w:txbxContent>
                              <w:p w14:paraId="379B9631">
                                <w:pPr>
                                  <w:jc w:val="center"/>
                                  <w:rPr>
                                    <w:rFonts w:hint="eastAsia" w:eastAsia="宋体"/>
                                    <w:sz w:val="18"/>
                                    <w:szCs w:val="18"/>
                                    <w:lang w:val="en-US" w:eastAsia="zh-CN"/>
                                  </w:rPr>
                                </w:pPr>
                                <w:r>
                                  <w:rPr>
                                    <w:rFonts w:hint="eastAsia"/>
                                    <w:sz w:val="18"/>
                                    <w:szCs w:val="18"/>
                                    <w:lang w:val="en-US" w:eastAsia="zh-CN"/>
                                  </w:rPr>
                                  <w:t>建设项目</w:t>
                                </w:r>
                              </w:p>
                            </w:txbxContent>
                          </wps:txbx>
                          <wps:bodyPr vert="horz" wrap="square" lIns="91440" tIns="45720" rIns="91440" bIns="45720" anchor="t">
                            <a:noAutofit/>
                          </wps:bodyPr>
                        </wps:wsp>
                      </wpg:grpSp>
                    </wpg:wgp>
                  </a:graphicData>
                </a:graphic>
              </wp:anchor>
            </w:drawing>
          </mc:Choice>
          <mc:Fallback>
            <w:pict>
              <v:group id="组合 164" o:spid="_x0000_s1026" o:spt="203" style="position:absolute;left:0pt;margin-left:188.35pt;margin-top:269.05pt;height:54.6pt;width:72pt;z-index:251659264;mso-width-relative:page;mso-height-relative:page;" coordorigin="6885,1344607" coordsize="1440,1092" o:gfxdata="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">
                <o:lock v:ext="edit" aspectratio="f"/>
                <v:shape id="_x0000_s1026" o:spid="_x0000_s1026" o:spt="187" type="#_x0000_t187" style="position:absolute;left:7245;top:1345385;height:315;width:284;" fillcolor="#00B0F0" filled="t" stroked="t" coordsize="21600,21600" o:gfxdata="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IHCvS8AAAA&#10;2wAAAA8AAAAAAAAAAQAgAAAAIgAAAGRycy9kb3ducmV2LnhtbFBLAQIUABQAAAAIAIdO4kAzLwWe&#10;OwAAADkAAAAQAAAAAAAAAAEAIAAAAAsBAABkcnMvc2hhcGV4bWwueG1sUEsFBgAAAAAGAAYAWwEA&#10;ALUDAAAAAA==&#10;" adj="8100">
                  <v:fill on="t" focussize="0,0"/>
                  <v:stroke weight="1pt" color="#000000" joinstyle="miter"/>
                  <v:imagedata o:title=""/>
                  <o:lock v:ext="edit" aspectratio="f"/>
                </v:shape>
                <v:group id="_x0000_s1026" o:spid="_x0000_s1026" o:spt="203" style="position:absolute;left:6885;top:1344607;height:510;width:1440;" coordorigin="6885,1344607" coordsize="1440,510" o:gfxdata="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whRXrroAAADbAAAADwAAAAAAAAABACAAAAAiAAAAZHJzL2Rvd25yZXYueG1sUEsB&#10;AhQAFAAAAAgAh07iQDMvBZ47AAAAOQAAABUAAAAAAAAAAQAgAAAACQEAAGRycy9ncm91cHNoYXBl&#10;eG1sLnhtbFBLBQYAAAAABgAGAGABAADGAwAAAAA=&#10;">
                  <o:lock v:ext="edit" aspectratio="f"/>
                  <v:shape id="_x0000_s1026" o:spid="_x0000_s1026" o:spt="61" type="#_x0000_t61" style="position:absolute;left:7155;top:1344712;height:390;width:899;v-text-anchor:middle;" fillcolor="#FFFFFF" filled="t" stroked="t" coordsize="21600,21600" o:gfxdata="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c9iZb4A&#10;AADbAAAADwAAAAAAAAABACAAAAAiAAAAZHJzL2Rvd25yZXYueG1sUEsBAhQAFAAAAAgAh07iQDMv&#10;BZ47AAAAOQAAABAAAAAAAAAAAQAgAAAADQEAAGRycy9zaGFwZXhtbC54bWxQSwUGAAAAAAYABgBb&#10;AQAAtwMAAAAA&#10;" adj="6305,35114">
                    <v:fill on="t" focussize="0,0"/>
                    <v:stroke weight="1pt" color="#000000" joinstyle="miter"/>
                    <v:imagedata o:title=""/>
                    <o:lock v:ext="edit" aspectratio="f"/>
                    <v:textbox>
                      <w:txbxContent>
                        <w:p w14:paraId="3F82A287">
                          <w:pPr>
                            <w:jc w:val="center"/>
                          </w:pPr>
                        </w:p>
                      </w:txbxContent>
                    </v:textbox>
                  </v:shape>
                  <v:rect id="_x0000_s1026" o:spid="_x0000_s1026" o:spt="1" style="position:absolute;left:6885;top:1344607;height:511;width:1440;" filled="f" stroked="f" coordsize="21600,21600" o:gfxdata="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4r4c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79B9631">
                          <w:pPr>
                            <w:jc w:val="center"/>
                            <w:rPr>
                              <w:rFonts w:hint="eastAsia" w:eastAsia="宋体"/>
                              <w:sz w:val="18"/>
                              <w:szCs w:val="18"/>
                              <w:lang w:val="en-US" w:eastAsia="zh-CN"/>
                            </w:rPr>
                          </w:pPr>
                          <w:r>
                            <w:rPr>
                              <w:rFonts w:hint="eastAsia"/>
                              <w:sz w:val="18"/>
                              <w:szCs w:val="18"/>
                              <w:lang w:val="en-US" w:eastAsia="zh-CN"/>
                            </w:rPr>
                            <w:t>建设项目</w:t>
                          </w:r>
                        </w:p>
                      </w:txbxContent>
                    </v:textbox>
                  </v:rect>
                </v:group>
              </v:group>
            </w:pict>
          </mc:Fallback>
        </mc:AlternateContent>
      </w:r>
      <w:r>
        <w:rPr>
          <w:position w:val="-263"/>
        </w:rPr>
        <w:drawing>
          <wp:inline distT="0" distB="0" distL="0" distR="0">
            <wp:extent cx="5266690" cy="8168005"/>
            <wp:effectExtent l="0" t="0" r="10160" b="4445"/>
            <wp:docPr id="1121" name="IM 66"/>
            <wp:cNvGraphicFramePr/>
            <a:graphic xmlns:a="http://schemas.openxmlformats.org/drawingml/2006/main">
              <a:graphicData uri="http://schemas.openxmlformats.org/drawingml/2006/picture">
                <pic:pic xmlns:pic="http://schemas.openxmlformats.org/drawingml/2006/picture">
                  <pic:nvPicPr>
                    <pic:cNvPr id="1121" name="IM 66"/>
                    <pic:cNvPicPr/>
                  </pic:nvPicPr>
                  <pic:blipFill>
                    <a:blip r:embed="rId50" cstate="print"/>
                    <a:srcRect/>
                    <a:stretch>
                      <a:fillRect/>
                    </a:stretch>
                  </pic:blipFill>
                  <pic:spPr>
                    <a:xfrm>
                      <a:off x="0" y="0"/>
                      <a:ext cx="5266690" cy="8168005"/>
                    </a:xfrm>
                    <a:prstGeom prst="rect">
                      <a:avLst/>
                    </a:prstGeom>
                  </pic:spPr>
                </pic:pic>
              </a:graphicData>
            </a:graphic>
          </wp:inline>
        </w:drawing>
      </w:r>
    </w:p>
    <w:p w14:paraId="23C1056C">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eastAsia="zh-CN"/>
        </w:rPr>
      </w:pPr>
      <w:bookmarkStart w:id="147" w:name="_Toc16585"/>
      <w:bookmarkStart w:id="148" w:name="_Toc9538"/>
      <w:bookmarkStart w:id="149" w:name="_Toc28856"/>
      <w:r>
        <w:rPr>
          <w:rFonts w:hint="default" w:ascii="Times New Roman" w:hAnsi="Times New Roman" w:eastAsia="宋体" w:cs="Times New Roman"/>
          <w:b/>
          <w:bCs/>
          <w:color w:val="auto"/>
          <w:kern w:val="0"/>
          <w:sz w:val="24"/>
          <w:szCs w:val="24"/>
          <w:highlight w:val="none"/>
          <w:lang w:val="en-US" w:eastAsia="zh-CN" w:bidi="ar-SA"/>
        </w:rPr>
        <w:t xml:space="preserve">附图13 </w:t>
      </w:r>
      <w:r>
        <w:rPr>
          <w:rFonts w:hint="default" w:ascii="Times New Roman" w:hAnsi="Times New Roman" w:eastAsia="宋体" w:cs="Times New Roman"/>
          <w:b/>
          <w:bCs/>
          <w:color w:val="auto"/>
          <w:sz w:val="24"/>
          <w:szCs w:val="24"/>
          <w:highlight w:val="none"/>
          <w:lang w:eastAsia="zh-CN"/>
        </w:rPr>
        <w:t>项目周边现状图</w:t>
      </w:r>
      <w:bookmarkEnd w:id="147"/>
      <w:bookmarkEnd w:id="148"/>
      <w:bookmarkEnd w:id="149"/>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5"/>
        <w:gridCol w:w="4786"/>
      </w:tblGrid>
      <w:tr w14:paraId="67B8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3F3A0A84">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0" distR="0">
                  <wp:extent cx="2894330" cy="2170430"/>
                  <wp:effectExtent l="0" t="0" r="1270" b="1270"/>
                  <wp:docPr id="1122" name="图片 26" descr="403669d6d9ee04d2edbd3ec40ff0822b"/>
                  <wp:cNvGraphicFramePr/>
                  <a:graphic xmlns:a="http://schemas.openxmlformats.org/drawingml/2006/main">
                    <a:graphicData uri="http://schemas.openxmlformats.org/drawingml/2006/picture">
                      <pic:pic xmlns:pic="http://schemas.openxmlformats.org/drawingml/2006/picture">
                        <pic:nvPicPr>
                          <pic:cNvPr id="1122" name="图片 26" descr="403669d6d9ee04d2edbd3ec40ff0822b"/>
                          <pic:cNvPicPr/>
                        </pic:nvPicPr>
                        <pic:blipFill>
                          <a:blip r:embed="rId51" cstate="print"/>
                          <a:srcRect/>
                          <a:stretch>
                            <a:fillRect/>
                          </a:stretch>
                        </pic:blipFill>
                        <pic:spPr>
                          <a:xfrm>
                            <a:off x="0" y="0"/>
                            <a:ext cx="2894330" cy="2170430"/>
                          </a:xfrm>
                          <a:prstGeom prst="rect">
                            <a:avLst/>
                          </a:prstGeom>
                        </pic:spPr>
                      </pic:pic>
                    </a:graphicData>
                  </a:graphic>
                </wp:inline>
              </w:drawing>
            </w:r>
          </w:p>
        </w:tc>
        <w:tc>
          <w:tcPr>
            <w:tcW w:w="4786" w:type="dxa"/>
            <w:vAlign w:val="center"/>
          </w:tcPr>
          <w:p w14:paraId="2C779600">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drawing>
                <wp:inline distT="0" distB="0" distL="0" distR="0">
                  <wp:extent cx="2374900" cy="1781175"/>
                  <wp:effectExtent l="0" t="0" r="6350" b="9525"/>
                  <wp:docPr id="1123" name="图片 8" descr="1126eedcbb84b18987a0f19c574eab81"/>
                  <wp:cNvGraphicFramePr/>
                  <a:graphic xmlns:a="http://schemas.openxmlformats.org/drawingml/2006/main">
                    <a:graphicData uri="http://schemas.openxmlformats.org/drawingml/2006/picture">
                      <pic:pic xmlns:pic="http://schemas.openxmlformats.org/drawingml/2006/picture">
                        <pic:nvPicPr>
                          <pic:cNvPr id="1123" name="图片 8" descr="1126eedcbb84b18987a0f19c574eab81"/>
                          <pic:cNvPicPr/>
                        </pic:nvPicPr>
                        <pic:blipFill>
                          <a:blip r:embed="rId52" cstate="print"/>
                          <a:srcRect/>
                          <a:stretch>
                            <a:fillRect/>
                          </a:stretch>
                        </pic:blipFill>
                        <pic:spPr>
                          <a:xfrm>
                            <a:off x="0" y="0"/>
                            <a:ext cx="2374900" cy="1781175"/>
                          </a:xfrm>
                          <a:prstGeom prst="rect">
                            <a:avLst/>
                          </a:prstGeom>
                        </pic:spPr>
                      </pic:pic>
                    </a:graphicData>
                  </a:graphic>
                </wp:inline>
              </w:drawing>
            </w:r>
          </w:p>
        </w:tc>
      </w:tr>
      <w:tr w14:paraId="6FFA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1857ECDF">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 xml:space="preserve">西面 </w:t>
            </w:r>
          </w:p>
        </w:tc>
        <w:tc>
          <w:tcPr>
            <w:tcW w:w="4786" w:type="dxa"/>
            <w:vAlign w:val="center"/>
          </w:tcPr>
          <w:p w14:paraId="732CF08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北面 </w:t>
            </w:r>
          </w:p>
        </w:tc>
      </w:tr>
      <w:tr w14:paraId="3A202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52D74DD8">
            <w:pPr>
              <w:pStyle w:val="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0" distR="0">
                  <wp:extent cx="2894330" cy="2170430"/>
                  <wp:effectExtent l="0" t="0" r="1270" b="1270"/>
                  <wp:docPr id="1124" name="图片 10" descr="7c808170631fd41a2c70a595e01e57c1"/>
                  <wp:cNvGraphicFramePr/>
                  <a:graphic xmlns:a="http://schemas.openxmlformats.org/drawingml/2006/main">
                    <a:graphicData uri="http://schemas.openxmlformats.org/drawingml/2006/picture">
                      <pic:pic xmlns:pic="http://schemas.openxmlformats.org/drawingml/2006/picture">
                        <pic:nvPicPr>
                          <pic:cNvPr id="1124" name="图片 10" descr="7c808170631fd41a2c70a595e01e57c1"/>
                          <pic:cNvPicPr/>
                        </pic:nvPicPr>
                        <pic:blipFill>
                          <a:blip r:embed="rId53" cstate="print"/>
                          <a:srcRect/>
                          <a:stretch>
                            <a:fillRect/>
                          </a:stretch>
                        </pic:blipFill>
                        <pic:spPr>
                          <a:xfrm>
                            <a:off x="0" y="0"/>
                            <a:ext cx="2894330" cy="2170430"/>
                          </a:xfrm>
                          <a:prstGeom prst="rect">
                            <a:avLst/>
                          </a:prstGeom>
                        </pic:spPr>
                      </pic:pic>
                    </a:graphicData>
                  </a:graphic>
                </wp:inline>
              </w:drawing>
            </w:r>
          </w:p>
        </w:tc>
        <w:tc>
          <w:tcPr>
            <w:tcW w:w="4786" w:type="dxa"/>
            <w:vAlign w:val="center"/>
          </w:tcPr>
          <w:p w14:paraId="01198710">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drawing>
                <wp:inline distT="0" distB="0" distL="0" distR="0">
                  <wp:extent cx="2894330" cy="2170430"/>
                  <wp:effectExtent l="0" t="0" r="1270" b="1270"/>
                  <wp:docPr id="1125" name="图片 37" descr="1be43994bb18f9ee66bc74deb71e0d68"/>
                  <wp:cNvGraphicFramePr/>
                  <a:graphic xmlns:a="http://schemas.openxmlformats.org/drawingml/2006/main">
                    <a:graphicData uri="http://schemas.openxmlformats.org/drawingml/2006/picture">
                      <pic:pic xmlns:pic="http://schemas.openxmlformats.org/drawingml/2006/picture">
                        <pic:nvPicPr>
                          <pic:cNvPr id="1125" name="图片 37" descr="1be43994bb18f9ee66bc74deb71e0d68"/>
                          <pic:cNvPicPr/>
                        </pic:nvPicPr>
                        <pic:blipFill>
                          <a:blip r:embed="rId54" cstate="print"/>
                          <a:srcRect/>
                          <a:stretch>
                            <a:fillRect/>
                          </a:stretch>
                        </pic:blipFill>
                        <pic:spPr>
                          <a:xfrm>
                            <a:off x="0" y="0"/>
                            <a:ext cx="2894330" cy="2170430"/>
                          </a:xfrm>
                          <a:prstGeom prst="rect">
                            <a:avLst/>
                          </a:prstGeom>
                        </pic:spPr>
                      </pic:pic>
                    </a:graphicData>
                  </a:graphic>
                </wp:inline>
              </w:drawing>
            </w:r>
          </w:p>
        </w:tc>
      </w:tr>
      <w:tr w14:paraId="78A9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785" w:type="dxa"/>
            <w:vAlign w:val="center"/>
          </w:tcPr>
          <w:p w14:paraId="6AED98D7">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南面 </w:t>
            </w:r>
          </w:p>
        </w:tc>
        <w:tc>
          <w:tcPr>
            <w:tcW w:w="4786" w:type="dxa"/>
            <w:vAlign w:val="center"/>
          </w:tcPr>
          <w:p w14:paraId="1567231F">
            <w:pPr>
              <w:pStyle w:val="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 xml:space="preserve">东面 </w:t>
            </w:r>
          </w:p>
        </w:tc>
      </w:tr>
    </w:tbl>
    <w:p w14:paraId="6E4DE663">
      <w:pPr>
        <w:pStyle w:val="2"/>
        <w:rPr>
          <w:rFonts w:hint="default" w:ascii="Times New Roman" w:hAnsi="Times New Roman" w:cs="Times New Roman"/>
          <w:b/>
          <w:bCs/>
          <w:color w:val="auto"/>
          <w:szCs w:val="22"/>
          <w:highlight w:val="none"/>
        </w:rPr>
      </w:pPr>
    </w:p>
    <w:p w14:paraId="1C1967AD">
      <w:pPr>
        <w:pStyle w:val="50"/>
        <w:ind w:right="-120"/>
        <w:rPr>
          <w:rFonts w:hint="default" w:ascii="Times New Roman" w:hAnsi="Times New Roman" w:cs="Times New Roman"/>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638C4185">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0" w:name="_Toc21198"/>
      <w:bookmarkStart w:id="151" w:name="_Toc13241"/>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4758055</wp:posOffset>
                </wp:positionH>
                <wp:positionV relativeFrom="paragraph">
                  <wp:posOffset>2183765</wp:posOffset>
                </wp:positionV>
                <wp:extent cx="1010920" cy="393065"/>
                <wp:effectExtent l="172085" t="9525" r="17145" b="35560"/>
                <wp:wrapNone/>
                <wp:docPr id="1126" name="圆角矩形标注 38"/>
                <wp:cNvGraphicFramePr/>
                <a:graphic xmlns:a="http://schemas.openxmlformats.org/drawingml/2006/main">
                  <a:graphicData uri="http://schemas.microsoft.com/office/word/2010/wordprocessingShape">
                    <wps:wsp>
                      <wps:cNvSpPr/>
                      <wps:spPr>
                        <a:xfrm>
                          <a:off x="0" y="0"/>
                          <a:ext cx="1010920" cy="393064"/>
                        </a:xfrm>
                        <a:prstGeom prst="wedgeRoundRectCallout">
                          <a:avLst>
                            <a:gd name="adj1" fmla="val -63505"/>
                            <a:gd name="adj2" fmla="val 50000"/>
                            <a:gd name="adj3" fmla="val 16667"/>
                          </a:avLst>
                        </a:prstGeom>
                        <a:solidFill>
                          <a:srgbClr val="FFFFFF"/>
                        </a:solidFill>
                        <a:ln w="19050" cap="flat" cmpd="sng">
                          <a:solidFill>
                            <a:srgbClr val="000000"/>
                          </a:solidFill>
                          <a:prstDash val="solid"/>
                          <a:miter/>
                        </a:ln>
                      </wps:spPr>
                      <wps:txbx>
                        <w:txbxContent>
                          <w:p w14:paraId="5A42D41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374.65pt;margin-top:171.95pt;height:30.95pt;width:79.6pt;z-index:251659264;v-text-anchor:middle;mso-width-relative:page;mso-height-relative:page;" fillcolor="#FFFFFF" filled="t" stroked="t" coordsize="21600,21600" o:gfxdata="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0CFf32gAAAAsBAAAPAAAAAAAAAAEAIAAAACIAAABkcnMvZG93bnJldi54&#10;bWxQSwECFAAUAAAACACHTuJAl4yhRWoCAADWBAAADgAAAAAAAAABACAAAAApAQAAZHJzL2Uyb0Rv&#10;Yy54bWxQSwUGAAAAAAYABgBZAQAABQYAAAAA&#10;" adj="-2917,21600,14400">
                <v:fill on="t" focussize="0,0"/>
                <v:stroke weight="1.5pt" color="#000000" joinstyle="miter"/>
                <v:imagedata o:title=""/>
                <o:lock v:ext="edit" aspectratio="f"/>
                <v:textbox>
                  <w:txbxContent>
                    <w:p w14:paraId="5A42D41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7745730</wp:posOffset>
            </wp:positionH>
            <wp:positionV relativeFrom="paragraph">
              <wp:posOffset>238760</wp:posOffset>
            </wp:positionV>
            <wp:extent cx="1045845" cy="1019175"/>
            <wp:effectExtent l="0" t="0" r="1905" b="9525"/>
            <wp:wrapNone/>
            <wp:docPr id="1127" name="图片 26"/>
            <wp:cNvGraphicFramePr/>
            <a:graphic xmlns:a="http://schemas.openxmlformats.org/drawingml/2006/main">
              <a:graphicData uri="http://schemas.openxmlformats.org/drawingml/2006/picture">
                <pic:pic xmlns:pic="http://schemas.openxmlformats.org/drawingml/2006/picture">
                  <pic:nvPicPr>
                    <pic:cNvPr id="1127"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r>
        <w:rPr>
          <w:rFonts w:hint="default" w:ascii="Times New Roman" w:hAnsi="Times New Roman" w:eastAsia="宋体" w:cs="Times New Roman"/>
          <w:b/>
          <w:bCs/>
          <w:color w:val="auto"/>
          <w:kern w:val="0"/>
          <w:sz w:val="24"/>
          <w:szCs w:val="24"/>
          <w:highlight w:val="none"/>
          <w:lang w:val="en-US" w:eastAsia="zh-CN" w:bidi="ar-SA"/>
        </w:rPr>
        <w:t xml:space="preserve">附图14 </w:t>
      </w:r>
      <w:r>
        <w:rPr>
          <w:rFonts w:hint="default" w:ascii="Times New Roman" w:hAnsi="Times New Roman" w:eastAsia="宋体" w:cs="Times New Roman"/>
          <w:b/>
          <w:bCs/>
          <w:color w:val="auto"/>
          <w:sz w:val="24"/>
          <w:szCs w:val="24"/>
          <w:highlight w:val="none"/>
          <w:lang w:val="en-US" w:eastAsia="zh-CN"/>
        </w:rPr>
        <w:t>广东省“三线一单”截图</w:t>
      </w:r>
      <w:bookmarkEnd w:id="150"/>
      <w:r>
        <w:rPr>
          <w:rFonts w:hint="default" w:ascii="Times New Roman" w:hAnsi="Times New Roman" w:eastAsia="宋体" w:cs="Times New Roman"/>
          <w:b/>
          <w:bCs/>
          <w:color w:val="auto"/>
          <w:sz w:val="24"/>
          <w:szCs w:val="24"/>
          <w:highlight w:val="none"/>
          <w:lang w:val="en-US" w:eastAsia="zh-CN"/>
        </w:rPr>
        <w:drawing>
          <wp:inline distT="0" distB="0" distL="0" distR="0">
            <wp:extent cx="8791575" cy="4329430"/>
            <wp:effectExtent l="0" t="0" r="9525" b="13970"/>
            <wp:docPr id="1128" name="图片 131" descr="粤联昌 三线一单1"/>
            <wp:cNvGraphicFramePr/>
            <a:graphic xmlns:a="http://schemas.openxmlformats.org/drawingml/2006/main">
              <a:graphicData uri="http://schemas.openxmlformats.org/drawingml/2006/picture">
                <pic:pic xmlns:pic="http://schemas.openxmlformats.org/drawingml/2006/picture">
                  <pic:nvPicPr>
                    <pic:cNvPr id="1128" name="图片 131" descr="粤联昌 三线一单1"/>
                    <pic:cNvPicPr/>
                  </pic:nvPicPr>
                  <pic:blipFill>
                    <a:blip r:embed="rId55" cstate="print"/>
                    <a:srcRect/>
                    <a:stretch>
                      <a:fillRect/>
                    </a:stretch>
                  </pic:blipFill>
                  <pic:spPr>
                    <a:xfrm>
                      <a:off x="0" y="0"/>
                      <a:ext cx="8791575" cy="4329430"/>
                    </a:xfrm>
                    <a:prstGeom prst="rect">
                      <a:avLst/>
                    </a:prstGeom>
                  </pic:spPr>
                </pic:pic>
              </a:graphicData>
            </a:graphic>
          </wp:inline>
        </w:drawing>
      </w:r>
      <w:bookmarkEnd w:id="151"/>
    </w:p>
    <w:p w14:paraId="3046077E">
      <w:pPr>
        <w:pStyle w:val="42"/>
        <w:rPr>
          <w:rFonts w:hint="default"/>
          <w:lang w:val="en-US" w:eastAsia="zh-CN"/>
        </w:rPr>
      </w:pP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4780915</wp:posOffset>
                </wp:positionH>
                <wp:positionV relativeFrom="paragraph">
                  <wp:posOffset>1957070</wp:posOffset>
                </wp:positionV>
                <wp:extent cx="1010920" cy="393065"/>
                <wp:effectExtent l="172085" t="9525" r="17145" b="35560"/>
                <wp:wrapNone/>
                <wp:docPr id="1129" name="圆角矩形标注 38"/>
                <wp:cNvGraphicFramePr/>
                <a:graphic xmlns:a="http://schemas.openxmlformats.org/drawingml/2006/main">
                  <a:graphicData uri="http://schemas.microsoft.com/office/word/2010/wordprocessingShape">
                    <wps:wsp>
                      <wps:cNvSpPr/>
                      <wps:spPr>
                        <a:xfrm>
                          <a:off x="0" y="0"/>
                          <a:ext cx="1010920" cy="393064"/>
                        </a:xfrm>
                        <a:prstGeom prst="wedgeRoundRectCallout">
                          <a:avLst>
                            <a:gd name="adj1" fmla="val -63505"/>
                            <a:gd name="adj2" fmla="val 50000"/>
                            <a:gd name="adj3" fmla="val 16667"/>
                          </a:avLst>
                        </a:prstGeom>
                        <a:solidFill>
                          <a:srgbClr val="FFFFFF"/>
                        </a:solidFill>
                        <a:ln w="19050" cap="flat" cmpd="sng">
                          <a:solidFill>
                            <a:srgbClr val="000000"/>
                          </a:solidFill>
                          <a:prstDash val="solid"/>
                          <a:miter/>
                        </a:ln>
                      </wps:spPr>
                      <wps:txbx>
                        <w:txbxContent>
                          <w:p w14:paraId="5FF10C30">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376.45pt;margin-top:154.1pt;height:30.95pt;width:79.6pt;z-index:251659264;v-text-anchor:middle;mso-width-relative:page;mso-height-relative:page;" fillcolor="#FFFFFF" filled="t" stroked="t" coordsize="21600,21600" o:gfxdata="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ec8g3ZAAAACwEAAA8AAAAAAAAAAQAgAAAAIgAAAGRycy9kb3ducmV2Lnht&#10;bFBLAQIUABQAAAAIAIdO4kDLEHaKagIAANYEAAAOAAAAAAAAAAEAIAAAACgBAABkcnMvZTJvRG9j&#10;LnhtbFBLBQYAAAAABgAGAFkBAAAEBgAAAAA=&#10;" adj="-2917,21600,14400">
                <v:fill on="t" focussize="0,0"/>
                <v:stroke weight="1.5pt" color="#000000" joinstyle="miter"/>
                <v:imagedata o:title=""/>
                <o:lock v:ext="edit" aspectratio="f"/>
                <v:textbox>
                  <w:txbxContent>
                    <w:p w14:paraId="5FF10C30">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7732395</wp:posOffset>
            </wp:positionH>
            <wp:positionV relativeFrom="paragraph">
              <wp:posOffset>121920</wp:posOffset>
            </wp:positionV>
            <wp:extent cx="1045845" cy="1019175"/>
            <wp:effectExtent l="0" t="0" r="1905" b="9525"/>
            <wp:wrapNone/>
            <wp:docPr id="1130" name="图片 26"/>
            <wp:cNvGraphicFramePr/>
            <a:graphic xmlns:a="http://schemas.openxmlformats.org/drawingml/2006/main">
              <a:graphicData uri="http://schemas.openxmlformats.org/drawingml/2006/picture">
                <pic:pic xmlns:pic="http://schemas.openxmlformats.org/drawingml/2006/picture">
                  <pic:nvPicPr>
                    <pic:cNvPr id="1130" name="图片 26"/>
                    <pic:cNvPicPr/>
                  </pic:nvPicPr>
                  <pic:blipFill>
                    <a:blip r:embed="rId34" cstate="print"/>
                    <a:srcRect/>
                    <a:stretch>
                      <a:fillRect/>
                    </a:stretch>
                  </pic:blipFill>
                  <pic:spPr>
                    <a:xfrm>
                      <a:off x="0" y="0"/>
                      <a:ext cx="1045844" cy="1019175"/>
                    </a:xfrm>
                    <a:prstGeom prst="rect">
                      <a:avLst/>
                    </a:prstGeom>
                    <a:ln>
                      <a:noFill/>
                    </a:ln>
                  </pic:spPr>
                </pic:pic>
              </a:graphicData>
            </a:graphic>
          </wp:anchor>
        </w:drawing>
      </w:r>
      <w:r>
        <w:rPr>
          <w:rFonts w:hint="default"/>
          <w:lang w:val="en-US" w:eastAsia="zh-CN"/>
        </w:rPr>
        <w:drawing>
          <wp:inline distT="0" distB="0" distL="0" distR="0">
            <wp:extent cx="8682990" cy="4305300"/>
            <wp:effectExtent l="0" t="0" r="3810" b="0"/>
            <wp:docPr id="1131" name="图片 132" descr="粤联昌 三线一单2"/>
            <wp:cNvGraphicFramePr/>
            <a:graphic xmlns:a="http://schemas.openxmlformats.org/drawingml/2006/main">
              <a:graphicData uri="http://schemas.openxmlformats.org/drawingml/2006/picture">
                <pic:pic xmlns:pic="http://schemas.openxmlformats.org/drawingml/2006/picture">
                  <pic:nvPicPr>
                    <pic:cNvPr id="1131" name="图片 132" descr="粤联昌 三线一单2"/>
                    <pic:cNvPicPr/>
                  </pic:nvPicPr>
                  <pic:blipFill>
                    <a:blip r:embed="rId56" cstate="print"/>
                    <a:srcRect/>
                    <a:stretch>
                      <a:fillRect/>
                    </a:stretch>
                  </pic:blipFill>
                  <pic:spPr>
                    <a:xfrm>
                      <a:off x="0" y="0"/>
                      <a:ext cx="8682990" cy="4305300"/>
                    </a:xfrm>
                    <a:prstGeom prst="rect">
                      <a:avLst/>
                    </a:prstGeom>
                  </pic:spPr>
                </pic:pic>
              </a:graphicData>
            </a:graphic>
          </wp:inline>
        </w:drawing>
      </w:r>
    </w:p>
    <w:p w14:paraId="042509F0">
      <w:pPr>
        <w:pStyle w:val="4"/>
        <w:ind w:left="0"/>
        <w:jc w:val="center"/>
        <w:rPr>
          <w:rFonts w:hint="default" w:ascii="Times New Roman" w:hAnsi="Times New Roman" w:cs="Times New Roman"/>
          <w:color w:val="auto"/>
          <w:sz w:val="32"/>
          <w:highlight w:val="none"/>
        </w:rPr>
        <w:sectPr>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0C4AE87E">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2" w:name="_Toc27663"/>
      <w:bookmarkStart w:id="153" w:name="_Toc11922"/>
      <w:r>
        <w:rPr>
          <w:rFonts w:hint="default" w:ascii="Times New Roman" w:hAnsi="Times New Roman" w:eastAsia="宋体" w:cs="Times New Roman"/>
          <w:b/>
          <w:bCs/>
          <w:color w:val="auto"/>
          <w:kern w:val="0"/>
          <w:sz w:val="24"/>
          <w:szCs w:val="24"/>
          <w:highlight w:val="none"/>
          <w:lang w:val="en-US" w:eastAsia="zh-CN" w:bidi="ar-SA"/>
        </w:rPr>
        <w:t xml:space="preserve">附图15 </w:t>
      </w:r>
      <w:r>
        <w:rPr>
          <w:rFonts w:hint="eastAsia" w:cs="Times New Roman"/>
          <w:b/>
          <w:bCs/>
          <w:color w:val="auto"/>
          <w:kern w:val="0"/>
          <w:sz w:val="24"/>
          <w:szCs w:val="24"/>
          <w:highlight w:val="none"/>
          <w:lang w:val="en-US" w:eastAsia="zh-CN" w:bidi="ar-SA"/>
        </w:rPr>
        <w:t>本</w:t>
      </w:r>
      <w:r>
        <w:rPr>
          <w:rFonts w:hint="default" w:ascii="Times New Roman" w:hAnsi="Times New Roman" w:eastAsia="宋体" w:cs="Times New Roman"/>
          <w:b/>
          <w:bCs/>
          <w:color w:val="auto"/>
          <w:sz w:val="24"/>
          <w:szCs w:val="24"/>
          <w:highlight w:val="none"/>
          <w:lang w:val="en-US" w:eastAsia="zh-CN"/>
        </w:rPr>
        <w:t>项目与大气</w:t>
      </w:r>
      <w:r>
        <w:rPr>
          <w:rFonts w:hint="default" w:ascii="Times New Roman" w:hAnsi="Times New Roman" w:cs="Times New Roman"/>
          <w:b/>
          <w:bCs/>
          <w:color w:val="auto"/>
          <w:sz w:val="24"/>
          <w:szCs w:val="24"/>
          <w:highlight w:val="none"/>
          <w:lang w:val="en-US" w:eastAsia="zh-CN"/>
        </w:rPr>
        <w:t>引用</w:t>
      </w:r>
      <w:r>
        <w:rPr>
          <w:rFonts w:hint="default" w:ascii="Times New Roman" w:hAnsi="Times New Roman" w:eastAsia="宋体" w:cs="Times New Roman"/>
          <w:b/>
          <w:bCs/>
          <w:color w:val="auto"/>
          <w:sz w:val="24"/>
          <w:szCs w:val="24"/>
          <w:highlight w:val="none"/>
          <w:lang w:val="en-US" w:eastAsia="zh-CN"/>
        </w:rPr>
        <w:t>监测点位置图</w:t>
      </w:r>
      <w:bookmarkEnd w:id="152"/>
      <w:bookmarkEnd w:id="153"/>
    </w:p>
    <w:p w14:paraId="7EC6A978">
      <w:pPr>
        <w:pStyle w:val="4"/>
        <w:ind w:left="0"/>
        <w:jc w:val="center"/>
        <w:rPr>
          <w:rFonts w:hint="default" w:ascii="Times New Roman" w:hAnsi="Times New Roman" w:eastAsia="宋体" w:cs="Times New Roman"/>
          <w:b/>
          <w:bCs/>
          <w:color w:val="auto"/>
          <w:sz w:val="24"/>
          <w:szCs w:val="24"/>
          <w:highlight w:val="none"/>
          <w:lang w:val="en-US" w:eastAsia="zh-CN"/>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r>
        <w:rPr>
          <w:sz w:val="32"/>
        </w:rPr>
        <w:drawing>
          <wp:inline distT="0" distB="0" distL="0" distR="0">
            <wp:extent cx="5568315" cy="7819390"/>
            <wp:effectExtent l="0" t="0" r="13335" b="10160"/>
            <wp:docPr id="1133" name="图片 133" descr="粤联昌 距离监测点"/>
            <wp:cNvGraphicFramePr/>
            <a:graphic xmlns:a="http://schemas.openxmlformats.org/drawingml/2006/main">
              <a:graphicData uri="http://schemas.openxmlformats.org/drawingml/2006/picture">
                <pic:pic xmlns:pic="http://schemas.openxmlformats.org/drawingml/2006/picture">
                  <pic:nvPicPr>
                    <pic:cNvPr id="1133" name="图片 133" descr="粤联昌 距离监测点"/>
                    <pic:cNvPicPr/>
                  </pic:nvPicPr>
                  <pic:blipFill>
                    <a:blip r:embed="rId57" cstate="print"/>
                    <a:srcRect/>
                    <a:stretch>
                      <a:fillRect/>
                    </a:stretch>
                  </pic:blipFill>
                  <pic:spPr>
                    <a:xfrm>
                      <a:off x="0" y="0"/>
                      <a:ext cx="5568315" cy="7819390"/>
                    </a:xfrm>
                    <a:prstGeom prst="rect">
                      <a:avLst/>
                    </a:prstGeom>
                  </pic:spPr>
                </pic:pic>
              </a:graphicData>
            </a:graphic>
          </wp:inline>
        </w:drawing>
      </w:r>
      <w:r>
        <w:rPr>
          <w:sz w:val="24"/>
        </w:rPr>
        <mc:AlternateContent>
          <mc:Choice Requires="wps">
            <w:drawing>
              <wp:anchor distT="0" distB="0" distL="0" distR="0" simplePos="0" relativeHeight="251659264" behindDoc="0" locked="0" layoutInCell="1" allowOverlap="1">
                <wp:simplePos x="0" y="0"/>
                <wp:positionH relativeFrom="column">
                  <wp:posOffset>917575</wp:posOffset>
                </wp:positionH>
                <wp:positionV relativeFrom="paragraph">
                  <wp:posOffset>791210</wp:posOffset>
                </wp:positionV>
                <wp:extent cx="266065" cy="142240"/>
                <wp:effectExtent l="6350" t="6350" r="13335" b="22860"/>
                <wp:wrapNone/>
                <wp:docPr id="37" name="矩形 33"/>
                <wp:cNvGraphicFramePr/>
                <a:graphic xmlns:a="http://schemas.openxmlformats.org/drawingml/2006/main">
                  <a:graphicData uri="http://schemas.microsoft.com/office/word/2010/wordprocessingShape">
                    <wps:wsp>
                      <wps:cNvSpPr/>
                      <wps:spPr>
                        <a:xfrm>
                          <a:off x="0" y="0"/>
                          <a:ext cx="266065" cy="142240"/>
                        </a:xfrm>
                        <a:prstGeom prst="rect">
                          <a:avLst/>
                        </a:prstGeom>
                        <a:ln w="12700" cap="flat" cmpd="sng">
                          <a:solidFill>
                            <a:srgbClr val="FF0000"/>
                          </a:solidFill>
                          <a:prstDash val="solid"/>
                          <a:miter/>
                        </a:ln>
                      </wps:spPr>
                      <wps:bodyPr/>
                    </wps:wsp>
                  </a:graphicData>
                </a:graphic>
              </wp:anchor>
            </w:drawing>
          </mc:Choice>
          <mc:Fallback>
            <w:pict>
              <v:rect id="矩形 33" o:spid="_x0000_s1026" o:spt="1" style="position:absolute;left:0pt;margin-left:72.25pt;margin-top:62.3pt;height:11.2pt;width:20.95pt;z-index:251659264;mso-width-relative:page;mso-height-relative:page;" filled="f" stroked="t" coordsize="21600,21600" o:gfxdata="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4tNxM9gAAAALAQAADwAAAAAAAAABACAAAAAiAAAA&#10;ZHJzL2Rvd25yZXYueG1sUEsBAhQAFAAAAAgAh07iQEFfiwjOAQAAjAMAAA4AAAAAAAAAAQAgAAAA&#10;JwEAAGRycy9lMm9Eb2MueG1sUEsFBgAAAAAGAAYAWQEAAGcFAAAAAA==&#10;">
                <v:fill on="f" focussize="0,0"/>
                <v:stroke weight="1pt" color="#FF0000" joinstyle="miter"/>
                <v:imagedata o:title=""/>
                <o:lock v:ext="edit" aspectratio="f"/>
              </v:rect>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1741805</wp:posOffset>
                </wp:positionH>
                <wp:positionV relativeFrom="paragraph">
                  <wp:posOffset>3871595</wp:posOffset>
                </wp:positionV>
                <wp:extent cx="766445" cy="335280"/>
                <wp:effectExtent l="4445" t="4445" r="10160" b="22225"/>
                <wp:wrapNone/>
                <wp:docPr id="1132" name="文本框 209"/>
                <wp:cNvGraphicFramePr/>
                <a:graphic xmlns:a="http://schemas.openxmlformats.org/drawingml/2006/main">
                  <a:graphicData uri="http://schemas.microsoft.com/office/word/2010/wordprocessingShape">
                    <wps:wsp>
                      <wps:cNvSpPr/>
                      <wps:spPr>
                        <a:xfrm>
                          <a:off x="0" y="0"/>
                          <a:ext cx="766445" cy="335279"/>
                        </a:xfrm>
                        <a:prstGeom prst="rect">
                          <a:avLst/>
                        </a:prstGeom>
                        <a:solidFill>
                          <a:srgbClr val="FFFFFF"/>
                        </a:solidFill>
                        <a:ln w="6350" cap="flat" cmpd="sng">
                          <a:solidFill>
                            <a:srgbClr val="000000"/>
                          </a:solidFill>
                          <a:prstDash val="solid"/>
                          <a:round/>
                        </a:ln>
                      </wps:spPr>
                      <wps:txbx>
                        <w:txbxContent>
                          <w:p w14:paraId="298A300C">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8"/>
                                <w:szCs w:val="28"/>
                                <w:lang w:val="en-US" w:eastAsia="zh-CN"/>
                              </w:rPr>
                            </w:pPr>
                            <w:r>
                              <w:rPr>
                                <w:rFonts w:hint="eastAsia"/>
                                <w:sz w:val="28"/>
                                <w:szCs w:val="28"/>
                                <w:lang w:val="en-US" w:eastAsia="zh-CN"/>
                              </w:rPr>
                              <w:t>2439m</w:t>
                            </w:r>
                          </w:p>
                        </w:txbxContent>
                      </wps:txbx>
                      <wps:bodyPr vert="horz" wrap="square" lIns="91440" tIns="45720" rIns="91440" bIns="45720" anchor="t">
                        <a:noAutofit/>
                      </wps:bodyPr>
                    </wps:wsp>
                  </a:graphicData>
                </a:graphic>
              </wp:anchor>
            </w:drawing>
          </mc:Choice>
          <mc:Fallback>
            <w:pict>
              <v:rect id="文本框 209" o:spid="_x0000_s1026" o:spt="1" style="position:absolute;left:0pt;margin-left:137.15pt;margin-top:304.85pt;height:26.4pt;width:60.35pt;z-index:251659264;mso-width-relative:page;mso-height-relative:page;" fillcolor="#FFFFFF" filled="t" stroked="t" coordsize="21600,21600" o:gfxdata="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8932NoA&#10;AAALAQAADwAAAAAAAAABACAAAAAiAAAAZHJzL2Rvd25yZXYueG1sUEsBAhQAFAAAAAgAh07iQOl5&#10;aNYdAgAAQwQAAA4AAAAAAAAAAQAgAAAAKQEAAGRycy9lMm9Eb2MueG1sUEsFBgAAAAAGAAYAWQEA&#10;ALgFAAAAAA==&#10;">
                <v:fill on="t" focussize="0,0"/>
                <v:stroke weight="0.5pt" color="#000000" joinstyle="round"/>
                <v:imagedata o:title=""/>
                <o:lock v:ext="edit" aspectratio="f"/>
                <v:textbox>
                  <w:txbxContent>
                    <w:p w14:paraId="298A300C">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28"/>
                          <w:szCs w:val="28"/>
                          <w:lang w:val="en-US" w:eastAsia="zh-CN"/>
                        </w:rPr>
                      </w:pPr>
                      <w:r>
                        <w:rPr>
                          <w:rFonts w:hint="eastAsia"/>
                          <w:sz w:val="28"/>
                          <w:szCs w:val="28"/>
                          <w:lang w:val="en-US" w:eastAsia="zh-CN"/>
                        </w:rPr>
                        <w:t>2439m</w:t>
                      </w:r>
                    </w:p>
                  </w:txbxContent>
                </v:textbox>
              </v:rect>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1214120</wp:posOffset>
                </wp:positionH>
                <wp:positionV relativeFrom="paragraph">
                  <wp:posOffset>535940</wp:posOffset>
                </wp:positionV>
                <wp:extent cx="698500" cy="336550"/>
                <wp:effectExtent l="4445" t="4445" r="20955" b="20955"/>
                <wp:wrapNone/>
                <wp:docPr id="33" name="文本框 33"/>
                <wp:cNvGraphicFramePr/>
                <a:graphic xmlns:a="http://schemas.openxmlformats.org/drawingml/2006/main">
                  <a:graphicData uri="http://schemas.microsoft.com/office/word/2010/wordprocessingShape">
                    <wps:wsp>
                      <wps:cNvSpPr txBox="1"/>
                      <wps:spPr>
                        <a:xfrm>
                          <a:off x="0" y="0"/>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FCBF861">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5.6pt;margin-top:42.2pt;height:26.5pt;width:55pt;z-index:251660288;mso-width-relative:page;mso-height-relative:page;" fillcolor="#FFFFFF [3201]" filled="t" stroked="t" coordsize="21600,21600" o:gfxdata="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5jiVWtUAAAAK&#10;AQAADwAAAAAAAAABACAAAAAiAAAAZHJzL2Rvd25yZXYueG1sUEsBAhQAFAAAAAgAh07iQJEE6IZY&#10;AgAAuAQAAA4AAAAAAAAAAQAgAAAAJAEAAGRycy9lMm9Eb2MueG1sUEsFBgAAAAAGAAYAWQEAAO4F&#10;AAAAAA==&#10;">
                <v:fill on="t" focussize="0,0"/>
                <v:stroke weight="0.5pt" color="#000000 [3204]" joinstyle="round"/>
                <v:imagedata o:title=""/>
                <o:lock v:ext="edit" aspectratio="f"/>
                <v:textbox>
                  <w:txbxContent>
                    <w:p w14:paraId="5FCBF861">
                      <w:pPr>
                        <w:rPr>
                          <w:rFonts w:hint="eastAsia" w:eastAsia="宋体"/>
                          <w:lang w:val="en-US" w:eastAsia="zh-CN"/>
                        </w:rPr>
                      </w:pPr>
                      <w:r>
                        <w:rPr>
                          <w:rFonts w:hint="eastAsia"/>
                          <w:lang w:val="en-US" w:eastAsia="zh-CN"/>
                        </w:rPr>
                        <w:t>本项目</w:t>
                      </w:r>
                    </w:p>
                  </w:txbxContent>
                </v:textbox>
              </v:shape>
            </w:pict>
          </mc:Fallback>
        </mc:AlternateContent>
      </w:r>
      <w:r>
        <w:rPr>
          <w:sz w:val="32"/>
        </w:rPr>
        <mc:AlternateContent>
          <mc:Choice Requires="wps">
            <w:drawing>
              <wp:anchor distT="0" distB="0" distL="0" distR="0" simplePos="0" relativeHeight="251659264" behindDoc="0" locked="0" layoutInCell="1" allowOverlap="1">
                <wp:simplePos x="0" y="0"/>
                <wp:positionH relativeFrom="column">
                  <wp:posOffset>1083310</wp:posOffset>
                </wp:positionH>
                <wp:positionV relativeFrom="paragraph">
                  <wp:posOffset>933450</wp:posOffset>
                </wp:positionV>
                <wp:extent cx="1087120" cy="6537960"/>
                <wp:effectExtent l="19050" t="3175" r="74930" b="12065"/>
                <wp:wrapNone/>
                <wp:docPr id="1134" name="直接箭头连接符 208"/>
                <wp:cNvGraphicFramePr/>
                <a:graphic xmlns:a="http://schemas.openxmlformats.org/drawingml/2006/main">
                  <a:graphicData uri="http://schemas.microsoft.com/office/word/2010/wordprocessingShape">
                    <wps:wsp>
                      <wps:cNvCnPr/>
                      <wps:spPr>
                        <a:xfrm>
                          <a:off x="0" y="0"/>
                          <a:ext cx="1087120" cy="6537960"/>
                        </a:xfrm>
                        <a:prstGeom prst="straightConnector1">
                          <a:avLst/>
                        </a:prstGeom>
                        <a:ln w="38100" cap="flat" cmpd="sng">
                          <a:solidFill>
                            <a:srgbClr val="5B9BD5"/>
                          </a:solidFill>
                          <a:prstDash val="solid"/>
                          <a:miter/>
                          <a:tailEnd type="arrow" w="med" len="med"/>
                        </a:ln>
                      </wps:spPr>
                      <wps:bodyPr/>
                    </wps:wsp>
                  </a:graphicData>
                </a:graphic>
              </wp:anchor>
            </w:drawing>
          </mc:Choice>
          <mc:Fallback>
            <w:pict>
              <v:shape id="直接箭头连接符 208" o:spid="_x0000_s1026" o:spt="32" type="#_x0000_t32" style="position:absolute;left:0pt;margin-left:85.3pt;margin-top:73.5pt;height:514.8pt;width:85.6pt;z-index:251659264;mso-width-relative:page;mso-height-relative:page;" filled="f" stroked="t" coordsize="21600,21600" o:gfxdata="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81wme9kAAAAMAQAADwAAAAAAAAABACAA&#10;AAAiAAAAZHJzL2Rvd25yZXYueG1sUEsBAhQAFAAAAAgAh07iQAj50BoMAgAA2QMAAA4AAAAAAAAA&#10;AQAgAAAAKAEAAGRycy9lMm9Eb2MueG1sUEsFBgAAAAAGAAYAWQEAAKYFAAAAAA==&#10;">
                <v:fill on="f" focussize="0,0"/>
                <v:stroke weight="3pt" color="#5B9BD5" joinstyle="miter" endarrow="open"/>
                <v:imagedata o:title=""/>
                <o:lock v:ext="edit" aspectratio="f"/>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4324350</wp:posOffset>
            </wp:positionH>
            <wp:positionV relativeFrom="paragraph">
              <wp:posOffset>68580</wp:posOffset>
            </wp:positionV>
            <wp:extent cx="1344930" cy="1311275"/>
            <wp:effectExtent l="0" t="0" r="7620" b="3175"/>
            <wp:wrapNone/>
            <wp:docPr id="1135" name="图片 26"/>
            <wp:cNvGraphicFramePr/>
            <a:graphic xmlns:a="http://schemas.openxmlformats.org/drawingml/2006/main">
              <a:graphicData uri="http://schemas.openxmlformats.org/drawingml/2006/picture">
                <pic:pic xmlns:pic="http://schemas.openxmlformats.org/drawingml/2006/picture">
                  <pic:nvPicPr>
                    <pic:cNvPr id="1135" name="图片 26"/>
                    <pic:cNvPicPr/>
                  </pic:nvPicPr>
                  <pic:blipFill>
                    <a:blip r:embed="rId34" cstate="print"/>
                    <a:srcRect/>
                    <a:stretch>
                      <a:fillRect/>
                    </a:stretch>
                  </pic:blipFill>
                  <pic:spPr>
                    <a:xfrm>
                      <a:off x="0" y="0"/>
                      <a:ext cx="1344930" cy="1311275"/>
                    </a:xfrm>
                    <a:prstGeom prst="rect">
                      <a:avLst/>
                    </a:prstGeom>
                    <a:ln>
                      <a:noFill/>
                    </a:ln>
                  </pic:spPr>
                </pic:pic>
              </a:graphicData>
            </a:graphic>
          </wp:anchor>
        </w:drawing>
      </w:r>
    </w:p>
    <w:p w14:paraId="3B50AD7A">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4" w:name="_Toc4110"/>
      <w:bookmarkStart w:id="155" w:name="_Toc26330"/>
      <w:r>
        <w:rPr>
          <w:rFonts w:hint="default" w:ascii="Times New Roman" w:hAnsi="Times New Roman" w:eastAsia="宋体" w:cs="Times New Roman"/>
          <w:b/>
          <w:bCs/>
          <w:color w:val="auto"/>
          <w:kern w:val="0"/>
          <w:sz w:val="24"/>
          <w:szCs w:val="24"/>
          <w:highlight w:val="none"/>
          <w:lang w:val="en-US" w:eastAsia="zh-CN" w:bidi="ar-SA"/>
        </w:rPr>
        <w:t xml:space="preserve">附图16 </w:t>
      </w:r>
      <w:r>
        <w:rPr>
          <w:rFonts w:hint="default" w:ascii="Times New Roman" w:hAnsi="Times New Roman" w:eastAsia="宋体" w:cs="Times New Roman"/>
          <w:b/>
          <w:bCs/>
          <w:color w:val="auto"/>
          <w:sz w:val="24"/>
          <w:szCs w:val="24"/>
          <w:highlight w:val="none"/>
          <w:lang w:val="en-US" w:eastAsia="zh-CN"/>
        </w:rPr>
        <w:t>乐昌产业转移工业园管网分布图</w:t>
      </w:r>
      <w:bookmarkEnd w:id="154"/>
      <w:bookmarkEnd w:id="155"/>
    </w:p>
    <w:p w14:paraId="19C12AB5">
      <w:pPr>
        <w:pStyle w:val="2"/>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1773555</wp:posOffset>
                </wp:positionH>
                <wp:positionV relativeFrom="paragraph">
                  <wp:posOffset>4218940</wp:posOffset>
                </wp:positionV>
                <wp:extent cx="1010920" cy="405130"/>
                <wp:effectExtent l="9525" t="9525" r="27305" b="233045"/>
                <wp:wrapNone/>
                <wp:docPr id="1136" name="圆角矩形标注 38"/>
                <wp:cNvGraphicFramePr/>
                <a:graphic xmlns:a="http://schemas.openxmlformats.org/drawingml/2006/main">
                  <a:graphicData uri="http://schemas.microsoft.com/office/word/2010/wordprocessingShape">
                    <wps:wsp>
                      <wps:cNvSpPr/>
                      <wps:spPr>
                        <a:xfrm>
                          <a:off x="0" y="0"/>
                          <a:ext cx="1010919" cy="405129"/>
                        </a:xfrm>
                        <a:prstGeom prst="wedgeRoundRectCallout">
                          <a:avLst>
                            <a:gd name="adj1" fmla="val -21536"/>
                            <a:gd name="adj2" fmla="val 102868"/>
                            <a:gd name="adj3" fmla="val 16667"/>
                          </a:avLst>
                        </a:prstGeom>
                        <a:solidFill>
                          <a:srgbClr val="FFFFFF"/>
                        </a:solidFill>
                        <a:ln w="19050" cap="flat" cmpd="sng">
                          <a:solidFill>
                            <a:srgbClr val="000000"/>
                          </a:solidFill>
                          <a:prstDash val="solid"/>
                          <a:miter/>
                        </a:ln>
                      </wps:spPr>
                      <wps:txbx>
                        <w:txbxContent>
                          <w:p w14:paraId="419CE1E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139.65pt;margin-top:332.2pt;height:31.9pt;width:79.6pt;z-index:251659264;v-text-anchor:middle;mso-width-relative:page;mso-height-relative:page;" fillcolor="#FFFFFF" filled="t" stroked="t" coordsize="21600,21600" o:gfxdata="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sx/VdsAAAALAQAADwAAAAAAAAABACAAAAAiAAAAZHJzL2Rvd25y&#10;ZXYueG1sUEsBAhQAFAAAAAgAh07iQJ2iWcJtAgAA1wQAAA4AAAAAAAAAAQAgAAAAKgEAAGRycy9l&#10;Mm9Eb2MueG1sUEsFBgAAAAAGAAYAWQEAAAkGAAAAAA==&#10;" adj="6148,33019,14400">
                <v:fill on="t" focussize="0,0"/>
                <v:stroke weight="1.5pt" color="#000000" joinstyle="miter"/>
                <v:imagedata o:title=""/>
                <o:lock v:ext="edit" aspectratio="f"/>
                <v:textbox>
                  <w:txbxContent>
                    <w:p w14:paraId="419CE1E1">
                      <w:pPr>
                        <w:jc w:val="center"/>
                        <w:rPr>
                          <w:rFonts w:hint="eastAsia" w:eastAsia="宋体"/>
                          <w:color w:val="auto"/>
                          <w:lang w:eastAsia="zh-CN"/>
                          <w14:textOutline w14:w="9525" w14:cap="flat" w14:cmpd="sng">
                            <w14:solidFill>
                              <w14:srgbClr w14:val="000000"/>
                            </w14:solidFill>
                            <w14:prstDash w14:val="solid"/>
                            <w14:round/>
                          </w14:textOutline>
                        </w:rPr>
                      </w:pPr>
                      <w:r>
                        <w:rPr>
                          <w:rFonts w:hint="eastAsia"/>
                          <w:color w:val="auto"/>
                          <w:lang w:eastAsia="zh-CN"/>
                          <w14:textOutline w14:w="9525" w14:cap="flat" w14:cmpd="sng">
                            <w14:solidFill>
                              <w14:srgbClr w14:val="000000"/>
                            </w14:solidFill>
                            <w14:prstDash w14:val="solid"/>
                            <w14:round/>
                          </w14:textOutline>
                        </w:rPr>
                        <w:t>建设项目</w:t>
                      </w:r>
                    </w:p>
                  </w:txbxContent>
                </v:textbox>
              </v:shape>
            </w:pict>
          </mc:Fallback>
        </mc:AlternateContent>
      </w:r>
      <w:r>
        <w:rPr>
          <w:sz w:val="24"/>
        </w:rPr>
        <mc:AlternateContent>
          <mc:Choice Requires="wps">
            <w:drawing>
              <wp:anchor distT="0" distB="0" distL="0" distR="0" simplePos="0" relativeHeight="251659264" behindDoc="0" locked="0" layoutInCell="1" allowOverlap="1">
                <wp:simplePos x="0" y="0"/>
                <wp:positionH relativeFrom="column">
                  <wp:posOffset>2014220</wp:posOffset>
                </wp:positionH>
                <wp:positionV relativeFrom="paragraph">
                  <wp:posOffset>4892040</wp:posOffset>
                </wp:positionV>
                <wp:extent cx="116205" cy="103505"/>
                <wp:effectExtent l="6350" t="6350" r="10795" b="23495"/>
                <wp:wrapNone/>
                <wp:docPr id="1137" name="矩形 196"/>
                <wp:cNvGraphicFramePr/>
                <a:graphic xmlns:a="http://schemas.openxmlformats.org/drawingml/2006/main">
                  <a:graphicData uri="http://schemas.microsoft.com/office/word/2010/wordprocessingShape">
                    <wps:wsp>
                      <wps:cNvSpPr/>
                      <wps:spPr>
                        <a:xfrm>
                          <a:off x="0" y="0"/>
                          <a:ext cx="116204" cy="103504"/>
                        </a:xfrm>
                        <a:prstGeom prst="rect">
                          <a:avLst/>
                        </a:prstGeom>
                        <a:solidFill>
                          <a:srgbClr val="FF0000"/>
                        </a:solidFill>
                        <a:ln w="12700" cap="flat" cmpd="sng">
                          <a:solidFill>
                            <a:srgbClr val="000000"/>
                          </a:solidFill>
                          <a:prstDash val="solid"/>
                          <a:miter/>
                        </a:ln>
                      </wps:spPr>
                      <wps:bodyPr/>
                    </wps:wsp>
                  </a:graphicData>
                </a:graphic>
              </wp:anchor>
            </w:drawing>
          </mc:Choice>
          <mc:Fallback>
            <w:pict>
              <v:rect id="矩形 196" o:spid="_x0000_s1026" o:spt="1" style="position:absolute;left:0pt;margin-left:158.6pt;margin-top:385.2pt;height:8.15pt;width:9.15pt;z-index:251659264;mso-width-relative:page;mso-height-relative:page;" fillcolor="#FF0000" filled="t" stroked="t" coordsize="21600,21600" o:gfxdata="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YDnp2gAAAAsBAAAPAAAAAAAA&#10;AAEAIAAAACIAAABkcnMvZG93bnJldi54bWxQSwECFAAUAAAACACHTuJAMkFfQdcBAADDAwAADgAA&#10;AAAAAAABACAAAAApAQAAZHJzL2Uyb0RvYy54bWxQSwUGAAAAAAYABgBZAQAAcgUAAAAA&#10;">
                <v:fill on="t" focussize="0,0"/>
                <v:stroke weight="1pt" color="#000000" joinstyle="miter"/>
                <v:imagedata o:title=""/>
                <o:lock v:ext="edit" aspectratio="f"/>
              </v:rect>
            </w:pict>
          </mc:Fallback>
        </mc:AlternateContent>
      </w:r>
      <w:r>
        <w:rPr>
          <w:rFonts w:hint="default" w:ascii="Times New Roman" w:hAnsi="Times New Roman" w:cs="Times New Roman"/>
          <w:color w:val="auto"/>
          <w:highlight w:val="none"/>
        </w:rPr>
        <w:drawing>
          <wp:inline distT="0" distB="0" distL="0" distR="0">
            <wp:extent cx="5361305" cy="7717790"/>
            <wp:effectExtent l="0" t="0" r="10795" b="16510"/>
            <wp:docPr id="1138" name="图片 3"/>
            <wp:cNvGraphicFramePr/>
            <a:graphic xmlns:a="http://schemas.openxmlformats.org/drawingml/2006/main">
              <a:graphicData uri="http://schemas.openxmlformats.org/drawingml/2006/picture">
                <pic:pic xmlns:pic="http://schemas.openxmlformats.org/drawingml/2006/picture">
                  <pic:nvPicPr>
                    <pic:cNvPr id="1138" name="图片 3"/>
                    <pic:cNvPicPr/>
                  </pic:nvPicPr>
                  <pic:blipFill>
                    <a:blip r:embed="rId58" cstate="print"/>
                    <a:srcRect/>
                    <a:stretch>
                      <a:fillRect/>
                    </a:stretch>
                  </pic:blipFill>
                  <pic:spPr>
                    <a:xfrm>
                      <a:off x="0" y="0"/>
                      <a:ext cx="5361305" cy="7717790"/>
                    </a:xfrm>
                    <a:prstGeom prst="rect">
                      <a:avLst/>
                    </a:prstGeom>
                    <a:ln>
                      <a:noFill/>
                    </a:ln>
                  </pic:spPr>
                </pic:pic>
              </a:graphicData>
            </a:graphic>
          </wp:inline>
        </w:drawing>
      </w:r>
    </w:p>
    <w:p w14:paraId="40E059DA">
      <w:pPr>
        <w:rPr>
          <w:rFonts w:hint="default" w:ascii="Times New Roman" w:hAnsi="Times New Roman" w:cs="Times New Roman"/>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0" w:num="1"/>
          <w:docGrid w:type="lines" w:linePitch="334" w:charSpace="0"/>
        </w:sectPr>
      </w:pPr>
    </w:p>
    <w:p w14:paraId="119E0648">
      <w:pPr>
        <w:pStyle w:val="43"/>
        <w:numPr>
          <w:ilvl w:val="0"/>
          <w:numId w:val="0"/>
        </w:numPr>
        <w:adjustRightInd/>
        <w:spacing w:line="240" w:lineRule="auto"/>
        <w:ind w:left="0" w:leftChars="0" w:firstLine="397" w:firstLineChars="0"/>
        <w:jc w:val="left"/>
        <w:textAlignment w:val="auto"/>
        <w:outlineLvl w:val="0"/>
        <w:rPr>
          <w:rFonts w:hint="default" w:ascii="Times New Roman" w:hAnsi="Times New Roman" w:eastAsia="宋体" w:cs="Times New Roman"/>
          <w:b/>
          <w:bCs/>
          <w:color w:val="auto"/>
          <w:sz w:val="24"/>
          <w:szCs w:val="24"/>
          <w:highlight w:val="none"/>
          <w:lang w:val="en-US" w:eastAsia="zh-CN"/>
        </w:rPr>
      </w:pPr>
      <w:bookmarkStart w:id="156" w:name="_Toc9079"/>
      <w:bookmarkStart w:id="157" w:name="_Toc31680"/>
      <w:r>
        <w:rPr>
          <w:rFonts w:hint="default" w:ascii="Times New Roman" w:hAnsi="Times New Roman" w:eastAsia="宋体" w:cs="Times New Roman"/>
          <w:b/>
          <w:bCs/>
          <w:color w:val="auto"/>
          <w:kern w:val="0"/>
          <w:sz w:val="24"/>
          <w:szCs w:val="24"/>
          <w:highlight w:val="none"/>
          <w:lang w:val="en-US" w:eastAsia="zh-CN" w:bidi="ar-SA"/>
        </w:rPr>
        <w:t xml:space="preserve">附图17 </w:t>
      </w:r>
      <w:r>
        <w:rPr>
          <w:rFonts w:hint="eastAsia" w:cs="Times New Roman"/>
          <w:b/>
          <w:bCs/>
          <w:color w:val="auto"/>
          <w:sz w:val="24"/>
          <w:szCs w:val="24"/>
          <w:highlight w:val="none"/>
          <w:lang w:val="en-US" w:eastAsia="zh-CN"/>
        </w:rPr>
        <w:t>本</w:t>
      </w:r>
      <w:r>
        <w:rPr>
          <w:rFonts w:hint="default" w:ascii="Times New Roman" w:hAnsi="Times New Roman" w:eastAsia="宋体" w:cs="Times New Roman"/>
          <w:b/>
          <w:bCs/>
          <w:color w:val="auto"/>
          <w:sz w:val="24"/>
          <w:szCs w:val="24"/>
          <w:highlight w:val="none"/>
          <w:lang w:val="en-US" w:eastAsia="zh-CN"/>
        </w:rPr>
        <w:t>项目与韶关市区武江饮用水水源保护区关系示意图</w:t>
      </w:r>
      <w:bookmarkEnd w:id="156"/>
      <w:bookmarkEnd w:id="157"/>
    </w:p>
    <w:p w14:paraId="3D92E806">
      <w:pPr>
        <w:jc w:val="center"/>
      </w:pPr>
      <w:r>
        <w:rPr>
          <w:sz w:val="24"/>
        </w:rPr>
        <mc:AlternateContent>
          <mc:Choice Requires="wps">
            <w:drawing>
              <wp:anchor distT="0" distB="0" distL="0" distR="0" simplePos="0" relativeHeight="251659264" behindDoc="0" locked="0" layoutInCell="1" allowOverlap="1">
                <wp:simplePos x="0" y="0"/>
                <wp:positionH relativeFrom="column">
                  <wp:posOffset>5585460</wp:posOffset>
                </wp:positionH>
                <wp:positionV relativeFrom="paragraph">
                  <wp:posOffset>488950</wp:posOffset>
                </wp:positionV>
                <wp:extent cx="127000" cy="76200"/>
                <wp:effectExtent l="5080" t="4445" r="20320" b="14605"/>
                <wp:wrapNone/>
                <wp:docPr id="36" name="矩形 33"/>
                <wp:cNvGraphicFramePr/>
                <a:graphic xmlns:a="http://schemas.openxmlformats.org/drawingml/2006/main">
                  <a:graphicData uri="http://schemas.microsoft.com/office/word/2010/wordprocessingShape">
                    <wps:wsp>
                      <wps:cNvSpPr/>
                      <wps:spPr>
                        <a:xfrm>
                          <a:off x="0" y="0"/>
                          <a:ext cx="127000" cy="76200"/>
                        </a:xfrm>
                        <a:prstGeom prst="rect">
                          <a:avLst/>
                        </a:prstGeom>
                        <a:ln w="9525" cap="flat" cmpd="sng">
                          <a:solidFill>
                            <a:srgbClr val="FF0000"/>
                          </a:solidFill>
                          <a:prstDash val="solid"/>
                          <a:miter/>
                        </a:ln>
                      </wps:spPr>
                      <wps:bodyPr/>
                    </wps:wsp>
                  </a:graphicData>
                </a:graphic>
              </wp:anchor>
            </w:drawing>
          </mc:Choice>
          <mc:Fallback>
            <w:pict>
              <v:rect id="矩形 33" o:spid="_x0000_s1026" o:spt="1" style="position:absolute;left:0pt;margin-left:439.8pt;margin-top:38.5pt;height:6pt;width:10pt;z-index:251659264;mso-width-relative:page;mso-height-relative:page;" filled="f" stroked="t" coordsize="21600,21600" o:gfxdata="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Cr40i2AAAAAkBAAAPAAAAAAAAAAEAIAAAACIAAABkcnMv&#10;ZG93bnJldi54bWxQSwECFAAUAAAACACHTuJApmbUHMoBAACKAwAADgAAAAAAAAABACAAAAAnAQAA&#10;ZHJzL2Uyb0RvYy54bWxQSwUGAAAAAAYABgBZAQAAYwUAAAAA&#10;">
                <v:fill on="f" focussize="0,0"/>
                <v:stroke color="#FF0000" joinstyle="miter"/>
                <v:imagedata o:title=""/>
                <o:lock v:ext="edit" aspectratio="f"/>
              </v:rect>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3932555</wp:posOffset>
                </wp:positionH>
                <wp:positionV relativeFrom="paragraph">
                  <wp:posOffset>1936750</wp:posOffset>
                </wp:positionV>
                <wp:extent cx="520700" cy="259715"/>
                <wp:effectExtent l="5080" t="4445" r="7620" b="21590"/>
                <wp:wrapNone/>
                <wp:docPr id="1139" name="文本框 204"/>
                <wp:cNvGraphicFramePr/>
                <a:graphic xmlns:a="http://schemas.openxmlformats.org/drawingml/2006/main">
                  <a:graphicData uri="http://schemas.microsoft.com/office/word/2010/wordprocessingShape">
                    <wps:wsp>
                      <wps:cNvSpPr/>
                      <wps:spPr>
                        <a:xfrm>
                          <a:off x="0" y="0"/>
                          <a:ext cx="520699" cy="259714"/>
                        </a:xfrm>
                        <a:prstGeom prst="rect">
                          <a:avLst/>
                        </a:prstGeom>
                        <a:solidFill>
                          <a:srgbClr val="FFFFFF"/>
                        </a:solidFill>
                        <a:ln w="6350" cap="flat" cmpd="sng">
                          <a:solidFill>
                            <a:srgbClr val="000000"/>
                          </a:solidFill>
                          <a:prstDash val="solid"/>
                          <a:round/>
                        </a:ln>
                      </wps:spPr>
                      <wps:txbx>
                        <w:txbxContent>
                          <w:p w14:paraId="59607180">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18"/>
                                <w:szCs w:val="18"/>
                                <w:lang w:val="en-US" w:eastAsia="zh-CN"/>
                              </w:rPr>
                            </w:pPr>
                            <w:r>
                              <w:rPr>
                                <w:rFonts w:hint="eastAsia"/>
                                <w:sz w:val="18"/>
                                <w:szCs w:val="18"/>
                                <w:lang w:val="en-US" w:eastAsia="zh-CN"/>
                              </w:rPr>
                              <w:t>4409m</w:t>
                            </w:r>
                          </w:p>
                        </w:txbxContent>
                      </wps:txbx>
                      <wps:bodyPr vert="horz" wrap="square" lIns="91440" tIns="45720" rIns="91440" bIns="45720" anchor="t">
                        <a:noAutofit/>
                      </wps:bodyPr>
                    </wps:wsp>
                  </a:graphicData>
                </a:graphic>
              </wp:anchor>
            </w:drawing>
          </mc:Choice>
          <mc:Fallback>
            <w:pict>
              <v:rect id="文本框 204" o:spid="_x0000_s1026" o:spt="1" style="position:absolute;left:0pt;margin-left:309.65pt;margin-top:152.5pt;height:20.45pt;width:41pt;z-index:251659264;mso-width-relative:page;mso-height-relative:page;" fillcolor="#FFFFFF" filled="t" stroked="t" coordsize="21600,21600" o:gfxdata="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agOYzYAAAA&#10;CwEAAA8AAAAAAAAAAQAgAAAAIgAAAGRycy9kb3ducmV2LnhtbFBLAQIUABQAAAAIAIdO4kC8R2pN&#10;HQIAAEMEAAAOAAAAAAAAAAEAIAAAACcBAABkcnMvZTJvRG9jLnhtbFBLBQYAAAAABgAGAFkBAAC2&#10;BQAAAAA=&#10;">
                <v:fill on="t" focussize="0,0"/>
                <v:stroke weight="0.5pt" color="#000000" joinstyle="round"/>
                <v:imagedata o:title=""/>
                <o:lock v:ext="edit" aspectratio="f"/>
                <v:textbox>
                  <w:txbxContent>
                    <w:p w14:paraId="59607180">
                      <w:pPr>
                        <w:keepNext w:val="0"/>
                        <w:keepLines w:val="0"/>
                        <w:pageBreakBefore w:val="0"/>
                        <w:widowControl w:val="0"/>
                        <w:kinsoku/>
                        <w:wordWrap/>
                        <w:overflowPunct/>
                        <w:topLinePunct w:val="0"/>
                        <w:bidi w:val="0"/>
                        <w:adjustRightInd/>
                        <w:snapToGrid/>
                        <w:spacing w:line="240" w:lineRule="auto"/>
                        <w:textAlignment w:val="auto"/>
                        <w:rPr>
                          <w:rFonts w:hint="default" w:eastAsia="宋体"/>
                          <w:sz w:val="18"/>
                          <w:szCs w:val="18"/>
                          <w:lang w:val="en-US" w:eastAsia="zh-CN"/>
                        </w:rPr>
                      </w:pPr>
                      <w:r>
                        <w:rPr>
                          <w:rFonts w:hint="eastAsia"/>
                          <w:sz w:val="18"/>
                          <w:szCs w:val="18"/>
                          <w:lang w:val="en-US" w:eastAsia="zh-CN"/>
                        </w:rPr>
                        <w:t>4409m</w:t>
                      </w:r>
                    </w:p>
                  </w:txbxContent>
                </v:textbox>
              </v:rect>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5743575</wp:posOffset>
                </wp:positionH>
                <wp:positionV relativeFrom="paragraph">
                  <wp:posOffset>306070</wp:posOffset>
                </wp:positionV>
                <wp:extent cx="698500" cy="336550"/>
                <wp:effectExtent l="4445" t="4445" r="20955" b="20955"/>
                <wp:wrapNone/>
                <wp:docPr id="34" name="文本框 34"/>
                <wp:cNvGraphicFramePr/>
                <a:graphic xmlns:a="http://schemas.openxmlformats.org/drawingml/2006/main">
                  <a:graphicData uri="http://schemas.microsoft.com/office/word/2010/wordprocessingShape">
                    <wps:wsp>
                      <wps:cNvSpPr txBox="1"/>
                      <wps:spPr>
                        <a:xfrm>
                          <a:off x="0" y="0"/>
                          <a:ext cx="698500" cy="3365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1F39AC">
                            <w:pPr>
                              <w:rPr>
                                <w:rFonts w:hint="eastAsia" w:eastAsia="宋体"/>
                                <w:lang w:val="en-US" w:eastAsia="zh-CN"/>
                              </w:rPr>
                            </w:pPr>
                            <w:r>
                              <w:rPr>
                                <w:rFonts w:hint="eastAsia"/>
                                <w:lang w:val="en-US" w:eastAsia="zh-CN"/>
                              </w:rPr>
                              <w:t>本项目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2.25pt;margin-top:24.1pt;height:26.5pt;width:55pt;z-index:251660288;mso-width-relative:page;mso-height-relative:page;" fillcolor="#FFFFFF [3201]" filled="t" stroked="t" coordsize="21600,21600" o:gfxdata="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b88snWAAAA&#10;CwEAAA8AAAAAAAAAAQAgAAAAIgAAAGRycy9kb3ducmV2LnhtbFBLAQIUABQAAAAIAIdO4kDPBLg1&#10;WAIAALgEAAAOAAAAAAAAAAEAIAAAACUBAABkcnMvZTJvRG9jLnhtbFBLBQYAAAAABgAGAFkBAADv&#10;BQAAAAA=&#10;">
                <v:fill on="t" focussize="0,0"/>
                <v:stroke weight="0.5pt" color="#000000 [3204]" joinstyle="round"/>
                <v:imagedata o:title=""/>
                <o:lock v:ext="edit" aspectratio="f"/>
                <v:textbox>
                  <w:txbxContent>
                    <w:p w14:paraId="7A1F39AC">
                      <w:pPr>
                        <w:rPr>
                          <w:rFonts w:hint="eastAsia" w:eastAsia="宋体"/>
                          <w:lang w:val="en-US" w:eastAsia="zh-CN"/>
                        </w:rPr>
                      </w:pPr>
                      <w:r>
                        <w:rPr>
                          <w:rFonts w:hint="eastAsia"/>
                          <w:lang w:val="en-US" w:eastAsia="zh-CN"/>
                        </w:rPr>
                        <w:t>本项目</w:t>
                      </w:r>
                    </w:p>
                  </w:txbxContent>
                </v:textbox>
              </v:shape>
            </w:pict>
          </mc:Fallback>
        </mc:AlternateContent>
      </w:r>
      <w:r>
        <w:rPr>
          <w:sz w:val="21"/>
        </w:rPr>
        <w:drawing>
          <wp:inline distT="0" distB="0" distL="0" distR="0">
            <wp:extent cx="5941695" cy="5425440"/>
            <wp:effectExtent l="0" t="0" r="1905" b="3810"/>
            <wp:docPr id="1142" name="图片 134" descr="粤联昌 距离水系"/>
            <wp:cNvGraphicFramePr/>
            <a:graphic xmlns:a="http://schemas.openxmlformats.org/drawingml/2006/main">
              <a:graphicData uri="http://schemas.openxmlformats.org/drawingml/2006/picture">
                <pic:pic xmlns:pic="http://schemas.openxmlformats.org/drawingml/2006/picture">
                  <pic:nvPicPr>
                    <pic:cNvPr id="1142" name="图片 134" descr="粤联昌 距离水系"/>
                    <pic:cNvPicPr/>
                  </pic:nvPicPr>
                  <pic:blipFill>
                    <a:blip r:embed="rId59" cstate="print"/>
                    <a:srcRect/>
                    <a:stretch>
                      <a:fillRect/>
                    </a:stretch>
                  </pic:blipFill>
                  <pic:spPr>
                    <a:xfrm>
                      <a:off x="0" y="0"/>
                      <a:ext cx="5941695" cy="5425440"/>
                    </a:xfrm>
                    <a:prstGeom prst="rect">
                      <a:avLst/>
                    </a:prstGeom>
                  </pic:spPr>
                </pic:pic>
              </a:graphicData>
            </a:graphic>
          </wp:inline>
        </w:drawing>
      </w:r>
      <w:r>
        <w:rPr>
          <w:rFonts w:hint="default" w:ascii="Times New Roman" w:hAnsi="Times New Roman" w:cs="Times New Roman"/>
          <w:color w:val="auto"/>
          <w:highlight w:val="none"/>
        </w:rPr>
        <mc:AlternateContent>
          <mc:Choice Requires="wps">
            <w:drawing>
              <wp:anchor distT="0" distB="0" distL="0" distR="0" simplePos="0" relativeHeight="251659264" behindDoc="0" locked="0" layoutInCell="1" allowOverlap="1">
                <wp:simplePos x="0" y="0"/>
                <wp:positionH relativeFrom="column">
                  <wp:posOffset>3612515</wp:posOffset>
                </wp:positionH>
                <wp:positionV relativeFrom="paragraph">
                  <wp:posOffset>4451985</wp:posOffset>
                </wp:positionV>
                <wp:extent cx="2581910" cy="434340"/>
                <wp:effectExtent l="388620" t="9525" r="20320" b="89535"/>
                <wp:wrapNone/>
                <wp:docPr id="1140" name="圆角矩形标注 38"/>
                <wp:cNvGraphicFramePr/>
                <a:graphic xmlns:a="http://schemas.openxmlformats.org/drawingml/2006/main">
                  <a:graphicData uri="http://schemas.microsoft.com/office/word/2010/wordprocessingShape">
                    <wps:wsp>
                      <wps:cNvSpPr/>
                      <wps:spPr>
                        <a:xfrm>
                          <a:off x="0" y="0"/>
                          <a:ext cx="2581910" cy="434340"/>
                        </a:xfrm>
                        <a:prstGeom prst="wedgeRoundRectCallout">
                          <a:avLst>
                            <a:gd name="adj1" fmla="val -62543"/>
                            <a:gd name="adj2" fmla="val 59210"/>
                            <a:gd name="adj3" fmla="val 16667"/>
                          </a:avLst>
                        </a:prstGeom>
                        <a:solidFill>
                          <a:srgbClr val="FFFFFF"/>
                        </a:solidFill>
                        <a:ln w="19050" cap="flat" cmpd="sng">
                          <a:solidFill>
                            <a:srgbClr val="000000"/>
                          </a:solidFill>
                          <a:prstDash val="solid"/>
                          <a:miter/>
                        </a:ln>
                      </wps:spPr>
                      <wps:txbx>
                        <w:txbxContent>
                          <w:p w14:paraId="31C3F327">
                            <w:pPr>
                              <w:jc w:val="center"/>
                              <w:rPr>
                                <w:rFonts w:hint="eastAsia"/>
                                <w:color w:val="000000"/>
                                <w:sz w:val="21"/>
                                <w:szCs w:val="21"/>
                                <w:lang w:eastAsia="zh-CN"/>
                              </w:rPr>
                            </w:pPr>
                            <w:r>
                              <w:rPr>
                                <w:rFonts w:hint="eastAsia"/>
                                <w:color w:val="000000"/>
                                <w:sz w:val="21"/>
                                <w:szCs w:val="21"/>
                                <w:lang w:eastAsia="zh-CN"/>
                              </w:rPr>
                              <w:t>韶关市武江饮用水水源保护区准保护区</w:t>
                            </w:r>
                          </w:p>
                        </w:txbxContent>
                      </wps:txbx>
                      <wps:bodyPr vert="horz" wrap="square" lIns="91440" tIns="45720" rIns="91440" bIns="45720" anchor="ctr">
                        <a:noAutofit/>
                      </wps:bodyPr>
                    </wps:wsp>
                  </a:graphicData>
                </a:graphic>
              </wp:anchor>
            </w:drawing>
          </mc:Choice>
          <mc:Fallback>
            <w:pict>
              <v:shape id="圆角矩形标注 38" o:spid="_x0000_s1026" o:spt="62" type="#_x0000_t62" style="position:absolute;left:0pt;margin-left:284.45pt;margin-top:350.55pt;height:34.2pt;width:203.3pt;z-index:251659264;v-text-anchor:middle;mso-width-relative:page;mso-height-relative:page;" fillcolor="#FFFFFF" filled="t" stroked="t" coordsize="21600,21600" o:gfxdata="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RIMDANoAAAALAQAADwAAAAAAAAABACAAAAAiAAAAZHJzL2Rvd25yZXYu&#10;eG1sUEsBAhQAFAAAAAgAh07iQOmuC+1rAgAA1gQAAA4AAAAAAAAAAQAgAAAAKQEAAGRycy9lMm9E&#10;b2MueG1sUEsFBgAAAAAGAAYAWQEAAAYGAAAAAA==&#10;" adj="-2709,23589,14400">
                <v:fill on="t" focussize="0,0"/>
                <v:stroke weight="1.5pt" color="#000000" joinstyle="miter"/>
                <v:imagedata o:title=""/>
                <o:lock v:ext="edit" aspectratio="f"/>
                <v:textbox>
                  <w:txbxContent>
                    <w:p w14:paraId="31C3F327">
                      <w:pPr>
                        <w:jc w:val="center"/>
                        <w:rPr>
                          <w:rFonts w:hint="eastAsia"/>
                          <w:color w:val="000000"/>
                          <w:sz w:val="21"/>
                          <w:szCs w:val="21"/>
                          <w:lang w:eastAsia="zh-CN"/>
                        </w:rPr>
                      </w:pPr>
                      <w:r>
                        <w:rPr>
                          <w:rFonts w:hint="eastAsia"/>
                          <w:color w:val="000000"/>
                          <w:sz w:val="21"/>
                          <w:szCs w:val="21"/>
                          <w:lang w:eastAsia="zh-CN"/>
                        </w:rPr>
                        <w:t>韶关市武江饮用水水源保护区准保护区</w:t>
                      </w:r>
                    </w:p>
                  </w:txbxContent>
                </v:textbox>
              </v:shape>
            </w:pict>
          </mc:Fallback>
        </mc:AlternateContent>
      </w:r>
      <w:r>
        <w:rPr>
          <w:sz w:val="21"/>
        </w:rPr>
        <mc:AlternateContent>
          <mc:Choice Requires="wps">
            <w:drawing>
              <wp:anchor distT="0" distB="0" distL="0" distR="0" simplePos="0" relativeHeight="251659264" behindDoc="0" locked="0" layoutInCell="1" allowOverlap="1">
                <wp:simplePos x="0" y="0"/>
                <wp:positionH relativeFrom="column">
                  <wp:posOffset>2440305</wp:posOffset>
                </wp:positionH>
                <wp:positionV relativeFrom="paragraph">
                  <wp:posOffset>579755</wp:posOffset>
                </wp:positionV>
                <wp:extent cx="3159760" cy="2574925"/>
                <wp:effectExtent l="0" t="5080" r="21590" b="10795"/>
                <wp:wrapNone/>
                <wp:docPr id="1141" name="直接箭头连接符 203"/>
                <wp:cNvGraphicFramePr/>
                <a:graphic xmlns:a="http://schemas.openxmlformats.org/drawingml/2006/main">
                  <a:graphicData uri="http://schemas.microsoft.com/office/word/2010/wordprocessingShape">
                    <wps:wsp>
                      <wps:cNvCnPr/>
                      <wps:spPr>
                        <a:xfrm flipH="1">
                          <a:off x="0" y="0"/>
                          <a:ext cx="3159760" cy="2574925"/>
                        </a:xfrm>
                        <a:prstGeom prst="straightConnector1">
                          <a:avLst/>
                        </a:prstGeom>
                        <a:ln w="12700" cap="flat" cmpd="sng">
                          <a:solidFill>
                            <a:srgbClr val="5B9BD5"/>
                          </a:solidFill>
                          <a:prstDash val="solid"/>
                          <a:miter/>
                          <a:tailEnd type="arrow" w="med" len="med"/>
                        </a:ln>
                      </wps:spPr>
                      <wps:bodyPr/>
                    </wps:wsp>
                  </a:graphicData>
                </a:graphic>
              </wp:anchor>
            </w:drawing>
          </mc:Choice>
          <mc:Fallback>
            <w:pict>
              <v:shape id="直接箭头连接符 203" o:spid="_x0000_s1026" o:spt="32" type="#_x0000_t32" style="position:absolute;left:0pt;flip:x;margin-left:192.15pt;margin-top:45.65pt;height:202.75pt;width:248.8pt;z-index:251659264;mso-width-relative:page;mso-height-relative:page;" filled="f" stroked="t" coordsize="21600,21600" o:gfxdata="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kKJwtgAAAAKAQAADwAAAAAAAAAB&#10;ACAAAAAiAAAAZHJzL2Rvd25yZXYueG1sUEsBAhQAFAAAAAgAh07iQCTx6DwQAgAA4wMAAA4AAAAA&#10;AAAAAQAgAAAAJwEAAGRycy9lMm9Eb2MueG1sUEsFBgAAAAAGAAYAWQEAAKkFAAAAAA==&#10;">
                <v:fill on="f" focussize="0,0"/>
                <v:stroke weight="1pt" color="#5B9BD5" joinstyle="miter" endarrow="open"/>
                <v:imagedata o:title=""/>
                <o:lock v:ext="edit" aspectratio="f"/>
              </v:shape>
            </w:pict>
          </mc:Fallback>
        </mc:AlternateContent>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-6144260</wp:posOffset>
            </wp:positionH>
            <wp:positionV relativeFrom="paragraph">
              <wp:posOffset>2033905</wp:posOffset>
            </wp:positionV>
            <wp:extent cx="1870075" cy="1162050"/>
            <wp:effectExtent l="0" t="0" r="15875" b="0"/>
            <wp:wrapNone/>
            <wp:docPr id="1143" name="图片 15"/>
            <wp:cNvGraphicFramePr/>
            <a:graphic xmlns:a="http://schemas.openxmlformats.org/drawingml/2006/main">
              <a:graphicData uri="http://schemas.openxmlformats.org/drawingml/2006/picture">
                <pic:pic xmlns:pic="http://schemas.openxmlformats.org/drawingml/2006/picture">
                  <pic:nvPicPr>
                    <pic:cNvPr id="1143" name="图片 15"/>
                    <pic:cNvPicPr/>
                  </pic:nvPicPr>
                  <pic:blipFill>
                    <a:blip r:embed="rId60" cstate="print"/>
                    <a:srcRect t="67892" r="63458"/>
                    <a:stretch>
                      <a:fillRect/>
                    </a:stretch>
                  </pic:blipFill>
                  <pic:spPr>
                    <a:xfrm>
                      <a:off x="0" y="0"/>
                      <a:ext cx="1870075" cy="1162050"/>
                    </a:xfrm>
                    <a:prstGeom prst="rect">
                      <a:avLst/>
                    </a:prstGeom>
                    <a:ln>
                      <a:noFill/>
                    </a:ln>
                  </pic:spPr>
                </pic:pic>
              </a:graphicData>
            </a:graphic>
          </wp:anchor>
        </w:drawing>
      </w:r>
      <w:r>
        <w:rPr>
          <w:rFonts w:hint="default" w:ascii="Times New Roman" w:hAnsi="Times New Roman" w:cs="Times New Roman"/>
          <w:color w:val="auto"/>
          <w:highlight w:val="none"/>
        </w:rPr>
        <w:drawing>
          <wp:anchor distT="0" distB="0" distL="0" distR="0" simplePos="0" relativeHeight="251659264" behindDoc="0" locked="0" layoutInCell="1" allowOverlap="1">
            <wp:simplePos x="0" y="0"/>
            <wp:positionH relativeFrom="column">
              <wp:posOffset>7432675</wp:posOffset>
            </wp:positionH>
            <wp:positionV relativeFrom="paragraph">
              <wp:posOffset>-5492115</wp:posOffset>
            </wp:positionV>
            <wp:extent cx="1159510" cy="1130935"/>
            <wp:effectExtent l="0" t="0" r="2540" b="12065"/>
            <wp:wrapNone/>
            <wp:docPr id="1144" name="图片 26"/>
            <wp:cNvGraphicFramePr/>
            <a:graphic xmlns:a="http://schemas.openxmlformats.org/drawingml/2006/main">
              <a:graphicData uri="http://schemas.openxmlformats.org/drawingml/2006/picture">
                <pic:pic xmlns:pic="http://schemas.openxmlformats.org/drawingml/2006/picture">
                  <pic:nvPicPr>
                    <pic:cNvPr id="1144" name="图片 26"/>
                    <pic:cNvPicPr/>
                  </pic:nvPicPr>
                  <pic:blipFill>
                    <a:blip r:embed="rId34" cstate="print"/>
                    <a:srcRect/>
                    <a:stretch>
                      <a:fillRect/>
                    </a:stretch>
                  </pic:blipFill>
                  <pic:spPr>
                    <a:xfrm>
                      <a:off x="0" y="0"/>
                      <a:ext cx="1159509" cy="1130935"/>
                    </a:xfrm>
                    <a:prstGeom prst="rect">
                      <a:avLst/>
                    </a:prstGeom>
                    <a:ln>
                      <a:noFill/>
                    </a:ln>
                  </pic:spPr>
                </pic:pic>
              </a:graphicData>
            </a:graphic>
          </wp:anchor>
        </w:drawing>
      </w:r>
    </w:p>
    <w:sectPr>
      <w:headerReference r:id="rId7" w:type="default"/>
      <w:footerReference r:id="rId8" w:type="default"/>
      <w:pgSz w:w="16838" w:h="11906" w:orient="landscape"/>
      <w:pgMar w:top="1417" w:right="1417" w:bottom="1134" w:left="1559" w:header="851" w:footer="992" w:gutter="0"/>
      <w:pgBorders>
        <w:top w:val="none" w:sz="0" w:space="0"/>
        <w:left w:val="none" w:sz="0" w:space="0"/>
        <w:bottom w:val="none" w:sz="0" w:space="0"/>
        <w:right w:val="none" w:sz="0" w:space="0"/>
      </w:pgBorders>
      <w:pgNumType w:fmt="decimal"/>
      <w:cols w:space="0" w:num="1"/>
      <w:docGrid w:type="lines" w:linePitch="334"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3763890-E1AC-4EF6-9C02-C517A734373E}"/>
  </w:font>
  <w:font w:name="Arial">
    <w:panose1 w:val="020B0604020202020204"/>
    <w:charset w:val="01"/>
    <w:family w:val="swiss"/>
    <w:pitch w:val="default"/>
    <w:sig w:usb0="E0002AFF" w:usb1="C0007843" w:usb2="00000009" w:usb3="00000000" w:csb0="400001FF" w:csb1="FFFF0000"/>
    <w:embedRegular r:id="rId2" w:fontKey="{6CA4CC68-5B9C-4C5B-9B00-46426A4DFD27}"/>
  </w:font>
  <w:font w:name="黑体">
    <w:panose1 w:val="02010609060101010101"/>
    <w:charset w:val="86"/>
    <w:family w:val="auto"/>
    <w:pitch w:val="default"/>
    <w:sig w:usb0="800002BF" w:usb1="38CF7CFA" w:usb2="00000016" w:usb3="00000000" w:csb0="00040001" w:csb1="00000000"/>
    <w:embedRegular r:id="rId3" w:fontKey="{65C102FA-E3D3-4EC4-8964-0895C5B7C62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MS Mincho">
    <w:panose1 w:val="02020609040205080304"/>
    <w:charset w:val="80"/>
    <w:family w:val="roman"/>
    <w:pitch w:val="default"/>
    <w:sig w:usb0="E00002FF" w:usb1="6AC7FDFB" w:usb2="00000012" w:usb3="00000000" w:csb0="4002009F" w:csb1="DFD7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宋体.....">
    <w:altName w:val="宋体"/>
    <w:panose1 w:val="00000000000000000000"/>
    <w:charset w:val="86"/>
    <w:family w:val="roman"/>
    <w:pitch w:val="default"/>
    <w:sig w:usb0="00000000" w:usb1="00000000" w:usb2="00000010" w:usb3="00000000" w:csb0="00040000" w:csb1="00000000"/>
    <w:embedRegular r:id="rId4" w:fontKey="{2D3ED07A-5BCE-4116-BE62-FD5E05A8BE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E7BCD">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3544621">
                          <w:pPr>
                            <w:pStyle w:val="3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u9kfr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tF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bvZH61AEAAJ8DAAAOAAAAAAAAAAEAIAAAAB8B&#10;AABkcnMvZTJvRG9jLnhtbFBLBQYAAAAABgAGAFkBAABlBQAAAAA=&#10;">
              <v:fill on="f" focussize="0,0"/>
              <v:stroke on="f"/>
              <v:imagedata o:title=""/>
              <o:lock v:ext="edit" aspectratio="f"/>
              <v:textbox inset="0mm,0mm,0mm,0mm" style="mso-fit-shape-to-text:t;">
                <w:txbxContent>
                  <w:p w14:paraId="03544621">
                    <w:pPr>
                      <w:pStyle w:val="3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29DA">
    <w:pPr>
      <w:tabs>
        <w:tab w:val="center" w:pos="4153"/>
        <w:tab w:val="right" w:pos="8306"/>
      </w:tabs>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3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79E68A9">
                          <w:pPr>
                            <w:pStyle w:val="32"/>
                          </w:pPr>
                          <w:r>
                            <w:fldChar w:fldCharType="begin"/>
                          </w:r>
                          <w:r>
                            <w:instrText xml:space="preserve"> PAGE  \* MERGEFORMAT </w:instrText>
                          </w:r>
                          <w:r>
                            <w:fldChar w:fldCharType="separate"/>
                          </w:r>
                          <w:r>
                            <w:t>- 1 -</w:t>
                          </w:r>
                          <w:r>
                            <w:fldChar w:fldCharType="end"/>
                          </w:r>
                        </w:p>
                      </w:txbxContent>
                    </wps:txbx>
                    <wps:bodyPr vert="horz" wrap="none" lIns="0" tIns="0" rIns="0" bIns="0" anchor="t" upright="0">
                      <a:spAutoFit/>
                    </wps:bodyPr>
                  </wps:wsp>
                </a:graphicData>
              </a:graphic>
            </wp:anchor>
          </w:drawing>
        </mc:Choice>
        <mc:Fallback>
          <w:pict>
            <v:rect id="文本框 3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TDXz3TAQAAnwMAAA4AAAAAAAAAAQAgAAAAHwEA&#10;AGRycy9lMm9Eb2MueG1sUEsFBgAAAAAGAAYAWQEAAGQFAAAAAA==&#10;">
              <v:fill on="f" focussize="0,0"/>
              <v:stroke on="f"/>
              <v:imagedata o:title=""/>
              <o:lock v:ext="edit" aspectratio="f"/>
              <v:textbox inset="0mm,0mm,0mm,0mm" style="mso-fit-shape-to-text:t;">
                <w:txbxContent>
                  <w:p w14:paraId="079E68A9">
                    <w:pPr>
                      <w:pStyle w:val="32"/>
                    </w:pPr>
                    <w:r>
                      <w:fldChar w:fldCharType="begin"/>
                    </w:r>
                    <w:r>
                      <w:instrText xml:space="preserve"> PAGE  \* MERGEFORMAT </w:instrText>
                    </w:r>
                    <w:r>
                      <w:fldChar w:fldCharType="separate"/>
                    </w:r>
                    <w:r>
                      <w:t>- 1 -</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C1433">
    <w:pPr>
      <w:pStyle w:val="21"/>
      <w:spacing w:line="14" w:lineRule="auto"/>
      <w:ind w:firstLine="40"/>
      <w:rPr>
        <w:sz w:val="2"/>
      </w:rPr>
    </w:pPr>
    <w:r>
      <w:rPr>
        <w:sz w:val="2"/>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157"/>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2CE0555">
                          <w:pPr>
                            <w:pStyle w:val="32"/>
                          </w:pPr>
                          <w:r>
                            <w:fldChar w:fldCharType="begin"/>
                          </w:r>
                          <w:r>
                            <w:instrText xml:space="preserve"> PAGE  \* MERGEFORMAT </w:instrText>
                          </w:r>
                          <w:r>
                            <w:fldChar w:fldCharType="separate"/>
                          </w:r>
                          <w:r>
                            <w:t>- 98 -</w:t>
                          </w:r>
                          <w:r>
                            <w:fldChar w:fldCharType="end"/>
                          </w:r>
                        </w:p>
                      </w:txbxContent>
                    </wps:txbx>
                    <wps:bodyPr vert="horz" wrap="none" lIns="0" tIns="0" rIns="0" bIns="0" anchor="t" upright="0">
                      <a:spAutoFit/>
                    </wps:bodyPr>
                  </wps:wsp>
                </a:graphicData>
              </a:graphic>
            </wp:anchor>
          </w:drawing>
        </mc:Choice>
        <mc:Fallback>
          <w:pict>
            <v:rect id="文本框 157"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&#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5dblS0AAAAAUBAAAPAAAAAAAAAAEAIAAAACIAAABk&#10;cnMvZG93bnJldi54bWxQSwECFAAUAAAACACHTuJASqVLk9UBAACgAwAADgAAAAAAAAABACAAAAAf&#10;AQAAZHJzL2Uyb0RvYy54bWxQSwUGAAAAAAYABgBZAQAAZgUAAAAA&#10;">
              <v:fill on="f" focussize="0,0"/>
              <v:stroke on="f"/>
              <v:imagedata o:title=""/>
              <o:lock v:ext="edit" aspectratio="f"/>
              <v:textbox inset="0mm,0mm,0mm,0mm" style="mso-fit-shape-to-text:t;">
                <w:txbxContent>
                  <w:p w14:paraId="12CE0555">
                    <w:pPr>
                      <w:pStyle w:val="32"/>
                    </w:pPr>
                    <w:r>
                      <w:fldChar w:fldCharType="begin"/>
                    </w:r>
                    <w:r>
                      <w:instrText xml:space="preserve"> PAGE  \* MERGEFORMAT </w:instrText>
                    </w:r>
                    <w:r>
                      <w:fldChar w:fldCharType="separate"/>
                    </w:r>
                    <w:r>
                      <w:t>- 98 -</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5F66">
    <w:pPr>
      <w:pStyle w:val="21"/>
      <w:spacing w:line="14" w:lineRule="auto"/>
      <w:ind w:firstLine="4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EC509B"/>
    <w:multiLevelType w:val="singleLevel"/>
    <w:tmpl w:val="B8EC509B"/>
    <w:lvl w:ilvl="0" w:tentative="0">
      <w:start w:val="1"/>
      <w:numFmt w:val="decimal"/>
      <w:suff w:val="nothing"/>
      <w:lvlText w:val="（%1）"/>
      <w:lvlJc w:val="left"/>
    </w:lvl>
  </w:abstractNum>
  <w:abstractNum w:abstractNumId="1">
    <w:nsid w:val="CD497DD7"/>
    <w:multiLevelType w:val="singleLevel"/>
    <w:tmpl w:val="CD497DD7"/>
    <w:lvl w:ilvl="0" w:tentative="0">
      <w:start w:val="1"/>
      <w:numFmt w:val="decimal"/>
      <w:suff w:val="nothing"/>
      <w:lvlText w:val="（%1）"/>
      <w:lvlJc w:val="left"/>
    </w:lvl>
  </w:abstractNum>
  <w:abstractNum w:abstractNumId="2">
    <w:nsid w:val="00000000"/>
    <w:multiLevelType w:val="singleLevel"/>
    <w:tmpl w:val="00000000"/>
    <w:lvl w:ilvl="0" w:tentative="0">
      <w:start w:val="1"/>
      <w:numFmt w:val="bullet"/>
      <w:pStyle w:val="23"/>
      <w:lvlText w:val=""/>
      <w:lvlJc w:val="left"/>
      <w:pPr>
        <w:tabs>
          <w:tab w:val="left" w:pos="780"/>
        </w:tabs>
        <w:ind w:left="840" w:hanging="360"/>
      </w:pPr>
      <w:rPr>
        <w:rFonts w:hint="default" w:ascii="Wingdings" w:hAnsi="Wingdings"/>
      </w:rPr>
    </w:lvl>
  </w:abstractNum>
  <w:abstractNum w:abstractNumId="3">
    <w:nsid w:val="00000001"/>
    <w:multiLevelType w:val="singleLevel"/>
    <w:tmpl w:val="00000001"/>
    <w:lvl w:ilvl="0" w:tentative="0">
      <w:start w:val="1"/>
      <w:numFmt w:val="chineseCounting"/>
      <w:suff w:val="nothing"/>
      <w:lvlText w:val="%1、"/>
      <w:lvlJc w:val="left"/>
      <w:rPr>
        <w:rFonts w:hint="eastAsia"/>
      </w:rPr>
    </w:lvl>
  </w:abstractNum>
  <w:abstractNum w:abstractNumId="4">
    <w:nsid w:val="00000002"/>
    <w:multiLevelType w:val="multilevel"/>
    <w:tmpl w:val="00000002"/>
    <w:lvl w:ilvl="0" w:tentative="0">
      <w:start w:val="1"/>
      <w:numFmt w:val="bullet"/>
      <w:pStyle w:val="29"/>
      <w:lvlText w:val=""/>
      <w:lvlJc w:val="left"/>
      <w:pPr>
        <w:tabs>
          <w:tab w:val="left" w:pos="2040"/>
        </w:tabs>
        <w:ind w:left="20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00000003"/>
    <w:multiLevelType w:val="singleLevel"/>
    <w:tmpl w:val="00000003"/>
    <w:lvl w:ilvl="0" w:tentative="0">
      <w:start w:val="12"/>
      <w:numFmt w:val="chineseCounting"/>
      <w:suff w:val="space"/>
      <w:lvlText w:val="第%1条"/>
      <w:lvlJc w:val="left"/>
      <w:rPr>
        <w:rFonts w:hint="eastAsia"/>
      </w:rPr>
    </w:lvl>
  </w:abstractNum>
  <w:abstractNum w:abstractNumId="6">
    <w:nsid w:val="00000004"/>
    <w:multiLevelType w:val="singleLevel"/>
    <w:tmpl w:val="00000004"/>
    <w:lvl w:ilvl="0" w:tentative="0">
      <w:start w:val="2"/>
      <w:numFmt w:val="decimal"/>
      <w:suff w:val="nothing"/>
      <w:lvlText w:val="%1）"/>
      <w:lvlJc w:val="left"/>
      <w:rPr>
        <w:rFonts w:hint="default"/>
        <w:color w:val="auto"/>
      </w:rPr>
    </w:lvl>
  </w:abstractNum>
  <w:abstractNum w:abstractNumId="7">
    <w:nsid w:val="00000005"/>
    <w:multiLevelType w:val="multilevel"/>
    <w:tmpl w:val="00000005"/>
    <w:lvl w:ilvl="0" w:tentative="0">
      <w:start w:val="1"/>
      <w:numFmt w:val="decimal"/>
      <w:lvlText w:val="%1"/>
      <w:lvlJc w:val="left"/>
      <w:pPr>
        <w:ind w:left="432" w:hanging="432"/>
      </w:pPr>
      <w:rPr>
        <w:rFonts w:hint="eastAsia"/>
      </w:rPr>
    </w:lvl>
    <w:lvl w:ilvl="1" w:tentative="0">
      <w:start w:val="1"/>
      <w:numFmt w:val="none"/>
      <w:pStyle w:val="8"/>
      <w:suff w:val="nothing"/>
      <w:lvlText w:val=""/>
      <w:lvlJc w:val="left"/>
      <w:pPr>
        <w:tabs>
          <w:tab w:val="left" w:pos="0"/>
        </w:tabs>
        <w:ind w:left="0" w:firstLine="0"/>
      </w:pPr>
      <w:rPr>
        <w:rFonts w:hint="eastAsia" w:ascii="宋体" w:hAnsi="宋体" w:eastAsia="宋体" w:cs="宋体"/>
      </w:rPr>
    </w:lvl>
    <w:lvl w:ilvl="2" w:tentative="0">
      <w:start w:val="1"/>
      <w:numFmt w:val="chineseCounting"/>
      <w:pStyle w:val="9"/>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pStyle w:val="10"/>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1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1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8">
    <w:nsid w:val="00000006"/>
    <w:multiLevelType w:val="singleLevel"/>
    <w:tmpl w:val="00000006"/>
    <w:lvl w:ilvl="0" w:tentative="0">
      <w:start w:val="4"/>
      <w:numFmt w:val="decimal"/>
      <w:suff w:val="nothing"/>
      <w:lvlText w:val="%1、"/>
      <w:lvlJc w:val="left"/>
    </w:lvl>
  </w:abstractNum>
  <w:abstractNum w:abstractNumId="9">
    <w:nsid w:val="00000007"/>
    <w:multiLevelType w:val="singleLevel"/>
    <w:tmpl w:val="00000007"/>
    <w:lvl w:ilvl="0" w:tentative="0">
      <w:start w:val="1"/>
      <w:numFmt w:val="chineseCounting"/>
      <w:pStyle w:val="7"/>
      <w:suff w:val="nothing"/>
      <w:lvlText w:val="%1、"/>
      <w:lvlJc w:val="left"/>
      <w:pPr>
        <w:tabs>
          <w:tab w:val="left" w:pos="0"/>
        </w:tabs>
        <w:ind w:left="0" w:firstLine="0"/>
      </w:pPr>
      <w:rPr>
        <w:rFonts w:hint="eastAsia" w:ascii="黑体" w:hAnsi="黑体" w:eastAsia="黑体" w:cs="黑体"/>
        <w:sz w:val="30"/>
        <w:szCs w:val="30"/>
      </w:rPr>
    </w:lvl>
  </w:abstractNum>
  <w:abstractNum w:abstractNumId="10">
    <w:nsid w:val="00000008"/>
    <w:multiLevelType w:val="singleLevel"/>
    <w:tmpl w:val="00000008"/>
    <w:lvl w:ilvl="0" w:tentative="0">
      <w:start w:val="1"/>
      <w:numFmt w:val="chineseCounting"/>
      <w:pStyle w:val="106"/>
      <w:suff w:val="nothing"/>
      <w:lvlText w:val="（%1）"/>
      <w:lvlJc w:val="left"/>
      <w:pPr>
        <w:ind w:left="0" w:firstLine="420"/>
      </w:pPr>
      <w:rPr>
        <w:rFonts w:hint="eastAsia"/>
      </w:rPr>
    </w:lvl>
  </w:abstractNum>
  <w:abstractNum w:abstractNumId="11">
    <w:nsid w:val="00000009"/>
    <w:multiLevelType w:val="singleLevel"/>
    <w:tmpl w:val="00000009"/>
    <w:lvl w:ilvl="0" w:tentative="0">
      <w:start w:val="1"/>
      <w:numFmt w:val="decimal"/>
      <w:pStyle w:val="125"/>
      <w:suff w:val="nothing"/>
      <w:lvlText w:val="表%1 "/>
      <w:lvlJc w:val="left"/>
      <w:pPr>
        <w:ind w:left="0" w:firstLine="420"/>
      </w:pPr>
      <w:rPr>
        <w:rFonts w:hint="default"/>
      </w:rPr>
    </w:lvl>
  </w:abstractNum>
  <w:abstractNum w:abstractNumId="12">
    <w:nsid w:val="6740B032"/>
    <w:multiLevelType w:val="singleLevel"/>
    <w:tmpl w:val="6740B032"/>
    <w:lvl w:ilvl="0" w:tentative="0">
      <w:start w:val="1"/>
      <w:numFmt w:val="decimal"/>
      <w:suff w:val="nothing"/>
      <w:lvlText w:val="（%1）"/>
      <w:lvlJc w:val="left"/>
    </w:lvl>
  </w:abstractNum>
  <w:num w:numId="1">
    <w:abstractNumId w:val="9"/>
  </w:num>
  <w:num w:numId="2">
    <w:abstractNumId w:val="7"/>
  </w:num>
  <w:num w:numId="3">
    <w:abstractNumId w:val="2"/>
  </w:num>
  <w:num w:numId="4">
    <w:abstractNumId w:val="4"/>
  </w:num>
  <w:num w:numId="5">
    <w:abstractNumId w:val="10"/>
  </w:num>
  <w:num w:numId="6">
    <w:abstractNumId w:val="11"/>
  </w:num>
  <w:num w:numId="7">
    <w:abstractNumId w:val="8"/>
  </w:num>
  <w:num w:numId="8">
    <w:abstractNumId w:val="5"/>
  </w:num>
  <w:num w:numId="9">
    <w:abstractNumId w:val="1"/>
  </w:num>
  <w:num w:numId="10">
    <w:abstractNumId w:val="12"/>
  </w:num>
  <w:num w:numId="11">
    <w:abstractNumId w:val="0"/>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67"/>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C2BE8"/>
    <w:rsid w:val="07910041"/>
    <w:rsid w:val="0B391BB8"/>
    <w:rsid w:val="10245B94"/>
    <w:rsid w:val="149A3B57"/>
    <w:rsid w:val="15FF7E8F"/>
    <w:rsid w:val="18DD3AC8"/>
    <w:rsid w:val="18FD12F6"/>
    <w:rsid w:val="21FA3114"/>
    <w:rsid w:val="221E4D99"/>
    <w:rsid w:val="230127BC"/>
    <w:rsid w:val="24957811"/>
    <w:rsid w:val="275A27F2"/>
    <w:rsid w:val="27E15B78"/>
    <w:rsid w:val="2E6B497E"/>
    <w:rsid w:val="2FD74661"/>
    <w:rsid w:val="328314F3"/>
    <w:rsid w:val="34215143"/>
    <w:rsid w:val="388F24BF"/>
    <w:rsid w:val="406065FA"/>
    <w:rsid w:val="434916A9"/>
    <w:rsid w:val="48E1714C"/>
    <w:rsid w:val="4AFB650D"/>
    <w:rsid w:val="4BAD14DA"/>
    <w:rsid w:val="4F1A5A0F"/>
    <w:rsid w:val="4F7506C1"/>
    <w:rsid w:val="521879D9"/>
    <w:rsid w:val="586922F3"/>
    <w:rsid w:val="59165909"/>
    <w:rsid w:val="595E36A5"/>
    <w:rsid w:val="60851A1E"/>
    <w:rsid w:val="654233FA"/>
    <w:rsid w:val="66E12DEC"/>
    <w:rsid w:val="68E76115"/>
    <w:rsid w:val="6BB64300"/>
    <w:rsid w:val="6D3F18B7"/>
    <w:rsid w:val="70D10D69"/>
    <w:rsid w:val="74895F39"/>
    <w:rsid w:val="74A40EAA"/>
    <w:rsid w:val="78670B6C"/>
    <w:rsid w:val="79093BDF"/>
    <w:rsid w:val="7948429A"/>
    <w:rsid w:val="7EC90772"/>
    <w:rsid w:val="7F7A4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qFormat="1" w:unhideWhenUsed="0" w:uiPriority="99"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7">
    <w:name w:val="heading 1"/>
    <w:basedOn w:val="1"/>
    <w:next w:val="1"/>
    <w:qFormat/>
    <w:uiPriority w:val="0"/>
    <w:pPr>
      <w:keepNext/>
      <w:keepLines/>
      <w:numPr>
        <w:ilvl w:val="0"/>
        <w:numId w:val="1"/>
      </w:numPr>
      <w:jc w:val="center"/>
      <w:outlineLvl w:val="0"/>
    </w:pPr>
    <w:rPr>
      <w:rFonts w:eastAsia="黑体" w:cs="宋体"/>
      <w:color w:val="000000"/>
      <w:kern w:val="44"/>
      <w:sz w:val="30"/>
      <w:szCs w:val="30"/>
    </w:rPr>
  </w:style>
  <w:style w:type="paragraph" w:styleId="8">
    <w:name w:val="heading 2"/>
    <w:basedOn w:val="1"/>
    <w:next w:val="1"/>
    <w:qFormat/>
    <w:uiPriority w:val="0"/>
    <w:pPr>
      <w:keepNext/>
      <w:numPr>
        <w:ilvl w:val="1"/>
        <w:numId w:val="2"/>
      </w:numPr>
      <w:tabs>
        <w:tab w:val="clear" w:pos="0"/>
      </w:tabs>
      <w:jc w:val="center"/>
      <w:outlineLvl w:val="1"/>
    </w:pPr>
    <w:rPr>
      <w:rFonts w:ascii="Times New Roman" w:hAnsi="Times New Roman" w:eastAsia="宋体" w:cs="Times New Roman"/>
      <w:color w:val="000000"/>
      <w:sz w:val="24"/>
      <w:szCs w:val="24"/>
      <w:lang w:val="en-US" w:eastAsia="zh-CN" w:bidi="ar-SA"/>
    </w:rPr>
  </w:style>
  <w:style w:type="paragraph" w:styleId="9">
    <w:name w:val="heading 3"/>
    <w:basedOn w:val="1"/>
    <w:next w:val="1"/>
    <w:qFormat/>
    <w:uiPriority w:val="0"/>
    <w:pPr>
      <w:keepNext/>
      <w:keepLines/>
      <w:numPr>
        <w:ilvl w:val="2"/>
        <w:numId w:val="2"/>
      </w:numPr>
      <w:tabs>
        <w:tab w:val="clear" w:pos="0"/>
      </w:tabs>
      <w:ind w:firstLine="1440" w:firstLineChars="200"/>
      <w:outlineLvl w:val="2"/>
    </w:pPr>
    <w:rPr>
      <w:b/>
      <w:bCs/>
      <w:color w:val="000000"/>
    </w:rPr>
  </w:style>
  <w:style w:type="paragraph" w:styleId="10">
    <w:name w:val="heading 4"/>
    <w:basedOn w:val="1"/>
    <w:next w:val="1"/>
    <w:qFormat/>
    <w:uiPriority w:val="0"/>
    <w:pPr>
      <w:keepNext/>
      <w:keepLines/>
      <w:numPr>
        <w:ilvl w:val="3"/>
        <w:numId w:val="2"/>
      </w:numPr>
      <w:tabs>
        <w:tab w:val="clear" w:pos="0"/>
      </w:tabs>
      <w:ind w:left="0" w:firstLine="1440" w:firstLineChars="200"/>
      <w:outlineLvl w:val="3"/>
    </w:pPr>
    <w:rPr>
      <w:b/>
      <w:bCs/>
      <w:color w:val="000000"/>
      <w:szCs w:val="28"/>
    </w:rPr>
  </w:style>
  <w:style w:type="paragraph" w:styleId="11">
    <w:name w:val="heading 5"/>
    <w:next w:val="1"/>
    <w:qFormat/>
    <w:uiPriority w:val="0"/>
    <w:pPr>
      <w:keepNext/>
      <w:keepLines/>
      <w:numPr>
        <w:ilvl w:val="4"/>
        <w:numId w:val="2"/>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12">
    <w:name w:val="heading 6"/>
    <w:basedOn w:val="1"/>
    <w:next w:val="1"/>
    <w:qFormat/>
    <w:uiPriority w:val="0"/>
    <w:pPr>
      <w:keepNext/>
      <w:keepLines/>
      <w:numPr>
        <w:ilvl w:val="5"/>
        <w:numId w:val="2"/>
      </w:numPr>
      <w:ind w:firstLine="1440" w:firstLineChars="200"/>
      <w:outlineLvl w:val="5"/>
    </w:pPr>
    <w:rPr>
      <w:szCs w:val="21"/>
    </w:rPr>
  </w:style>
  <w:style w:type="character" w:default="1" w:styleId="46">
    <w:name w:val="Default Paragraph Font"/>
    <w:qFormat/>
    <w:uiPriority w:val="1"/>
  </w:style>
  <w:style w:type="table" w:default="1" w:styleId="44">
    <w:name w:val="Normal Table"/>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Times New Roman" w:cs="宋体"/>
      <w:color w:val="000000"/>
    </w:rPr>
  </w:style>
  <w:style w:type="paragraph" w:customStyle="1" w:styleId="3">
    <w:name w:val="纯文本1"/>
    <w:basedOn w:val="1"/>
    <w:next w:val="1"/>
    <w:link w:val="122"/>
    <w:qFormat/>
    <w:uiPriority w:val="0"/>
    <w:pPr>
      <w:adjustRightInd w:val="0"/>
    </w:pPr>
    <w:rPr>
      <w:rFonts w:ascii="宋体" w:hAnsi="Courier New"/>
    </w:rPr>
  </w:style>
  <w:style w:type="paragraph" w:customStyle="1" w:styleId="4">
    <w:name w:val="正文文字 6"/>
    <w:basedOn w:val="5"/>
    <w:next w:val="1"/>
    <w:qFormat/>
    <w:uiPriority w:val="0"/>
    <w:pPr>
      <w:widowControl w:val="0"/>
      <w:ind w:left="240"/>
      <w:jc w:val="both"/>
    </w:pPr>
    <w:rPr>
      <w:rFonts w:ascii="宋体"/>
      <w:b/>
      <w:bCs/>
      <w:sz w:val="32"/>
      <w:szCs w:val="32"/>
    </w:rPr>
  </w:style>
  <w:style w:type="paragraph" w:customStyle="1" w:styleId="5">
    <w:name w:val="图位置"/>
    <w:next w:val="6"/>
    <w:qFormat/>
    <w:uiPriority w:val="0"/>
    <w:pPr>
      <w:jc w:val="center"/>
    </w:pPr>
    <w:rPr>
      <w:rFonts w:ascii="Times New Roman" w:hAnsi="Times New Roman" w:eastAsia="宋体" w:cs="Times New Roman"/>
      <w:kern w:val="2"/>
      <w:sz w:val="24"/>
      <w:szCs w:val="21"/>
      <w:lang w:val="en-US" w:eastAsia="zh-CN" w:bidi="ar-SA"/>
    </w:rPr>
  </w:style>
  <w:style w:type="paragraph" w:customStyle="1" w:styleId="6">
    <w:name w:val="图题"/>
    <w:basedOn w:val="1"/>
    <w:next w:val="1"/>
    <w:qFormat/>
    <w:uiPriority w:val="0"/>
    <w:pPr>
      <w:jc w:val="center"/>
    </w:pPr>
    <w:rPr>
      <w:rFonts w:ascii="宋体" w:hAnsi="宋体" w:eastAsia="黑体"/>
      <w:b/>
    </w:rPr>
  </w:style>
  <w:style w:type="paragraph" w:styleId="13">
    <w:name w:val="List 3"/>
    <w:basedOn w:val="1"/>
    <w:next w:val="1"/>
    <w:qFormat/>
    <w:uiPriority w:val="0"/>
    <w:pPr>
      <w:autoSpaceDE w:val="0"/>
      <w:autoSpaceDN w:val="0"/>
      <w:adjustRightInd w:val="0"/>
      <w:spacing w:line="288" w:lineRule="auto"/>
      <w:ind w:left="1260" w:hanging="420"/>
      <w:jc w:val="left"/>
      <w:textAlignment w:val="baseline"/>
    </w:pPr>
    <w:rPr>
      <w:kern w:val="0"/>
      <w:szCs w:val="20"/>
    </w:rPr>
  </w:style>
  <w:style w:type="paragraph" w:styleId="14">
    <w:name w:val="E-mail Signature"/>
    <w:basedOn w:val="1"/>
    <w:next w:val="15"/>
    <w:qFormat/>
    <w:uiPriority w:val="0"/>
    <w:pPr>
      <w:spacing w:line="460" w:lineRule="exact"/>
      <w:ind w:firstLine="200"/>
    </w:pPr>
  </w:style>
  <w:style w:type="paragraph" w:customStyle="1" w:styleId="15">
    <w:name w:val="文章"/>
    <w:basedOn w:val="16"/>
    <w:next w:val="18"/>
    <w:qFormat/>
    <w:uiPriority w:val="0"/>
    <w:pPr>
      <w:widowControl/>
      <w:ind w:firstLine="480"/>
      <w:jc w:val="center"/>
    </w:pPr>
    <w:rPr>
      <w:sz w:val="26"/>
    </w:rPr>
  </w:style>
  <w:style w:type="paragraph" w:styleId="16">
    <w:name w:val="Body Text Indent"/>
    <w:basedOn w:val="1"/>
    <w:next w:val="17"/>
    <w:qFormat/>
    <w:uiPriority w:val="0"/>
    <w:pPr>
      <w:adjustRightInd w:val="0"/>
      <w:spacing w:after="120"/>
      <w:ind w:left="420" w:leftChars="200"/>
      <w:textAlignment w:val="baseline"/>
    </w:pPr>
    <w:rPr>
      <w:sz w:val="21"/>
      <w:szCs w:val="21"/>
    </w:rPr>
  </w:style>
  <w:style w:type="paragraph" w:styleId="17">
    <w:name w:val="caption"/>
    <w:basedOn w:val="1"/>
    <w:next w:val="1"/>
    <w:link w:val="62"/>
    <w:qFormat/>
    <w:uiPriority w:val="0"/>
    <w:pPr>
      <w:jc w:val="center"/>
    </w:pPr>
    <w:rPr>
      <w:b/>
      <w:bCs/>
      <w:color w:val="000000"/>
      <w:sz w:val="21"/>
      <w:szCs w:val="21"/>
    </w:rPr>
  </w:style>
  <w:style w:type="paragraph" w:styleId="18">
    <w:name w:val="List"/>
    <w:basedOn w:val="1"/>
    <w:next w:val="1"/>
    <w:qFormat/>
    <w:uiPriority w:val="0"/>
    <w:pPr>
      <w:ind w:left="200" w:hanging="200" w:hangingChars="200"/>
      <w:contextualSpacing/>
    </w:pPr>
  </w:style>
  <w:style w:type="paragraph" w:styleId="19">
    <w:name w:val="Normal Indent"/>
    <w:basedOn w:val="1"/>
    <w:next w:val="10"/>
    <w:qFormat/>
    <w:uiPriority w:val="0"/>
    <w:pPr>
      <w:ind w:firstLine="200" w:firstLineChars="200"/>
    </w:pPr>
    <w:rPr>
      <w:sz w:val="21"/>
    </w:rPr>
  </w:style>
  <w:style w:type="paragraph" w:styleId="20">
    <w:name w:val="annotation text"/>
    <w:basedOn w:val="1"/>
    <w:link w:val="88"/>
    <w:qFormat/>
    <w:uiPriority w:val="0"/>
    <w:pPr>
      <w:jc w:val="left"/>
    </w:pPr>
    <w:rPr>
      <w:kern w:val="0"/>
      <w:szCs w:val="20"/>
    </w:rPr>
  </w:style>
  <w:style w:type="paragraph" w:styleId="21">
    <w:name w:val="Body Text"/>
    <w:basedOn w:val="1"/>
    <w:qFormat/>
    <w:uiPriority w:val="0"/>
    <w:pPr>
      <w:wordWrap w:val="0"/>
      <w:ind w:firstLine="1440" w:firstLineChars="200"/>
    </w:pPr>
    <w:rPr>
      <w:color w:val="000000"/>
    </w:rPr>
  </w:style>
  <w:style w:type="paragraph" w:styleId="22">
    <w:name w:val="List 2"/>
    <w:basedOn w:val="1"/>
    <w:qFormat/>
    <w:uiPriority w:val="0"/>
    <w:rPr>
      <w:rFonts w:ascii="楷体_GB2312" w:hAnsi="宋体" w:eastAsia="楷体_GB2312"/>
      <w:color w:val="000000"/>
      <w:szCs w:val="28"/>
    </w:rPr>
  </w:style>
  <w:style w:type="paragraph" w:styleId="23">
    <w:name w:val="List Bullet 2"/>
    <w:basedOn w:val="1"/>
    <w:next w:val="24"/>
    <w:qFormat/>
    <w:uiPriority w:val="0"/>
    <w:pPr>
      <w:numPr>
        <w:ilvl w:val="0"/>
        <w:numId w:val="3"/>
      </w:numPr>
    </w:pPr>
  </w:style>
  <w:style w:type="paragraph" w:customStyle="1" w:styleId="24">
    <w:name w:val="xl70"/>
    <w:basedOn w:val="1"/>
    <w:next w:val="25"/>
    <w:qFormat/>
    <w:uiPriority w:val="0"/>
    <w:pPr>
      <w:widowControl/>
      <w:spacing w:before="280" w:after="280" w:line="240" w:lineRule="auto"/>
    </w:pPr>
    <w:rPr>
      <w:rFonts w:ascii="宋体"/>
    </w:rPr>
  </w:style>
  <w:style w:type="paragraph" w:customStyle="1" w:styleId="25">
    <w:name w:val="正文缩进1"/>
    <w:basedOn w:val="1"/>
    <w:next w:val="26"/>
    <w:qFormat/>
    <w:uiPriority w:val="0"/>
    <w:pPr>
      <w:spacing w:line="312" w:lineRule="atLeast"/>
      <w:textAlignment w:val="baseline"/>
    </w:pPr>
    <w:rPr>
      <w:kern w:val="0"/>
      <w:sz w:val="28"/>
      <w:szCs w:val="20"/>
    </w:rPr>
  </w:style>
  <w:style w:type="paragraph" w:customStyle="1" w:styleId="26">
    <w:name w:val="td1"/>
    <w:basedOn w:val="1"/>
    <w:next w:val="1"/>
    <w:qFormat/>
    <w:uiPriority w:val="0"/>
    <w:pPr>
      <w:widowControl/>
      <w:spacing w:before="280" w:after="280" w:line="300" w:lineRule="atLeast"/>
      <w:ind w:firstLine="200"/>
    </w:pPr>
    <w:rPr>
      <w:color w:val="000000"/>
      <w:sz w:val="18"/>
    </w:rPr>
  </w:style>
  <w:style w:type="paragraph" w:styleId="27">
    <w:name w:val="toc 5"/>
    <w:basedOn w:val="1"/>
    <w:next w:val="1"/>
    <w:qFormat/>
    <w:uiPriority w:val="39"/>
    <w:pPr>
      <w:ind w:left="840"/>
      <w:jc w:val="left"/>
    </w:pPr>
    <w:rPr>
      <w:sz w:val="18"/>
      <w:szCs w:val="18"/>
    </w:rPr>
  </w:style>
  <w:style w:type="paragraph" w:styleId="28">
    <w:name w:val="Plain Text"/>
    <w:basedOn w:val="1"/>
    <w:qFormat/>
    <w:uiPriority w:val="0"/>
    <w:rPr>
      <w:rFonts w:ascii="宋体" w:hAnsi="Courier New"/>
      <w:sz w:val="20"/>
      <w:szCs w:val="20"/>
    </w:rPr>
  </w:style>
  <w:style w:type="paragraph" w:styleId="29">
    <w:name w:val="List Bullet 5"/>
    <w:basedOn w:val="1"/>
    <w:qFormat/>
    <w:uiPriority w:val="0"/>
    <w:pPr>
      <w:numPr>
        <w:ilvl w:val="0"/>
        <w:numId w:val="4"/>
      </w:numPr>
    </w:pPr>
  </w:style>
  <w:style w:type="paragraph" w:styleId="30">
    <w:name w:val="Body Text Indent 2"/>
    <w:basedOn w:val="1"/>
    <w:next w:val="1"/>
    <w:qFormat/>
    <w:uiPriority w:val="0"/>
    <w:pPr>
      <w:spacing w:after="120" w:line="480" w:lineRule="auto"/>
      <w:ind w:left="420" w:leftChars="200"/>
    </w:pPr>
  </w:style>
  <w:style w:type="paragraph" w:styleId="31">
    <w:name w:val="Balloon Text"/>
    <w:basedOn w:val="1"/>
    <w:qFormat/>
    <w:uiPriority w:val="0"/>
    <w:rPr>
      <w:kern w:val="0"/>
      <w:sz w:val="18"/>
      <w:szCs w:val="20"/>
    </w:rPr>
  </w:style>
  <w:style w:type="paragraph" w:styleId="32">
    <w:name w:val="footer"/>
    <w:basedOn w:val="1"/>
    <w:qFormat/>
    <w:uiPriority w:val="0"/>
    <w:pPr>
      <w:tabs>
        <w:tab w:val="center" w:pos="4153"/>
        <w:tab w:val="right" w:pos="8306"/>
      </w:tabs>
      <w:snapToGrid w:val="0"/>
      <w:jc w:val="left"/>
    </w:pPr>
    <w:rPr>
      <w:sz w:val="18"/>
    </w:rPr>
  </w:style>
  <w:style w:type="paragraph" w:styleId="3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34">
    <w:name w:val="toc 1"/>
    <w:basedOn w:val="1"/>
    <w:next w:val="1"/>
    <w:qFormat/>
    <w:uiPriority w:val="0"/>
  </w:style>
  <w:style w:type="paragraph" w:styleId="35">
    <w:name w:val="Subtitle"/>
    <w:basedOn w:val="1"/>
    <w:next w:val="1"/>
    <w:qFormat/>
    <w:uiPriority w:val="0"/>
    <w:pPr>
      <w:ind w:firstLine="200" w:firstLineChars="200"/>
      <w:outlineLvl w:val="1"/>
    </w:pPr>
    <w:rPr>
      <w:bCs/>
      <w:kern w:val="28"/>
      <w:szCs w:val="32"/>
    </w:rPr>
  </w:style>
  <w:style w:type="paragraph" w:styleId="36">
    <w:name w:val="Body Text Indent 3"/>
    <w:basedOn w:val="1"/>
    <w:qFormat/>
    <w:uiPriority w:val="99"/>
    <w:pPr>
      <w:snapToGrid w:val="0"/>
      <w:spacing w:line="480" w:lineRule="exact"/>
      <w:ind w:firstLine="535" w:firstLineChars="191"/>
    </w:pPr>
    <w:rPr>
      <w:sz w:val="28"/>
    </w:rPr>
  </w:style>
  <w:style w:type="paragraph" w:styleId="37">
    <w:name w:val="table of figures"/>
    <w:basedOn w:val="1"/>
    <w:next w:val="1"/>
    <w:qFormat/>
    <w:uiPriority w:val="0"/>
    <w:pPr>
      <w:ind w:left="200" w:leftChars="200" w:hanging="200" w:hangingChars="200"/>
    </w:pPr>
  </w:style>
  <w:style w:type="paragraph" w:styleId="38">
    <w:name w:val="toc 2"/>
    <w:basedOn w:val="1"/>
    <w:next w:val="14"/>
    <w:qFormat/>
    <w:uiPriority w:val="0"/>
    <w:pPr>
      <w:ind w:left="420" w:leftChars="200"/>
    </w:pPr>
  </w:style>
  <w:style w:type="paragraph" w:styleId="39">
    <w:name w:val="Body Text 2"/>
    <w:basedOn w:val="1"/>
    <w:unhideWhenUsed/>
    <w:qFormat/>
    <w:uiPriority w:val="0"/>
    <w:pPr>
      <w:spacing w:after="120" w:line="480" w:lineRule="auto"/>
    </w:pPr>
  </w:style>
  <w:style w:type="paragraph" w:styleId="40">
    <w:name w:val="Normal (Web)"/>
    <w:basedOn w:val="1"/>
    <w:qFormat/>
    <w:uiPriority w:val="0"/>
    <w:pPr>
      <w:spacing w:before="100" w:beforeAutospacing="1" w:after="100" w:afterAutospacing="1"/>
      <w:jc w:val="left"/>
    </w:pPr>
    <w:rPr>
      <w:kern w:val="0"/>
    </w:rPr>
  </w:style>
  <w:style w:type="paragraph" w:styleId="41">
    <w:name w:val="annotation subject"/>
    <w:basedOn w:val="20"/>
    <w:next w:val="20"/>
    <w:link w:val="89"/>
    <w:qFormat/>
    <w:uiPriority w:val="0"/>
    <w:rPr>
      <w:b/>
      <w:bCs/>
      <w:kern w:val="2"/>
      <w:szCs w:val="24"/>
    </w:rPr>
  </w:style>
  <w:style w:type="paragraph" w:styleId="42">
    <w:name w:val="Body Text First Indent"/>
    <w:basedOn w:val="21"/>
    <w:next w:val="1"/>
    <w:qFormat/>
    <w:uiPriority w:val="0"/>
    <w:pPr>
      <w:spacing w:after="120" w:line="240" w:lineRule="auto"/>
      <w:ind w:firstLine="420" w:firstLineChars="100"/>
    </w:pPr>
    <w:rPr>
      <w:sz w:val="21"/>
    </w:rPr>
  </w:style>
  <w:style w:type="paragraph" w:styleId="43">
    <w:name w:val="Body Text First Indent 2"/>
    <w:basedOn w:val="1"/>
    <w:next w:val="42"/>
    <w:qFormat/>
    <w:uiPriority w:val="0"/>
    <w:pPr>
      <w:widowControl/>
      <w:adjustRightInd/>
      <w:ind w:firstLine="420"/>
      <w:jc w:val="left"/>
      <w:textAlignment w:val="auto"/>
    </w:pPr>
    <w:rPr>
      <w:kern w:val="0"/>
      <w:sz w:val="28"/>
      <w:szCs w:val="20"/>
    </w:rPr>
  </w:style>
  <w:style w:type="table" w:styleId="45">
    <w:name w:val="Table Grid"/>
    <w:basedOn w:val="4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7">
    <w:name w:val="Strong"/>
    <w:basedOn w:val="46"/>
    <w:qFormat/>
    <w:uiPriority w:val="0"/>
    <w:rPr>
      <w:b/>
    </w:rPr>
  </w:style>
  <w:style w:type="character" w:styleId="48">
    <w:name w:val="Hyperlink"/>
    <w:basedOn w:val="46"/>
    <w:qFormat/>
    <w:uiPriority w:val="0"/>
    <w:rPr>
      <w:color w:val="0000FF"/>
      <w:u w:val="single"/>
    </w:rPr>
  </w:style>
  <w:style w:type="character" w:styleId="49">
    <w:name w:val="annotation reference"/>
    <w:basedOn w:val="46"/>
    <w:qFormat/>
    <w:uiPriority w:val="0"/>
    <w:rPr>
      <w:sz w:val="21"/>
      <w:szCs w:val="21"/>
    </w:rPr>
  </w:style>
  <w:style w:type="paragraph" w:customStyle="1" w:styleId="50">
    <w:name w:val="样式35"/>
    <w:basedOn w:val="51"/>
    <w:next w:val="56"/>
    <w:qFormat/>
    <w:uiPriority w:val="0"/>
    <w:pPr>
      <w:tabs>
        <w:tab w:val="left" w:pos="0"/>
        <w:tab w:val="left" w:pos="360"/>
        <w:tab w:val="left" w:pos="540"/>
        <w:tab w:val="left" w:pos="567"/>
        <w:tab w:val="left" w:pos="4140"/>
      </w:tabs>
      <w:spacing w:line="312" w:lineRule="auto"/>
      <w:ind w:firstLine="567"/>
    </w:pPr>
  </w:style>
  <w:style w:type="paragraph" w:customStyle="1" w:styleId="51">
    <w:name w:val="样式26"/>
    <w:basedOn w:val="52"/>
    <w:qFormat/>
    <w:uiPriority w:val="0"/>
    <w:pPr>
      <w:tabs>
        <w:tab w:val="left" w:pos="0"/>
        <w:tab w:val="left" w:pos="360"/>
        <w:tab w:val="left" w:pos="540"/>
        <w:tab w:val="left" w:pos="567"/>
        <w:tab w:val="left" w:pos="4140"/>
      </w:tabs>
    </w:pPr>
  </w:style>
  <w:style w:type="paragraph" w:customStyle="1" w:styleId="52">
    <w:name w:val="样式21"/>
    <w:basedOn w:val="53"/>
    <w:qFormat/>
    <w:uiPriority w:val="0"/>
    <w:pPr>
      <w:tabs>
        <w:tab w:val="left" w:pos="0"/>
        <w:tab w:val="left" w:pos="360"/>
        <w:tab w:val="left" w:pos="567"/>
        <w:tab w:val="left" w:pos="4140"/>
      </w:tabs>
      <w:ind w:hanging="992"/>
    </w:pPr>
  </w:style>
  <w:style w:type="paragraph" w:customStyle="1" w:styleId="53">
    <w:name w:val="样式5"/>
    <w:basedOn w:val="54"/>
    <w:qFormat/>
    <w:uiPriority w:val="0"/>
    <w:pPr>
      <w:tabs>
        <w:tab w:val="left" w:pos="0"/>
        <w:tab w:val="left" w:pos="360"/>
        <w:tab w:val="left" w:pos="4140"/>
      </w:tabs>
      <w:ind w:right="-105" w:rightChars="-50"/>
      <w:jc w:val="center"/>
    </w:pPr>
    <w:rPr>
      <w:rFonts w:ascii="宋体"/>
      <w:sz w:val="21"/>
    </w:rPr>
  </w:style>
  <w:style w:type="paragraph" w:customStyle="1" w:styleId="54">
    <w:name w:val="样式12"/>
    <w:basedOn w:val="55"/>
    <w:qFormat/>
    <w:uiPriority w:val="0"/>
    <w:pPr>
      <w:keepNext/>
      <w:keepLines/>
      <w:tabs>
        <w:tab w:val="left" w:pos="0"/>
        <w:tab w:val="left" w:pos="360"/>
        <w:tab w:val="left" w:pos="4140"/>
      </w:tabs>
      <w:spacing w:beforeLines="50" w:afterLines="50"/>
      <w:ind w:left="567" w:hanging="567"/>
      <w:outlineLvl w:val="1"/>
    </w:pPr>
    <w:rPr>
      <w:rFonts w:eastAsia="MS Mincho"/>
      <w:kern w:val="0"/>
      <w:sz w:val="28"/>
      <w:szCs w:val="28"/>
    </w:rPr>
  </w:style>
  <w:style w:type="paragraph" w:customStyle="1" w:styleId="55">
    <w:name w:val="样式 标题 3标题 3 Char标题3H3h33rd level第二层条三级标题ReHead 3 WSA头..."/>
    <w:basedOn w:val="9"/>
    <w:qFormat/>
    <w:uiPriority w:val="0"/>
    <w:pPr>
      <w:ind w:left="4140" w:hanging="720"/>
    </w:pPr>
    <w:rPr>
      <w:rFonts w:eastAsia="黑体"/>
      <w:color w:val="FF0000"/>
    </w:rPr>
  </w:style>
  <w:style w:type="paragraph" w:customStyle="1" w:styleId="56">
    <w:name w:val="font6"/>
    <w:basedOn w:val="1"/>
    <w:next w:val="38"/>
    <w:qFormat/>
    <w:uiPriority w:val="0"/>
    <w:pPr>
      <w:widowControl/>
      <w:spacing w:before="280" w:after="280"/>
    </w:pPr>
    <w:rPr>
      <w:sz w:val="21"/>
    </w:rPr>
  </w:style>
  <w:style w:type="paragraph" w:customStyle="1" w:styleId="57">
    <w:name w:val="xl27"/>
    <w:basedOn w:val="1"/>
    <w:next w:val="1"/>
    <w:qFormat/>
    <w:uiPriority w:val="0"/>
    <w:pPr>
      <w:widowControl/>
      <w:spacing w:before="100" w:beforeAutospacing="1" w:after="100" w:afterAutospacing="1" w:line="360" w:lineRule="exact"/>
      <w:jc w:val="center"/>
      <w:textAlignment w:val="center"/>
    </w:pPr>
    <w:rPr>
      <w:rFonts w:hint="eastAsia" w:ascii="黑体" w:eastAsia="黑体"/>
      <w:kern w:val="0"/>
      <w:sz w:val="32"/>
      <w:szCs w:val="32"/>
    </w:rPr>
  </w:style>
  <w:style w:type="paragraph" w:customStyle="1" w:styleId="58">
    <w:name w:val="6-正文"/>
    <w:basedOn w:val="1"/>
    <w:link w:val="92"/>
    <w:qFormat/>
    <w:uiPriority w:val="0"/>
    <w:rPr>
      <w:szCs w:val="28"/>
    </w:rPr>
  </w:style>
  <w:style w:type="paragraph" w:customStyle="1" w:styleId="59">
    <w:name w:val="表 内容"/>
    <w:basedOn w:val="1"/>
    <w:qFormat/>
    <w:uiPriority w:val="0"/>
    <w:pPr>
      <w:adjustRightInd w:val="0"/>
      <w:snapToGrid w:val="0"/>
      <w:spacing w:beforeLines="15"/>
      <w:jc w:val="center"/>
    </w:pPr>
    <w:rPr>
      <w:kern w:val="0"/>
      <w:sz w:val="20"/>
      <w:szCs w:val="21"/>
    </w:rPr>
  </w:style>
  <w:style w:type="paragraph" w:customStyle="1" w:styleId="60">
    <w:name w:val="flName"/>
    <w:basedOn w:val="1"/>
    <w:qFormat/>
    <w:uiPriority w:val="0"/>
    <w:pPr>
      <w:autoSpaceDE w:val="0"/>
      <w:autoSpaceDN w:val="0"/>
      <w:spacing w:before="320" w:after="160"/>
      <w:jc w:val="center"/>
    </w:pPr>
    <w:rPr>
      <w:rFonts w:ascii="Arial" w:hAnsi="Arial" w:eastAsia="黑体" w:cs="宋体"/>
      <w:sz w:val="32"/>
      <w:szCs w:val="22"/>
      <w:lang w:val="zh-CN" w:bidi="zh-CN"/>
    </w:rPr>
  </w:style>
  <w:style w:type="paragraph" w:customStyle="1" w:styleId="61">
    <w:name w:val="表格文字"/>
    <w:basedOn w:val="28"/>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character" w:customStyle="1" w:styleId="62">
    <w:name w:val="题注 字符"/>
    <w:link w:val="17"/>
    <w:qFormat/>
    <w:uiPriority w:val="0"/>
    <w:rPr>
      <w:rFonts w:ascii="Times New Roman" w:hAnsi="Times New Roman"/>
      <w:b/>
      <w:bCs/>
      <w:color w:val="000000"/>
      <w:sz w:val="21"/>
      <w:szCs w:val="21"/>
    </w:rPr>
  </w:style>
  <w:style w:type="paragraph" w:customStyle="1" w:styleId="63">
    <w:name w:val="括号标题"/>
    <w:basedOn w:val="3"/>
    <w:next w:val="4"/>
    <w:qFormat/>
    <w:uiPriority w:val="0"/>
    <w:pPr>
      <w:autoSpaceDE w:val="0"/>
      <w:autoSpaceDN w:val="0"/>
    </w:pPr>
    <w:rPr>
      <w:rFonts w:hAnsi="宋体"/>
      <w:color w:val="000000"/>
    </w:rPr>
  </w:style>
  <w:style w:type="paragraph" w:customStyle="1" w:styleId="64">
    <w:name w:val="J-表格内容（5号+居中）"/>
    <w:basedOn w:val="1"/>
    <w:qFormat/>
    <w:uiPriority w:val="0"/>
    <w:pPr>
      <w:spacing w:line="240" w:lineRule="auto"/>
      <w:jc w:val="center"/>
    </w:pPr>
    <w:rPr>
      <w:sz w:val="21"/>
      <w:szCs w:val="21"/>
    </w:rPr>
  </w:style>
  <w:style w:type="paragraph" w:customStyle="1" w:styleId="65">
    <w:name w:val="表内字"/>
    <w:basedOn w:val="66"/>
    <w:qFormat/>
    <w:uiPriority w:val="0"/>
    <w:pPr>
      <w:autoSpaceDE w:val="0"/>
      <w:autoSpaceDN w:val="0"/>
      <w:spacing w:line="320" w:lineRule="exact"/>
    </w:pPr>
    <w:rPr>
      <w:rFonts w:hAnsi="宋体"/>
      <w:kern w:val="2"/>
      <w:sz w:val="21"/>
      <w:szCs w:val="21"/>
    </w:rPr>
  </w:style>
  <w:style w:type="paragraph" w:customStyle="1" w:styleId="66">
    <w:name w:val="表格"/>
    <w:basedOn w:val="19"/>
    <w:next w:val="1"/>
    <w:qFormat/>
    <w:uiPriority w:val="0"/>
    <w:pPr>
      <w:adjustRightInd w:val="0"/>
      <w:snapToGrid w:val="0"/>
      <w:spacing w:before="31" w:beforeLines="10" w:after="31" w:afterLines="10" w:line="259" w:lineRule="auto"/>
      <w:jc w:val="center"/>
    </w:pPr>
    <w:rPr>
      <w:rFonts w:ascii="宋体"/>
      <w:kern w:val="0"/>
      <w:szCs w:val="20"/>
    </w:rPr>
  </w:style>
  <w:style w:type="paragraph" w:customStyle="1" w:styleId="67">
    <w:name w:val="表内字1"/>
    <w:basedOn w:val="1"/>
    <w:qFormat/>
    <w:uiPriority w:val="0"/>
    <w:pPr>
      <w:adjustRightInd w:val="0"/>
      <w:snapToGrid w:val="0"/>
      <w:spacing w:line="300" w:lineRule="exact"/>
      <w:jc w:val="center"/>
    </w:pPr>
    <w:rPr>
      <w:rFonts w:ascii="Calibri" w:hAnsi="Calibri"/>
      <w:color w:val="000000"/>
      <w:sz w:val="22"/>
      <w:szCs w:val="21"/>
    </w:rPr>
  </w:style>
  <w:style w:type="paragraph" w:customStyle="1" w:styleId="68">
    <w:name w:val="表格内容居中"/>
    <w:qFormat/>
    <w:uiPriority w:val="0"/>
    <w:pPr>
      <w:adjustRightInd w:val="0"/>
      <w:snapToGrid w:val="0"/>
      <w:jc w:val="center"/>
    </w:pPr>
    <w:rPr>
      <w:rFonts w:ascii="Times New Roman" w:hAnsi="Times New Roman" w:eastAsia="宋体" w:cs="Times New Roman"/>
      <w:snapToGrid w:val="0"/>
      <w:sz w:val="21"/>
      <w:szCs w:val="21"/>
      <w:lang w:val="en-US" w:eastAsia="zh-CN" w:bidi="ar-SA"/>
    </w:rPr>
  </w:style>
  <w:style w:type="paragraph" w:customStyle="1" w:styleId="69">
    <w:name w:val="无间隔1"/>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70">
    <w:name w:val="font61"/>
    <w:basedOn w:val="46"/>
    <w:qFormat/>
    <w:uiPriority w:val="0"/>
    <w:rPr>
      <w:rFonts w:hint="default" w:ascii="Times New Roman" w:hAnsi="Times New Roman" w:cs="Times New Roman"/>
      <w:b/>
      <w:color w:val="000000"/>
      <w:sz w:val="18"/>
      <w:szCs w:val="18"/>
      <w:u w:val="none"/>
    </w:rPr>
  </w:style>
  <w:style w:type="character" w:customStyle="1" w:styleId="71">
    <w:name w:val="font81"/>
    <w:basedOn w:val="46"/>
    <w:qFormat/>
    <w:uiPriority w:val="0"/>
    <w:rPr>
      <w:rFonts w:hint="default" w:ascii="Times New Roman" w:hAnsi="Times New Roman" w:cs="Times New Roman"/>
      <w:b/>
      <w:color w:val="000000"/>
      <w:sz w:val="18"/>
      <w:szCs w:val="18"/>
      <w:u w:val="none"/>
    </w:rPr>
  </w:style>
  <w:style w:type="character" w:customStyle="1" w:styleId="72">
    <w:name w:val="font51"/>
    <w:basedOn w:val="46"/>
    <w:qFormat/>
    <w:uiPriority w:val="0"/>
    <w:rPr>
      <w:rFonts w:hint="eastAsia" w:ascii="宋体" w:hAnsi="宋体" w:eastAsia="宋体" w:cs="宋体"/>
      <w:b/>
      <w:color w:val="000000"/>
      <w:sz w:val="18"/>
      <w:szCs w:val="18"/>
      <w:u w:val="none"/>
    </w:rPr>
  </w:style>
  <w:style w:type="character" w:customStyle="1" w:styleId="73">
    <w:name w:val="font91"/>
    <w:basedOn w:val="46"/>
    <w:qFormat/>
    <w:uiPriority w:val="0"/>
    <w:rPr>
      <w:rFonts w:ascii="Calibri" w:hAnsi="Calibri" w:cs="Calibri"/>
      <w:color w:val="auto"/>
      <w:sz w:val="21"/>
      <w:szCs w:val="21"/>
      <w:u w:val="none"/>
    </w:rPr>
  </w:style>
  <w:style w:type="character" w:customStyle="1" w:styleId="74">
    <w:name w:val="font111"/>
    <w:basedOn w:val="46"/>
    <w:qFormat/>
    <w:uiPriority w:val="0"/>
    <w:rPr>
      <w:rFonts w:hint="default" w:ascii="Times New Roman" w:hAnsi="Times New Roman" w:cs="Times New Roman"/>
      <w:b/>
      <w:color w:val="000000"/>
      <w:sz w:val="18"/>
      <w:szCs w:val="18"/>
      <w:u w:val="none"/>
    </w:rPr>
  </w:style>
  <w:style w:type="character" w:customStyle="1" w:styleId="75">
    <w:name w:val="font101"/>
    <w:basedOn w:val="46"/>
    <w:qFormat/>
    <w:uiPriority w:val="0"/>
    <w:rPr>
      <w:rFonts w:hint="eastAsia" w:ascii="宋体" w:hAnsi="宋体" w:eastAsia="宋体" w:cs="宋体"/>
      <w:b/>
      <w:color w:val="000000"/>
      <w:sz w:val="18"/>
      <w:szCs w:val="18"/>
      <w:u w:val="none"/>
    </w:rPr>
  </w:style>
  <w:style w:type="paragraph" w:customStyle="1" w:styleId="76">
    <w:name w:val="附图附件"/>
    <w:basedOn w:val="1"/>
    <w:qFormat/>
    <w:uiPriority w:val="0"/>
    <w:pPr>
      <w:spacing w:line="240" w:lineRule="auto"/>
      <w:jc w:val="center"/>
      <w:outlineLvl w:val="0"/>
    </w:pPr>
  </w:style>
  <w:style w:type="paragraph" w:customStyle="1" w:styleId="77">
    <w:name w:val="J-表格标题+图片标题（5号+居中）"/>
    <w:basedOn w:val="1"/>
    <w:qFormat/>
    <w:uiPriority w:val="0"/>
    <w:pPr>
      <w:spacing w:line="240" w:lineRule="auto"/>
      <w:jc w:val="center"/>
    </w:pPr>
    <w:rPr>
      <w:b/>
      <w:sz w:val="21"/>
      <w:szCs w:val="21"/>
    </w:rPr>
  </w:style>
  <w:style w:type="paragraph" w:customStyle="1" w:styleId="78">
    <w:name w:val="报告表小标题"/>
    <w:basedOn w:val="1"/>
    <w:qFormat/>
    <w:uiPriority w:val="0"/>
    <w:pPr>
      <w:spacing w:before="100" w:beforeAutospacing="1"/>
    </w:pPr>
    <w:rPr>
      <w:b/>
    </w:rPr>
  </w:style>
  <w:style w:type="character" w:customStyle="1" w:styleId="79">
    <w:name w:val="font21"/>
    <w:basedOn w:val="46"/>
    <w:qFormat/>
    <w:uiPriority w:val="0"/>
    <w:rPr>
      <w:rFonts w:hint="eastAsia" w:ascii="宋体" w:hAnsi="宋体" w:eastAsia="宋体" w:cs="宋体"/>
      <w:b/>
      <w:bCs/>
      <w:color w:val="000000"/>
      <w:sz w:val="21"/>
      <w:szCs w:val="21"/>
      <w:u w:val="none"/>
    </w:rPr>
  </w:style>
  <w:style w:type="character" w:customStyle="1" w:styleId="80">
    <w:name w:val="font11"/>
    <w:basedOn w:val="46"/>
    <w:qFormat/>
    <w:uiPriority w:val="0"/>
    <w:rPr>
      <w:rFonts w:hint="eastAsia" w:ascii="宋体" w:hAnsi="宋体" w:eastAsia="宋体" w:cs="宋体"/>
      <w:color w:val="000000"/>
      <w:sz w:val="21"/>
      <w:szCs w:val="21"/>
      <w:u w:val="none"/>
    </w:rPr>
  </w:style>
  <w:style w:type="character" w:customStyle="1" w:styleId="81">
    <w:name w:val="font41"/>
    <w:basedOn w:val="46"/>
    <w:qFormat/>
    <w:uiPriority w:val="0"/>
    <w:rPr>
      <w:rFonts w:hint="eastAsia" w:ascii="宋体" w:hAnsi="宋体" w:eastAsia="宋体" w:cs="宋体"/>
      <w:color w:val="000000"/>
      <w:sz w:val="21"/>
      <w:szCs w:val="21"/>
      <w:u w:val="none"/>
    </w:rPr>
  </w:style>
  <w:style w:type="paragraph" w:customStyle="1" w:styleId="82">
    <w:name w:val="样式 方正仿宋_GBK 三号 行距: 固定值 28 磅"/>
    <w:basedOn w:val="1"/>
    <w:qFormat/>
    <w:uiPriority w:val="0"/>
    <w:pPr>
      <w:ind w:firstLine="200" w:firstLineChars="200"/>
      <w:jc w:val="left"/>
    </w:pPr>
    <w:rPr>
      <w:rFonts w:ascii="方正仿宋_GBK" w:hAnsi="方正仿宋_GBK" w:cs="宋体"/>
      <w:sz w:val="28"/>
      <w:szCs w:val="20"/>
    </w:rPr>
  </w:style>
  <w:style w:type="paragraph" w:styleId="83">
    <w:name w:val="List Paragraph"/>
    <w:basedOn w:val="1"/>
    <w:qFormat/>
    <w:uiPriority w:val="99"/>
    <w:pPr>
      <w:ind w:firstLine="420" w:firstLineChars="200"/>
    </w:pPr>
  </w:style>
  <w:style w:type="character" w:customStyle="1" w:styleId="84">
    <w:name w:val="fontstyle01"/>
    <w:qFormat/>
    <w:uiPriority w:val="0"/>
    <w:rPr>
      <w:rFonts w:hint="eastAsia" w:ascii="宋体" w:hAnsi="宋体" w:eastAsia="宋体"/>
      <w:color w:val="000000"/>
      <w:sz w:val="24"/>
      <w:szCs w:val="24"/>
    </w:rPr>
  </w:style>
  <w:style w:type="paragraph" w:customStyle="1" w:styleId="85">
    <w:name w:val="HJ-正文"/>
    <w:basedOn w:val="1"/>
    <w:qFormat/>
    <w:uiPriority w:val="0"/>
    <w:pPr>
      <w:ind w:firstLine="480" w:firstLineChars="200"/>
    </w:pPr>
  </w:style>
  <w:style w:type="paragraph" w:customStyle="1" w:styleId="86">
    <w:name w:val="WPSOffice手动目录 1"/>
    <w:qFormat/>
    <w:uiPriority w:val="0"/>
    <w:rPr>
      <w:rFonts w:ascii="Times New Roman" w:hAnsi="Times New Roman" w:eastAsia="宋体" w:cs="Times New Roman"/>
      <w:lang w:val="en-US" w:eastAsia="zh-CN" w:bidi="ar-SA"/>
    </w:rPr>
  </w:style>
  <w:style w:type="paragraph" w:customStyle="1" w:styleId="87">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8">
    <w:name w:val="批注文字 字符"/>
    <w:basedOn w:val="46"/>
    <w:link w:val="20"/>
    <w:qFormat/>
    <w:uiPriority w:val="0"/>
    <w:rPr>
      <w:sz w:val="24"/>
    </w:rPr>
  </w:style>
  <w:style w:type="character" w:customStyle="1" w:styleId="89">
    <w:name w:val="批注主题 字符"/>
    <w:basedOn w:val="88"/>
    <w:link w:val="41"/>
    <w:qFormat/>
    <w:uiPriority w:val="0"/>
    <w:rPr>
      <w:b/>
      <w:bCs/>
      <w:kern w:val="2"/>
      <w:sz w:val="24"/>
      <w:szCs w:val="24"/>
    </w:rPr>
  </w:style>
  <w:style w:type="character" w:customStyle="1" w:styleId="90">
    <w:name w:val="NormalCharacter"/>
    <w:qFormat/>
    <w:uiPriority w:val="0"/>
    <w:rPr>
      <w:rFonts w:ascii="Times New Roman" w:hAnsi="Times New Roman" w:eastAsia="宋体" w:cs="Times New Roman"/>
      <w:kern w:val="2"/>
      <w:sz w:val="24"/>
      <w:szCs w:val="24"/>
      <w:lang w:val="en-US" w:eastAsia="zh-CN" w:bidi="ar-SA"/>
    </w:rPr>
  </w:style>
  <w:style w:type="character" w:customStyle="1" w:styleId="91">
    <w:name w:val="font31"/>
    <w:basedOn w:val="46"/>
    <w:qFormat/>
    <w:uiPriority w:val="0"/>
    <w:rPr>
      <w:rFonts w:hint="default" w:ascii="Times New Roman" w:hAnsi="Times New Roman" w:cs="Times New Roman"/>
      <w:color w:val="000000"/>
      <w:sz w:val="21"/>
      <w:szCs w:val="21"/>
      <w:u w:val="none"/>
    </w:rPr>
  </w:style>
  <w:style w:type="character" w:customStyle="1" w:styleId="92">
    <w:name w:val="6-正文 Char"/>
    <w:link w:val="58"/>
    <w:qFormat/>
    <w:uiPriority w:val="0"/>
    <w:rPr>
      <w:szCs w:val="28"/>
    </w:rPr>
  </w:style>
  <w:style w:type="table" w:customStyle="1" w:styleId="93">
    <w:name w:val="报告书标准表格"/>
    <w:basedOn w:val="44"/>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4">
    <w:name w:val="报告正文"/>
    <w:basedOn w:val="1"/>
    <w:qFormat/>
    <w:uiPriority w:val="0"/>
    <w:pPr>
      <w:ind w:firstLine="480" w:firstLineChars="200"/>
    </w:pPr>
  </w:style>
  <w:style w:type="paragraph" w:customStyle="1" w:styleId="95">
    <w:name w:val="表格内容"/>
    <w:basedOn w:val="68"/>
    <w:next w:val="1"/>
    <w:qFormat/>
    <w:uiPriority w:val="0"/>
    <w:rPr>
      <w:sz w:val="21"/>
      <w:szCs w:val="21"/>
    </w:rPr>
  </w:style>
  <w:style w:type="paragraph" w:customStyle="1" w:styleId="96">
    <w:name w:val="表格标题"/>
    <w:basedOn w:val="28"/>
    <w:qFormat/>
    <w:uiPriority w:val="0"/>
    <w:pPr>
      <w:jc w:val="center"/>
    </w:pPr>
    <w:rPr>
      <w:rFonts w:ascii="Times New Roman" w:hAnsi="Times New Roman"/>
      <w:b/>
    </w:rPr>
  </w:style>
  <w:style w:type="character" w:customStyle="1" w:styleId="97">
    <w:name w:val="16"/>
    <w:basedOn w:val="46"/>
    <w:qFormat/>
    <w:uiPriority w:val="0"/>
    <w:rPr>
      <w:rFonts w:hint="default" w:ascii="Times New Roman" w:hAnsi="Times New Roman" w:cs="Times New Roman"/>
      <w:color w:val="000000"/>
      <w:sz w:val="21"/>
      <w:szCs w:val="21"/>
    </w:rPr>
  </w:style>
  <w:style w:type="character" w:customStyle="1" w:styleId="98">
    <w:name w:val="17"/>
    <w:basedOn w:val="46"/>
    <w:qFormat/>
    <w:uiPriority w:val="0"/>
    <w:rPr>
      <w:rFonts w:hint="default" w:ascii="Times New Roman" w:hAnsi="Times New Roman" w:cs="Times New Roman"/>
      <w:color w:val="000000"/>
      <w:sz w:val="21"/>
      <w:szCs w:val="21"/>
      <w:vertAlign w:val="superscript"/>
    </w:rPr>
  </w:style>
  <w:style w:type="character" w:customStyle="1" w:styleId="99">
    <w:name w:val="15"/>
    <w:basedOn w:val="46"/>
    <w:qFormat/>
    <w:uiPriority w:val="0"/>
    <w:rPr>
      <w:rFonts w:hint="eastAsia" w:ascii="宋体" w:hAnsi="宋体" w:eastAsia="宋体"/>
      <w:color w:val="000000"/>
      <w:sz w:val="21"/>
      <w:szCs w:val="21"/>
    </w:rPr>
  </w:style>
  <w:style w:type="paragraph" w:customStyle="1" w:styleId="100">
    <w:name w:val="List Paragraph1"/>
    <w:basedOn w:val="1"/>
    <w:qFormat/>
    <w:uiPriority w:val="34"/>
    <w:pPr>
      <w:widowControl w:val="0"/>
      <w:ind w:firstLine="420" w:firstLineChars="200"/>
      <w:jc w:val="both"/>
    </w:pPr>
    <w:rPr>
      <w:rFonts w:ascii="Calibri" w:hAnsi="Calibri" w:eastAsia="宋体" w:cs="Times New Roman"/>
      <w:kern w:val="2"/>
      <w:sz w:val="21"/>
      <w:szCs w:val="22"/>
    </w:rPr>
  </w:style>
  <w:style w:type="paragraph" w:customStyle="1" w:styleId="101">
    <w:name w:val="图表标题"/>
    <w:basedOn w:val="1"/>
    <w:next w:val="1"/>
    <w:qFormat/>
    <w:uiPriority w:val="0"/>
    <w:pPr>
      <w:jc w:val="center"/>
    </w:pPr>
    <w:rPr>
      <w:b/>
      <w:sz w:val="21"/>
    </w:rPr>
  </w:style>
  <w:style w:type="paragraph" w:customStyle="1" w:styleId="102">
    <w:name w:val="表头"/>
    <w:basedOn w:val="103"/>
    <w:next w:val="1"/>
    <w:qFormat/>
    <w:uiPriority w:val="99"/>
    <w:pPr>
      <w:adjustRightInd w:val="0"/>
      <w:spacing w:beforeLines="50"/>
      <w:ind w:firstLine="200"/>
    </w:pPr>
    <w:rPr>
      <w:szCs w:val="28"/>
    </w:rPr>
  </w:style>
  <w:style w:type="paragraph" w:customStyle="1" w:styleId="103">
    <w:name w:val="表标题"/>
    <w:basedOn w:val="21"/>
    <w:next w:val="21"/>
    <w:qFormat/>
    <w:uiPriority w:val="0"/>
    <w:pPr>
      <w:spacing w:line="500" w:lineRule="exact"/>
      <w:ind w:firstLine="482" w:firstLineChars="200"/>
      <w:jc w:val="center"/>
    </w:pPr>
    <w:rPr>
      <w:rFonts w:ascii="仿宋_GB2312" w:eastAsia="仿宋_GB2312"/>
      <w:b/>
      <w:sz w:val="24"/>
    </w:rPr>
  </w:style>
  <w:style w:type="paragraph" w:customStyle="1" w:styleId="104">
    <w:name w:val="列表段落1"/>
    <w:basedOn w:val="1"/>
    <w:qFormat/>
    <w:uiPriority w:val="99"/>
    <w:pPr>
      <w:spacing w:line="360" w:lineRule="auto"/>
      <w:ind w:firstLine="420" w:firstLineChars="200"/>
    </w:pPr>
    <w:rPr>
      <w:sz w:val="24"/>
      <w:szCs w:val="22"/>
    </w:rPr>
  </w:style>
  <w:style w:type="paragraph" w:customStyle="1" w:styleId="105">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06">
    <w:name w:val="（一）"/>
    <w:basedOn w:val="1"/>
    <w:qFormat/>
    <w:uiPriority w:val="0"/>
    <w:pPr>
      <w:numPr>
        <w:ilvl w:val="0"/>
        <w:numId w:val="5"/>
      </w:numPr>
      <w:spacing w:line="400" w:lineRule="exact"/>
    </w:pPr>
    <w:rPr>
      <w:b/>
      <w:sz w:val="24"/>
    </w:rPr>
  </w:style>
  <w:style w:type="paragraph" w:customStyle="1" w:styleId="107">
    <w:name w:val="正文1"/>
    <w:basedOn w:val="1"/>
    <w:qFormat/>
    <w:uiPriority w:val="0"/>
    <w:rPr>
      <w:sz w:val="24"/>
    </w:rPr>
  </w:style>
  <w:style w:type="paragraph" w:customStyle="1" w:styleId="108">
    <w:name w:val="表格 32"/>
    <w:basedOn w:val="1"/>
    <w:qFormat/>
    <w:uiPriority w:val="0"/>
    <w:pPr>
      <w:autoSpaceDE w:val="0"/>
      <w:autoSpaceDN w:val="0"/>
      <w:adjustRightInd w:val="0"/>
      <w:spacing w:line="240" w:lineRule="atLeast"/>
      <w:jc w:val="center"/>
      <w:textAlignment w:val="baseline"/>
    </w:pPr>
    <w:rPr>
      <w:spacing w:val="0"/>
      <w:sz w:val="24"/>
      <w:szCs w:val="24"/>
    </w:rPr>
  </w:style>
  <w:style w:type="paragraph" w:customStyle="1" w:styleId="109">
    <w:name w:val="表格文字！！！！"/>
    <w:basedOn w:val="1"/>
    <w:qFormat/>
    <w:uiPriority w:val="0"/>
    <w:pPr>
      <w:jc w:val="center"/>
    </w:pPr>
    <w:rPr>
      <w:spacing w:val="0"/>
      <w:kern w:val="2"/>
      <w:sz w:val="21"/>
      <w:szCs w:val="24"/>
    </w:rPr>
  </w:style>
  <w:style w:type="paragraph" w:customStyle="1" w:styleId="110">
    <w:name w:val="陆晶 表格式"/>
    <w:basedOn w:val="1"/>
    <w:qFormat/>
    <w:uiPriority w:val="0"/>
    <w:pPr>
      <w:jc w:val="center"/>
    </w:pPr>
    <w:rPr>
      <w:spacing w:val="0"/>
      <w:kern w:val="2"/>
      <w:sz w:val="21"/>
    </w:rPr>
  </w:style>
  <w:style w:type="paragraph" w:customStyle="1" w:styleId="111">
    <w:name w:val="表格2"/>
    <w:basedOn w:val="1"/>
    <w:next w:val="1"/>
    <w:qFormat/>
    <w:uiPriority w:val="0"/>
    <w:pPr>
      <w:topLinePunct/>
      <w:autoSpaceDE w:val="0"/>
      <w:autoSpaceDN w:val="0"/>
      <w:adjustRightInd w:val="0"/>
      <w:spacing w:line="288" w:lineRule="auto"/>
      <w:jc w:val="center"/>
    </w:pPr>
    <w:rPr>
      <w:rFonts w:ascii="宋体"/>
      <w:kern w:val="0"/>
      <w:position w:val="-28"/>
      <w:sz w:val="18"/>
      <w:szCs w:val="20"/>
    </w:rPr>
  </w:style>
  <w:style w:type="paragraph" w:customStyle="1" w:styleId="112">
    <w:name w:val="AP外表文字居中（图）"/>
    <w:basedOn w:val="113"/>
    <w:qFormat/>
    <w:uiPriority w:val="0"/>
    <w:pPr>
      <w:spacing w:line="240" w:lineRule="auto"/>
      <w:ind w:firstLine="0" w:firstLineChars="0"/>
      <w:jc w:val="center"/>
    </w:pPr>
    <w:rPr>
      <w:kern w:val="2"/>
    </w:rPr>
  </w:style>
  <w:style w:type="paragraph" w:customStyle="1" w:styleId="113">
    <w:name w:val="AP外表文字段落"/>
    <w:basedOn w:val="114"/>
    <w:qFormat/>
    <w:uiPriority w:val="0"/>
    <w:pPr>
      <w:widowControl w:val="0"/>
      <w:spacing w:line="360" w:lineRule="auto"/>
    </w:pPr>
    <w:rPr>
      <w:rFonts w:hint="eastAsia"/>
      <w:kern w:val="44"/>
      <w:sz w:val="24"/>
    </w:rPr>
  </w:style>
  <w:style w:type="paragraph" w:customStyle="1" w:styleId="114">
    <w:name w:val="BP内表文字段落"/>
    <w:next w:val="1"/>
    <w:qFormat/>
    <w:uiPriority w:val="0"/>
    <w:pPr>
      <w:kinsoku w:val="0"/>
      <w:wordWrap w:val="0"/>
      <w:topLinePunct/>
      <w:ind w:firstLine="200" w:firstLineChars="200"/>
      <w:jc w:val="both"/>
    </w:pPr>
    <w:rPr>
      <w:rFonts w:ascii="Times New Roman" w:hAnsi="Times New Roman" w:eastAsia="宋体" w:cs="Times New Roman"/>
      <w:kern w:val="2"/>
      <w:sz w:val="21"/>
      <w:szCs w:val="24"/>
      <w:lang w:val="en-US" w:eastAsia="zh-CN" w:bidi="ar-SA"/>
    </w:rPr>
  </w:style>
  <w:style w:type="paragraph" w:customStyle="1" w:styleId="115">
    <w:name w:val="Table Paragraph"/>
    <w:basedOn w:val="1"/>
    <w:qFormat/>
    <w:uiPriority w:val="1"/>
    <w:rPr>
      <w:rFonts w:ascii="宋体" w:hAnsi="宋体" w:cs="宋体"/>
      <w:lang w:val="zh-CN" w:bidi="zh-CN"/>
    </w:rPr>
  </w:style>
  <w:style w:type="paragraph" w:customStyle="1" w:styleId="116">
    <w:name w:val="0-正文"/>
    <w:basedOn w:val="1"/>
    <w:qFormat/>
    <w:uiPriority w:val="0"/>
    <w:pPr>
      <w:ind w:firstLine="200" w:firstLineChars="200"/>
    </w:pPr>
    <w:rPr>
      <w:spacing w:val="4"/>
      <w:szCs w:val="28"/>
      <w:lang w:val="zh-CN"/>
    </w:rPr>
  </w:style>
  <w:style w:type="paragraph" w:customStyle="1" w:styleId="117">
    <w:name w:val="0表格文字 五号 常规"/>
    <w:basedOn w:val="1"/>
    <w:qFormat/>
    <w:uiPriority w:val="0"/>
    <w:pPr>
      <w:autoSpaceDE w:val="0"/>
      <w:autoSpaceDN w:val="0"/>
      <w:jc w:val="center"/>
    </w:pPr>
    <w:rPr>
      <w:sz w:val="21"/>
      <w:szCs w:val="20"/>
    </w:rPr>
  </w:style>
  <w:style w:type="paragraph" w:customStyle="1" w:styleId="118">
    <w:name w:val="【正文】"/>
    <w:basedOn w:val="1"/>
    <w:qFormat/>
    <w:uiPriority w:val="0"/>
    <w:pPr>
      <w:ind w:firstLine="200" w:firstLineChars="200"/>
    </w:pPr>
    <w:rPr>
      <w:rFonts w:cs="宋体"/>
      <w:szCs w:val="20"/>
    </w:rPr>
  </w:style>
  <w:style w:type="paragraph" w:customStyle="1" w:styleId="119">
    <w:name w:val="表格 标题"/>
    <w:qFormat/>
    <w:uiPriority w:val="0"/>
    <w:pPr>
      <w:spacing w:before="60"/>
      <w:jc w:val="center"/>
    </w:pPr>
    <w:rPr>
      <w:rFonts w:ascii="Times New Roman" w:hAnsi="Times New Roman" w:eastAsia="宋体" w:cs="Times New Roman"/>
      <w:b/>
      <w:snapToGrid w:val="0"/>
      <w:color w:val="000000"/>
      <w:sz w:val="21"/>
      <w:szCs w:val="22"/>
      <w:lang w:val="zh-CN" w:eastAsia="zh-CN" w:bidi="ar-SA"/>
    </w:rPr>
  </w:style>
  <w:style w:type="paragraph" w:customStyle="1" w:styleId="120">
    <w:name w:val="LL表格内容"/>
    <w:basedOn w:val="1"/>
    <w:qFormat/>
    <w:uiPriority w:val="0"/>
    <w:pPr>
      <w:wordWrap w:val="0"/>
      <w:overflowPunct w:val="0"/>
      <w:topLinePunct/>
      <w:autoSpaceDE w:val="0"/>
      <w:autoSpaceDN w:val="0"/>
      <w:spacing w:line="240" w:lineRule="auto"/>
      <w:jc w:val="center"/>
    </w:pPr>
    <w:rPr>
      <w:rFonts w:cs="宋体"/>
      <w:color w:val="auto"/>
      <w:kern w:val="0"/>
      <w:sz w:val="21"/>
      <w:szCs w:val="22"/>
      <w:lang w:val="zh-CN" w:bidi="zh-CN"/>
    </w:rPr>
  </w:style>
  <w:style w:type="paragraph" w:customStyle="1" w:styleId="121">
    <w:name w:val="国寰正文"/>
    <w:basedOn w:val="1"/>
    <w:qFormat/>
    <w:uiPriority w:val="0"/>
    <w:pPr>
      <w:adjustRightInd w:val="0"/>
      <w:snapToGrid w:val="0"/>
      <w:spacing w:line="360" w:lineRule="auto"/>
      <w:ind w:firstLine="200" w:firstLineChars="200"/>
    </w:pPr>
    <w:rPr>
      <w:spacing w:val="0"/>
      <w:kern w:val="2"/>
      <w:sz w:val="24"/>
      <w:szCs w:val="24"/>
    </w:rPr>
  </w:style>
  <w:style w:type="character" w:customStyle="1" w:styleId="122">
    <w:name w:val="纯文本1 Char"/>
    <w:link w:val="3"/>
    <w:qFormat/>
    <w:uiPriority w:val="0"/>
    <w:rPr>
      <w:rFonts w:ascii="宋体" w:hAnsi="Courier New"/>
    </w:rPr>
  </w:style>
  <w:style w:type="paragraph" w:customStyle="1" w:styleId="123">
    <w:name w:val="Lux 正文"/>
    <w:basedOn w:val="1"/>
    <w:qFormat/>
    <w:uiPriority w:val="0"/>
    <w:pPr>
      <w:spacing w:before="80" w:after="80" w:line="360" w:lineRule="auto"/>
      <w:ind w:firstLine="200" w:firstLineChars="200"/>
    </w:pPr>
    <w:rPr>
      <w:kern w:val="0"/>
      <w:sz w:val="24"/>
      <w:szCs w:val="20"/>
    </w:rPr>
  </w:style>
  <w:style w:type="paragraph" w:customStyle="1" w:styleId="124">
    <w:name w:val="lai表格格式"/>
    <w:next w:val="21"/>
    <w:qFormat/>
    <w:uiPriority w:val="0"/>
    <w:pPr>
      <w:ind w:firstLine="0" w:firstLineChars="0"/>
      <w:jc w:val="center"/>
    </w:pPr>
    <w:rPr>
      <w:rFonts w:ascii="Times New Roman" w:hAnsi="Times New Roman" w:eastAsia="宋体" w:cs="Times New Roman"/>
      <w:sz w:val="21"/>
      <w:szCs w:val="21"/>
    </w:rPr>
  </w:style>
  <w:style w:type="paragraph" w:customStyle="1" w:styleId="125">
    <w:name w:val="lai表格标题"/>
    <w:next w:val="1"/>
    <w:qFormat/>
    <w:uiPriority w:val="0"/>
    <w:pPr>
      <w:widowControl w:val="0"/>
      <w:numPr>
        <w:ilvl w:val="0"/>
        <w:numId w:val="6"/>
      </w:numPr>
      <w:spacing w:before="50" w:beforeLines="50"/>
      <w:ind w:firstLine="0"/>
      <w:jc w:val="center"/>
    </w:pPr>
    <w:rPr>
      <w:rFonts w:ascii="Times New Roman" w:hAnsi="Times New Roman" w:eastAsia="宋体" w:cs="Times New Roman"/>
      <w:b/>
      <w:kern w:val="2"/>
      <w:sz w:val="24"/>
      <w:szCs w:val="24"/>
      <w:lang w:val="en-US" w:eastAsia="zh-CN" w:bidi="ar-SA"/>
    </w:rPr>
  </w:style>
  <w:style w:type="table" w:customStyle="1" w:styleId="126">
    <w:name w:val="Table Normal"/>
    <w:qFormat/>
    <w:uiPriority w:val="0"/>
    <w:tblPr>
      <w:tblCellMar>
        <w:top w:w="0" w:type="dxa"/>
        <w:left w:w="0" w:type="dxa"/>
        <w:bottom w:w="0" w:type="dxa"/>
        <w:right w:w="0" w:type="dxa"/>
      </w:tblCellMar>
    </w:tblPr>
  </w:style>
  <w:style w:type="paragraph" w:customStyle="1" w:styleId="127">
    <w:name w:val="Huo 表 五号居中"/>
    <w:basedOn w:val="1"/>
    <w:qFormat/>
    <w:uiPriority w:val="0"/>
    <w:pPr>
      <w:spacing w:line="360" w:lineRule="exact"/>
      <w:jc w:val="center"/>
    </w:pPr>
    <w:rPr>
      <w:rFonts w:cs="仿宋_GB2312"/>
      <w:szCs w:val="21"/>
    </w:rPr>
  </w:style>
  <w:style w:type="paragraph" w:customStyle="1" w:styleId="128">
    <w:name w:val="Table Text"/>
    <w:basedOn w:val="1"/>
    <w:qFormat/>
    <w:uiPriority w:val="0"/>
    <w:rPr>
      <w:rFonts w:ascii="Times New Roman" w:hAnsi="Times New Roman" w:eastAsia="Times New Roman" w:cs="Times New Roma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5" Type="http://schemas.openxmlformats.org/officeDocument/2006/relationships/fontTable" Target="fontTable.xml"/><Relationship Id="rId64" Type="http://schemas.openxmlformats.org/officeDocument/2006/relationships/customXml" Target="../customXml/item3.xml"/><Relationship Id="rId63" Type="http://schemas.openxmlformats.org/officeDocument/2006/relationships/customXml" Target="../customXml/item2.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47.png"/><Relationship Id="rId6" Type="http://schemas.openxmlformats.org/officeDocument/2006/relationships/footer" Target="footer2.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jpeg"/><Relationship Id="rId53" Type="http://schemas.openxmlformats.org/officeDocument/2006/relationships/image" Target="media/image40.jpeg"/><Relationship Id="rId52" Type="http://schemas.openxmlformats.org/officeDocument/2006/relationships/image" Target="media/image39.jpeg"/><Relationship Id="rId51" Type="http://schemas.openxmlformats.org/officeDocument/2006/relationships/image" Target="media/image38.jpeg"/><Relationship Id="rId50" Type="http://schemas.openxmlformats.org/officeDocument/2006/relationships/image" Target="media/image37.jpeg"/><Relationship Id="rId5" Type="http://schemas.openxmlformats.org/officeDocument/2006/relationships/footer" Target="footer1.xml"/><Relationship Id="rId49" Type="http://schemas.openxmlformats.org/officeDocument/2006/relationships/image" Target="media/image36.jpeg"/><Relationship Id="rId48" Type="http://schemas.openxmlformats.org/officeDocument/2006/relationships/image" Target="media/image35.jpeg"/><Relationship Id="rId47" Type="http://schemas.openxmlformats.org/officeDocument/2006/relationships/image" Target="media/image34.jpeg"/><Relationship Id="rId46" Type="http://schemas.openxmlformats.org/officeDocument/2006/relationships/image" Target="media/image33.png"/><Relationship Id="rId45" Type="http://schemas.openxmlformats.org/officeDocument/2006/relationships/image" Target="media/image32.jpeg"/><Relationship Id="rId44" Type="http://schemas.openxmlformats.org/officeDocument/2006/relationships/image" Target="media/image31.jpeg"/><Relationship Id="rId43" Type="http://schemas.openxmlformats.org/officeDocument/2006/relationships/image" Target="media/image30.jpeg"/><Relationship Id="rId42" Type="http://schemas.openxmlformats.org/officeDocument/2006/relationships/customXml" Target="ink/ink4.xml"/><Relationship Id="rId41" Type="http://schemas.openxmlformats.org/officeDocument/2006/relationships/customXml" Target="ink/ink3.xml"/><Relationship Id="rId40" Type="http://schemas.openxmlformats.org/officeDocument/2006/relationships/customXml" Target="ink/ink2.xml"/><Relationship Id="rId4" Type="http://schemas.openxmlformats.org/officeDocument/2006/relationships/endnotes" Target="endnotes.xml"/><Relationship Id="rId39" Type="http://schemas.openxmlformats.org/officeDocument/2006/relationships/image" Target="media/image29.png"/><Relationship Id="rId38" Type="http://schemas.openxmlformats.org/officeDocument/2006/relationships/customXml" Target="ink/ink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jpeg"/><Relationship Id="rId3" Type="http://schemas.openxmlformats.org/officeDocument/2006/relationships/footnotes" Target="footnotes.xml"/><Relationship Id="rId29" Type="http://schemas.openxmlformats.org/officeDocument/2006/relationships/image" Target="media/image20.jpeg"/><Relationship Id="rId28" Type="http://schemas.openxmlformats.org/officeDocument/2006/relationships/image" Target="media/image19.jpe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NULL"/><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10905.000 953700.000,'0.000'0.000</inkml:trace>
</inkml:ink>
</file>

<file path=word/ink/ink2.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10380.000 953700.000,'0.000'0.000</inkml:trace>
</inkml:ink>
</file>

<file path=word/ink/ink3.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10860.000 953850.000,'0.000'0.000</inkml:trace>
</inkml:ink>
</file>

<file path=word/ink/ink4.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6" units="1/cm"/>
          <inkml:channelProperty channel="Y" name="resolution" value="28.34646" units="1/cm"/>
        </inkml:channelProperties>
      </inkml:inkSource>
      <inkml:timestamp xml:id="ts0" timeString="2022-05-31T18:09:19"/>
    </inkml:context>
    <inkml:brush xml:id="br0">
      <inkml:brushProperty name="width" value="0.0504" units="cm"/>
      <inkml:brushProperty name="height" value="0.0504" units="cm"/>
      <inkml:brushProperty name="color" value="#f80600"/>
    </inkml:brush>
  </inkml:definitions>
  <inkml:trace contextRef="#ctx0" brushRef="#br0">10875.000 953685.000,'0.000'0.000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contractReview xmlns="http://schemas.wps.cn/vas-ai-hub/contract-review">
  <reviewItems>
    <reviewItem>
      <errorID>933598b1-8211-4efa-a258-73974511a9b6</errorID>
      <errorWord>胶粘剂</errorWord>
      <group>L1_Word</group>
      <groupName>字词问题</groupName>
      <ability>L2_Typo</ability>
      <abilityName>字词错误</abilityName>
      <candidateList>
        <item>胶黏剂</item>
      </candidateList>
      <explain/>
      <paraID>2E7E5059</paraID>
      <start>57</start>
      <end>60</end>
      <status>unmodified</status>
      <modifiedWord/>
      <trackRevisions>false</trackRevisions>
    </reviewItem>
    <reviewItem>
      <errorID>bfecda46-f21b-4b48-b6e5-6a1593d2a704</errorID>
      <errorWord>胶粘剂</errorWord>
      <group>L1_Word</group>
      <groupName>字词问题</groupName>
      <ability>L2_Typo</ability>
      <abilityName>字词错误</abilityName>
      <candidateList>
        <item>胶黏剂</item>
      </candidateList>
      <explain/>
      <paraID>7F58D473</paraID>
      <start>37</start>
      <end>40</end>
      <status>unmodified</status>
      <modifiedWord/>
      <trackRevisions>false</trackRevisions>
    </reviewItem>
    <reviewItem>
      <errorID>e32a16c1-d7c1-483f-ac1e-e59a1da0ea44</errorID>
      <errorWord>不在与</errorWord>
      <group>L1_Word</group>
      <groupName>字词问题</groupName>
      <ability>L2_Typo</ability>
      <abilityName>字词错误</abilityName>
      <candidateList>
        <item>不再与</item>
      </candidateList>
      <explain/>
      <paraID>1E4091BE</paraID>
      <start>2</start>
      <end>5</end>
      <status>unmodified</status>
      <modifiedWord/>
      <trackRevisions>false</trackRevisions>
    </reviewItem>
    <reviewItem>
      <errorID>f1b07265-254d-4bab-9529-20bde6c2ab4b</errorID>
      <errorWord>:</errorWord>
      <group>L1_Format</group>
      <groupName>格式问题</groupName>
      <ability>L2_HalfPunc_CN</ability>
      <abilityName>全半角问题</abilityName>
      <candidateList>
        <item>：</item>
      </candidateList>
      <explain>文本全半角错误。</explain>
      <paraID>586E5130</paraID>
      <start>51</start>
      <end>52</end>
      <status>unmodified</status>
      <modifiedWord/>
      <trackRevisions>false</trackRevisions>
    </reviewItem>
    <reviewItem>
      <errorID>0f89f61e-2ca7-4c61-aaa4-bf65862819de</errorID>
      <errorWord>;</errorWord>
      <group>L1_Format</group>
      <groupName>格式问题</groupName>
      <ability>L2_HalfPunc_CN</ability>
      <abilityName>全半角问题</abilityName>
      <candidateList>
        <item>；</item>
      </candidateList>
      <explain>文本全半角错误。</explain>
      <paraID>586E5130</paraID>
      <start>131</start>
      <end>132</end>
      <status>unmodified</status>
      <modifiedWord/>
      <trackRevisions>false</trackRevisions>
    </reviewItem>
    <reviewItem>
      <errorID>67e32341-f94d-4cad-b968-d8d4e893d442</errorID>
      <errorWord>所在地位</errorWord>
      <group>L1_Word</group>
      <groupName>字词问题</groupName>
      <ability>L2_Typo</ability>
      <abilityName>字词错误</abilityName>
      <candidateList>
        <item>所在地</item>
      </candidateList>
      <explain/>
      <paraID>3828DB99</paraID>
      <start>55</start>
      <end>59</end>
      <status>unmodified</status>
      <modifiedWord/>
      <trackRevisions>false</trackRevisions>
    </reviewItem>
    <reviewItem>
      <errorID>d12d7cff-3b4a-4512-92af-e643c2f7604e</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48EA4105</paraID>
      <start>0</start>
      <end>4</end>
      <status>unmodified</status>
      <modifiedWord/>
      <trackRevisions>false</trackRevisions>
    </reviewItem>
    <reviewItem>
      <errorID>8acef51f-bb8f-4944-a442-0bf1fc6875bc</errorID>
      <errorWord>区</errorWord>
      <group>L1_Word</group>
      <groupName>字词问题</groupName>
      <ability>L2_Typo</ability>
      <abilityName>字词错误</abilityName>
      <candidateList>
        <item>区要</item>
      </candidateList>
      <explain/>
      <paraID> FE8BC10</paraID>
      <start>291</start>
      <end>292</end>
      <status>unmodified</status>
      <modifiedWord/>
      <trackRevisions>false</trackRevisions>
    </reviewItem>
    <reviewItem>
      <errorID>b35bad5e-f2b1-4a52-802c-b13286bb6936</errorID>
      <errorWord>城乡结合部</errorWord>
      <group>L1_Word</group>
      <groupName>字词问题</groupName>
      <ability>L2_Typo</ability>
      <abilityName>字词错误</abilityName>
      <candidateList>
        <item>城乡接合部</item>
      </candidateList>
      <explain/>
      <paraID>672070F2</paraID>
      <start>34</start>
      <end>39</end>
      <status>unmodified</status>
      <modifiedWord/>
      <trackRevisions>false</trackRevisions>
    </reviewItem>
    <reviewItem>
      <errorID>86444b70-3a2a-4509-9880-bd9206849406</errorID>
      <errorWord>其它</errorWord>
      <group>L1_Word</group>
      <groupName>字词问题</groupName>
      <ability>L2_Alias</ability>
      <abilityName>也作/曾用词</abilityName>
      <candidateList>
        <item>其他</item>
      </candidateList>
      <explain>词汇[其它]为不规范表述或旧称，其规范书面表述为[其他]。</explain>
      <paraID> E75A16F</paraID>
      <start>5</start>
      <end>7</end>
      <status>unmodified</status>
      <modifiedWord/>
      <trackRevisions>false</trackRevisions>
    </reviewItem>
    <reviewItem>
      <errorID>32a737a9-d678-4877-98d0-491e296b32e1</errorID>
      <errorWord>关于</errorWord>
      <group>L1_Punc</group>
      <groupName>标点问题</groupName>
      <ability>L2_Punc_CN</ability>
      <abilityName>标点符号问题</abilityName>
      <candidateList>
        <item>《关于</item>
      </candidateList>
      <explain/>
      <paraID>75C2B2E2</paraID>
      <start>14</start>
      <end>16</end>
      <status>unmodified</status>
      <modifiedWord/>
      <trackRevisions>false</trackRevisions>
    </reviewItem>
    <reviewItem>
      <errorID>8eac6ed3-bb32-48aa-b214-b1456be0d0bf</errorID>
      <errorWord>胶粘剂</errorWord>
      <group>L1_Word</group>
      <groupName>字词问题</groupName>
      <ability>L2_Typo</ability>
      <abilityName>字词错误</abilityName>
      <candidateList>
        <item>胶黏剂</item>
      </candidateList>
      <explain/>
      <paraID>62C7604E</paraID>
      <start>286</start>
      <end>289</end>
      <status>unmodified</status>
      <modifiedWord/>
      <trackRevisions>false</trackRevisions>
    </reviewItem>
    <reviewItem>
      <errorID>b9bc50fb-9683-4d65-b7ee-ad49d36dc85a</errorID>
      <errorWord>﹝2021﹞</errorWord>
      <group>L1_Punc</group>
      <groupName>标点问题</groupName>
      <ability>L2_Punc_CN</ability>
      <abilityName>标点符号问题</abilityName>
      <candidateList>
        <item>〔2021〕</item>
      </candidateList>
      <explain/>
      <paraID>68936D96</paraID>
      <start>43</start>
      <end>49</end>
      <status>unmodified</status>
      <modifiedWord/>
      <trackRevisions>false</trackRevisions>
    </reviewItem>
    <reviewItem>
      <errorID>b210eaaf-1206-4dd7-90e8-083712cdc759</errorID>
      <errorWord>自动保护区</errorWord>
      <group>L1_Word</group>
      <groupName>字词问题</groupName>
      <ability>L2_Typo</ability>
      <abilityName>字词错误</abilityName>
      <candidateList>
        <item>自然保护区</item>
      </candidateList>
      <explain/>
      <paraID>67A9BCD6</paraID>
      <start>12</start>
      <end>17</end>
      <status>unmodified</status>
      <modifiedWord/>
      <trackRevisions>false</trackRevisions>
    </reviewItem>
    <reviewItem>
      <errorID>27f47428-9d63-43cd-bf53-a3d4ed64fde0</errorID>
      <errorWord>HJ364</errorWord>
      <group>L1_Word</group>
      <groupName>字词问题</groupName>
      <ability>L2_Typo</ability>
      <abilityName>字词错误</abilityName>
      <candidateList>
        <item>HJ 364</item>
      </candidateList>
      <explain/>
      <paraID>56B7FEB0</paraID>
      <start>15</start>
      <end>20</end>
      <status>unmodified</status>
      <modifiedWord/>
      <trackRevisions>false</trackRevisions>
    </reviewItem>
    <reviewItem>
      <errorID>67ecb038-e598-4f8c-812b-7c3e631ce3ac</errorID>
      <errorWord>收集</errorWord>
      <group>L1_Word</group>
      <groupName>字词问题</groupName>
      <ability>L2_Typo</ability>
      <abilityName>字词错误</abilityName>
      <candidateList>
        <item> 收集</item>
      </candidateList>
      <explain/>
      <paraID>2FF049A0</paraID>
      <start>3</start>
      <end>5</end>
      <status>unmodified</status>
      <modifiedWord/>
      <trackRevisions>false</trackRevisions>
    </reviewItem>
    <reviewItem>
      <errorID>b453c8f3-1dbf-4a13-8797-9057cd77ac75</errorID>
      <errorWord>T37547</errorWord>
      <group>L1_Word</group>
      <groupName>字词问题</groupName>
      <ability>L2_Typo</ability>
      <abilityName>字词错误</abilityName>
      <candidateList>
        <item>T 37547</item>
      </candidateList>
      <explain/>
      <paraID>3397924B</paraID>
      <start>19</start>
      <end>25</end>
      <status>unmodified</status>
      <modifiedWord/>
      <trackRevisions>false</trackRevisions>
    </reviewItem>
    <reviewItem>
      <errorID>10edcc56-bca2-4030-a8e3-f6654aef21e4</errorID>
      <errorWord>运输</errorWord>
      <group>L1_Word</group>
      <groupName>字词问题</groupName>
      <ability>L2_Typo</ability>
      <abilityName>字词错误</abilityName>
      <candidateList>
        <item> 运输</item>
      </candidateList>
      <explain/>
      <paraID>394C74F3</paraID>
      <start>3</start>
      <end>5</end>
      <status>unmodified</status>
      <modifiedWord/>
      <trackRevisions>false</trackRevisions>
    </reviewItem>
    <reviewItem>
      <errorID>e5eac2f7-ed98-4588-a00b-015d486ae87f</errorID>
      <errorWord>要求</errorWord>
      <group>L1_Punc</group>
      <groupName>标点问题</groupName>
      <ability>L2_Punc_CN</ability>
      <abilityName>标点符号问题</abilityName>
      <candidateList>
        <item>要求：</item>
      </candidateList>
      <explain/>
      <paraID>730DC985</paraID>
      <start>7</start>
      <end>9</end>
      <status>unmodified</status>
      <modifiedWord/>
      <trackRevisions>false</trackRevisions>
    </reviewItem>
    <reviewItem>
      <errorID>dca45d77-4b69-4c59-9ced-45858e9e550a</errorID>
      <errorWord>GB31572</errorWord>
      <group>L1_Word</group>
      <groupName>字词问题</groupName>
      <ability>L2_Typo</ability>
      <abilityName>字词错误</abilityName>
      <candidateList>
        <item>GB 31572</item>
      </candidateList>
      <explain/>
      <paraID>368C8E27</paraID>
      <start>31</start>
      <end>38</end>
      <status>unmodified</status>
      <modifiedWord/>
      <trackRevisions>false</trackRevisions>
    </reviewItem>
    <reviewItem>
      <errorID>3e33d206-0456-4e6c-91e1-21865de6a040</errorID>
      <errorWord>GB16297</errorWord>
      <group>L1_Word</group>
      <groupName>字词问题</groupName>
      <ability>L2_Typo</ability>
      <abilityName>字词错误</abilityName>
      <candidateList>
        <item>GB 16297</item>
      </candidateList>
      <explain/>
      <paraID>368C8E27</paraID>
      <start>39</start>
      <end>46</end>
      <status>unmodified</status>
      <modifiedWord/>
      <trackRevisions>false</trackRevisions>
    </reviewItem>
    <reviewItem>
      <errorID>3ea3434c-263f-4301-bbb9-73142df06052</errorID>
      <errorWord>GB37822</errorWord>
      <group>L1_Word</group>
      <groupName>字词问题</groupName>
      <ability>L2_Typo</ability>
      <abilityName>字词错误</abilityName>
      <candidateList>
        <item>GB 37822</item>
      </candidateList>
      <explain/>
      <paraID>368C8E27</paraID>
      <start>47</start>
      <end>54</end>
      <status>unmodified</status>
      <modifiedWord/>
      <trackRevisions>false</trackRevisions>
    </reviewItem>
    <reviewItem>
      <errorID>c0871d3c-c25a-42f0-95dd-a913d7f233cf</errorID>
      <errorWord>GB14554</errorWord>
      <group>L1_Word</group>
      <groupName>字词问题</groupName>
      <ability>L2_Typo</ability>
      <abilityName>字词错误</abilityName>
      <candidateList>
        <item>GB 14554</item>
      </candidateList>
      <explain/>
      <paraID>368C8E27</paraID>
      <start>71</start>
      <end>78</end>
      <status>unmodified</status>
      <modifiedWord/>
      <trackRevisions>false</trackRevisions>
    </reviewItem>
    <reviewItem>
      <errorID>21167231-f876-4c00-af1d-bc088b30642f</errorID>
      <errorWord>GB12348</errorWord>
      <group>L1_Word</group>
      <groupName>字词问题</groupName>
      <ability>L2_Typo</ability>
      <abilityName>字词错误</abilityName>
      <candidateList>
        <item>GB 12348</item>
      </candidateList>
      <explain/>
      <paraID>368C8E27</paraID>
      <start>161</start>
      <end>168</end>
      <status>unmodified</status>
      <modifiedWord/>
      <trackRevisions>false</trackRevisions>
    </reviewItem>
    <reviewItem>
      <errorID>9a14a34d-f574-4654-8238-c0278d049667</errorID>
      <errorWord>要求</errorWord>
      <group>L1_Punc</group>
      <groupName>标点问题</groupName>
      <ability>L2_Punc_CN</ability>
      <abilityName>标点符号问题</abilityName>
      <candidateList>
        <item>要求：</item>
      </candidateList>
      <explain/>
      <paraID>2D1A4583</paraID>
      <start>6</start>
      <end>8</end>
      <status>unmodified</status>
      <modifiedWord/>
      <trackRevisions>false</trackRevisions>
    </reviewItem>
    <reviewItem>
      <errorID>25d8c2b6-5331-4a53-87ef-5ed8ab740da3</errorID>
      <errorWord>要求</errorWord>
      <group>L1_Punc</group>
      <groupName>标点问题</groupName>
      <ability>L2_Punc_CN</ability>
      <abilityName>标点符号问题</abilityName>
      <candidateList>
        <item>要求：</item>
      </candidateList>
      <explain/>
      <paraID>474A0F42</paraID>
      <start>6</start>
      <end>8</end>
      <status>unmodified</status>
      <modifiedWord/>
      <trackRevisions>false</trackRevisions>
    </reviewItem>
    <reviewItem>
      <errorID>97f9285c-6613-4749-af1e-87ff81cd9303</errorID>
      <errorWord>要求</errorWord>
      <group>L1_Punc</group>
      <groupName>标点问题</groupName>
      <ability>L2_Punc_CN</ability>
      <abilityName>标点符号问题</abilityName>
      <candidateList>
        <item>要求：</item>
      </candidateList>
      <explain/>
      <paraID> D115FCD</paraID>
      <start>6</start>
      <end>8</end>
      <status>unmodified</status>
      <modifiedWord/>
      <trackRevisions>false</trackRevisions>
    </reviewItem>
    <reviewItem>
      <errorID>bebd5a79-7994-470d-a604-498bea6b41c1</errorID>
      <errorWord>要求</errorWord>
      <group>L1_Punc</group>
      <groupName>标点问题</groupName>
      <ability>L2_Punc_CN</ability>
      <abilityName>标点符号问题</abilityName>
      <candidateList>
        <item>要求：</item>
      </candidateList>
      <explain/>
      <paraID> 6FBB51D</paraID>
      <start>6</start>
      <end>8</end>
      <status>unmodified</status>
      <modifiedWord/>
      <trackRevisions>false</trackRevisions>
    </reviewItem>
    <reviewItem>
      <errorID>31dbf2af-e02d-4145-aadf-fa0857dac858</errorID>
      <errorWord> </errorWord>
      <group>L1_Punc</group>
      <groupName>标点问题</groupName>
      <ability>L2_Punc_CN</ability>
      <abilityName>标点符号问题</abilityName>
      <candidateList>
        <item>. </item>
      </candidateList>
      <explain/>
      <paraID>2FA35EB0</paraID>
      <start>1</start>
      <end>2</end>
      <status>unmodified</status>
      <modifiedWord/>
      <trackRevisions>false</trackRevisions>
    </reviewItem>
    <reviewItem>
      <errorID>313524c5-996e-4a1a-9f05-793c2c780a6e</errorID>
      <errorWord>要求</errorWord>
      <group>L1_Punc</group>
      <groupName>标点问题</groupName>
      <ability>L2_Punc_CN</ability>
      <abilityName>标点符号问题</abilityName>
      <candidateList>
        <item>要求：</item>
      </candidateList>
      <explain/>
      <paraID>540AFAF2</paraID>
      <start>7</start>
      <end>9</end>
      <status>unmodified</status>
      <modifiedWord/>
      <trackRevisions>false</trackRevisions>
    </reviewItem>
    <reviewItem>
      <errorID>32071553-64cc-46cf-bed0-ab52b7f9a84b</errorID>
      <errorWord>T19001</errorWord>
      <group>L1_Word</group>
      <groupName>字词问题</groupName>
      <ability>L2_Typo</ability>
      <abilityName>字词错误</abilityName>
      <candidateList>
        <item>T 19001</item>
      </candidateList>
      <explain/>
      <paraID>39544B55</paraID>
      <start>35</start>
      <end>41</end>
      <status>unmodified</status>
      <modifiedWord/>
      <trackRevisions>false</trackRevisions>
    </reviewItem>
    <reviewItem>
      <errorID>1823e3d6-5bb8-4dd1-bda9-5bce05496c21</errorID>
      <errorWord>T24001</errorWord>
      <group>L1_Word</group>
      <groupName>字词问题</groupName>
      <ability>L2_Typo</ability>
      <abilityName>字词错误</abilityName>
      <candidateList>
        <item>T 24001</item>
      </candidateList>
      <explain/>
      <paraID>39544B55</paraID>
      <start>45</start>
      <end>51</end>
      <status>unmodified</status>
      <modifiedWord/>
      <trackRevisions>false</trackRevisions>
    </reviewItem>
    <reviewItem>
      <errorID>48ce615f-7e76-4d8a-95b2-6e007dfaa976</errorID>
      <errorWord>T45001</errorWord>
      <group>L1_Word</group>
      <groupName>字词问题</groupName>
      <ability>L2_Typo</ability>
      <abilityName>字词错误</abilityName>
      <candidateList>
        <item>T 45001</item>
      </candidateList>
      <explain/>
      <paraID>39544B55</paraID>
      <start>55</start>
      <end>61</end>
      <status>unmodified</status>
      <modifiedWord/>
      <trackRevisions>false</trackRevisions>
    </reviewItem>
    <reviewItem>
      <errorID>11f9f8b3-d31f-4ac4-95c3-103d0b4acbb7</errorID>
      <errorWord>要求</errorWord>
      <group>L1_Punc</group>
      <groupName>标点问题</groupName>
      <ability>L2_Punc_CN</ability>
      <abilityName>标点符号问题</abilityName>
      <candidateList>
        <item>要求：</item>
      </candidateList>
      <explain/>
      <paraID>5DC1E3F0</paraID>
      <start>13</start>
      <end>15</end>
      <status>unmodified</status>
      <modifiedWord/>
      <trackRevisions>false</trackRevisions>
    </reviewItem>
    <reviewItem>
      <errorID>905c1459-ca3f-48ae-a402-de7352cc3abe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424F291D</paraID>
      <start>14</start>
      <end>15</end>
      <status>unmodified</status>
      <modifiedWord/>
      <trackRevisions>false</trackRevisions>
    </reviewItem>
    <reviewItem>
      <errorID>1f1689da-a350-435c-93c2-6660ee3710be</errorID>
      <errorWord>T39171</errorWord>
      <group>L1_Word</group>
      <groupName>字词问题</groupName>
      <ability>L2_Typo</ability>
      <abilityName>字词错误</abilityName>
      <candidateList>
        <item>T 39171</item>
      </candidateList>
      <explain/>
      <paraID>1840CE7D</paraID>
      <start>18</start>
      <end>24</end>
      <status>unmodified</status>
      <modifiedWord/>
      <trackRevisions>false</trackRevisions>
    </reviewItem>
    <reviewItem>
      <errorID>19ba6297-f37d-4f4a-9912-1d712b5f7d59</errorID>
      <errorWord>设施</errorWord>
      <group>L1_Punc</group>
      <groupName>标点问题</groupName>
      <ability>L2_Punc_CN</ability>
      <abilityName>标点符号问题</abilityName>
      <candidateList>
        <item>设施。</item>
      </candidateList>
      <explain/>
      <paraID>7F4E98D6</paraID>
      <start>44</start>
      <end>46</end>
      <status>unmodified</status>
      <modifiedWord/>
      <trackRevisions>false</trackRevisions>
    </reviewItem>
    <reviewItem>
      <errorID>3b5a5416-3295-451c-a88e-47d766d42257</errorID>
      <errorWord>;</errorWord>
      <group>L1_Format</group>
      <groupName>格式问题</groupName>
      <ability>L2_HalfPunc_CN</ability>
      <abilityName>全半角问题</abilityName>
      <candidateList>
        <item>；</item>
      </candidateList>
      <explain>文本全半角错误。</explain>
      <paraID>132242B4</paraID>
      <start>34</start>
      <end>35</end>
      <status>unmodified</status>
      <modifiedWord/>
      <trackRevisions>false</trackRevisions>
    </reviewItem>
    <reviewItem>
      <errorID>d3044fa2-80d5-410d-9bb9-e7839be50c49</errorID>
      <errorWord>;</errorWord>
      <group>L1_Format</group>
      <groupName>格式问题</groupName>
      <ability>L2_HalfPunc_CN</ability>
      <abilityName>全半角问题</abilityName>
      <candidateList>
        <item>；</item>
      </candidateList>
      <explain>文本全半角错误。</explain>
      <paraID>132242B4</paraID>
      <start>56</start>
      <end>57</end>
      <status>unmodified</status>
      <modifiedWord/>
      <trackRevisions>false</trackRevisions>
    </reviewItem>
    <reviewItem>
      <errorID>8901319c-c1d1-4b50-b0c7-2d6bacb1364b</errorID>
      <errorWord>:</errorWord>
      <group>L1_Punc</group>
      <groupName>标点问题</groupName>
      <ability>L2_Punc_CN</ability>
      <abilityName>标点符号问题</abilityName>
      <candidateList>
        <item>，</item>
      </candidateList>
      <explain/>
      <paraID>132242B4</paraID>
      <start>102</start>
      <end>103</end>
      <status>unmodified</status>
      <modifiedWord/>
      <trackRevisions>false</trackRevisions>
    </reviewItem>
    <reviewItem>
      <errorID>2a88d3bb-4dd9-4996-be2b-b2693c3e92e2</errorID>
      <errorWord>GB12348</errorWord>
      <group>L1_Word</group>
      <groupName>字词问题</groupName>
      <ability>L2_Typo</ability>
      <abilityName>字词错误</abilityName>
      <candidateList>
        <item>GB 12348</item>
      </candidateList>
      <explain/>
      <paraID>132242B4</paraID>
      <start>125</start>
      <end>132</end>
      <status>unmodified</status>
      <modifiedWord/>
      <trackRevisions>false</trackRevisions>
    </reviewItem>
    <reviewItem>
      <errorID>13f8c912-f85f-4f9b-91cc-62ab50065563</errorID>
      <errorWord>GB16297</errorWord>
      <group>L1_Word</group>
      <groupName>字词问题</groupName>
      <ability>L2_Typo</ability>
      <abilityName>字词错误</abilityName>
      <candidateList>
        <item>GB 16297</item>
      </candidateList>
      <explain/>
      <paraID>132242B4</paraID>
      <start>147</start>
      <end>154</end>
      <status>unmodified</status>
      <modifiedWord/>
      <trackRevisions>false</trackRevisions>
    </reviewItem>
    <reviewItem>
      <errorID>baddb804-c225-4cd2-affe-043b6bef28d5</errorID>
      <errorWord>;</errorWord>
      <group>L1_Punc</group>
      <groupName>标点问题</groupName>
      <ability>L2_Punc_CN</ability>
      <abilityName>标点符号问题</abilityName>
      <candidateList>
        <item>；</item>
      </candidateList>
      <explain/>
      <paraID>132242B4</paraID>
      <start>159</start>
      <end>160</end>
      <status>unmodified</status>
      <modifiedWord/>
      <trackRevisions>false</trackRevisions>
    </reviewItem>
    <reviewItem>
      <errorID>955e167f-b615-4c96-bcac-364ac2df7e92</errorID>
      <errorWord>废塑料</errorWord>
      <group>L1_Word</group>
      <groupName>字词问题</groupName>
      <ability>L2_Typo</ability>
      <abilityName>字词错误</abilityName>
      <candidateList>
        <item> 废塑料</item>
      </candidateList>
      <explain/>
      <paraID>5A24EC75</paraID>
      <start>3</start>
      <end>6</end>
      <status>unmodified</status>
      <modifiedWord/>
      <trackRevisions>false</trackRevisions>
    </reviewItem>
    <reviewItem>
      <errorID>c0688acf-d68d-4ebf-b066-479ffc59189c</errorID>
      <errorWord>;</errorWord>
      <group>L1_Format</group>
      <groupName>格式问题</groupName>
      <ability>L2_HalfPunc_CN</ability>
      <abilityName>全半角问题</abilityName>
      <candidateList>
        <item>；</item>
      </candidateList>
      <explain>文本全半角错误。</explain>
      <paraID>7AF3435E</paraID>
      <start>43</start>
      <end>44</end>
      <status>unmodified</status>
      <modifiedWord/>
      <trackRevisions>false</trackRevisions>
    </reviewItem>
    <reviewItem>
      <errorID>e8cd27dd-840b-494f-b42c-117e8aa0649c</errorID>
      <errorWord>放</errorWord>
      <group>L1_Grammar</group>
      <groupName>语法问题</groupName>
      <ability>L2_Grammar</ability>
      <abilityName>语法错误</abilityName>
      <candidateList>
        <item> 废水</item>
      </candidateList>
      <explain/>
      <paraID>561682EF</paraID>
      <start>3</start>
      <end>4</end>
      <status>unmodified</status>
      <modifiedWord/>
      <trackRevisions>false</trackRevisions>
    </reviewItem>
    <reviewItem>
      <errorID>9cb1014b-3f98-4876-8f37-de3dac76bee3</errorID>
      <errorWord>.</errorWord>
      <group>L1_Format</group>
      <groupName>格式问题</groupName>
      <ability>L2_HalfPunc_CN</ability>
      <abilityName>全半角问题</abilityName>
      <candidateList>
        <item>。</item>
      </candidateList>
      <explain>文本全半角错误。</explain>
      <paraID>4FA006BC</paraID>
      <start>21</start>
      <end>22</end>
      <status>unmodified</status>
      <modifiedWord/>
      <trackRevisions>false</trackRevisions>
    </reviewItem>
    <reviewItem>
      <errorID>945d3544-29e9-44db-a7e9-014a1de5405a</errorID>
      <errorWord>,</errorWord>
      <group>L1_Format</group>
      <groupName>格式问题</groupName>
      <ability>L2_HalfPunc_CN</ability>
      <abilityName>全半角问题</abilityName>
      <candidateList>
        <item>，</item>
      </candidateList>
      <explain>文本全半角错误。</explain>
      <paraID>3FDAE93F</paraID>
      <start>42</start>
      <end>43</end>
      <status>unmodified</status>
      <modifiedWord/>
      <trackRevisions>false</trackRevisions>
    </reviewItem>
    <reviewItem>
      <errorID>b41ac04a-d3d3-49a9-aa2b-64e61b191152</errorID>
      <errorWord>消防检</errorWord>
      <group>L1_Word</group>
      <groupName>字词问题</groupName>
      <ability>L2_Typo</ability>
      <abilityName>字词错误</abilityName>
      <candidateList>
        <item>消防栓</item>
      </candidateList>
      <explain/>
      <paraID>3FDAE93F</paraID>
      <start>49</start>
      <end>52</end>
      <status>unmodified</status>
      <modifiedWord/>
      <trackRevisions>false</trackRevisions>
    </reviewItem>
    <reviewItem>
      <errorID>dd7902d6-8f58-4f9e-a54e-7186534e6f48</errorID>
      <errorWord>撤</errorWord>
      <group>L1_Word</group>
      <groupName>字词问题</groupName>
      <ability>L2_Typo</ability>
      <abilityName>字词错误</abilityName>
      <candidateList>
        <item>撒</item>
      </candidateList>
      <explain/>
      <paraID> E00F54A</paraID>
      <start>31</start>
      <end>32</end>
      <status>unmodified</status>
      <modifiedWord/>
      <trackRevisions>false</trackRevisions>
    </reviewItem>
    <reviewItem>
      <errorID>ebf6b9ec-1274-4271-9f69-6e2d7fdf6749</errorID>
      <errorWord>发塑料包装物</errorWord>
      <group>L1_Word</group>
      <groupName>字词问题</groupName>
      <ability>L2_Typo</ability>
      <abilityName>字词错误</abilityName>
      <candidateList>
        <item>废塑料包装物</item>
      </candidateList>
      <explain/>
      <paraID>64B06951</paraID>
      <start>4</start>
      <end>10</end>
      <status>unmodified</status>
      <modifiedWord/>
      <trackRevisions>false</trackRevisions>
    </reviewItem>
    <reviewItem>
      <errorID>9e847203-2c40-46f3-974e-8ecc000c731a</errorID>
      <errorWord>时问</errorWord>
      <group>L1_Word</group>
      <groupName>字词问题</groupName>
      <ability>L2_Typo</ability>
      <abilityName>字词错误</abilityName>
      <candidateList>
        <item>时间</item>
      </candidateList>
      <explain/>
      <paraID>4FB04D1D</paraID>
      <start>35</start>
      <end>37</end>
      <status>unmodified</status>
      <modifiedWord/>
      <trackRevisions>false</trackRevisions>
    </reviewItem>
    <reviewItem>
      <errorID>9040f56e-88b0-45e9-9364-c3f78ee5fc7a</errorID>
      <errorWord>噪卢</errorWord>
      <group>L1_Word</group>
      <groupName>字词问题</groupName>
      <ability>L2_Typo</ability>
      <abilityName>字词错误</abilityName>
      <candidateList>
        <item>噪</item>
      </candidateList>
      <explain/>
      <paraID>191DB3C3</paraID>
      <start>38</start>
      <end>40</end>
      <status>unmodified</status>
      <modifiedWord/>
      <trackRevisions>false</trackRevisions>
    </reviewItem>
    <reviewItem>
      <errorID>1f10288b-6339-47d6-883d-ac5c747eae2b</errorID>
      <errorWord>:</errorWord>
      <group>L1_Punc</group>
      <groupName>标点问题</groupName>
      <ability>L2_Punc_CN</ability>
      <abilityName>标点符号问题</abilityName>
      <candidateList>
        <item>，</item>
      </candidateList>
      <explain/>
      <paraID>7E539789</paraID>
      <start>23</start>
      <end>24</end>
      <status>unmodified</status>
      <modifiedWord/>
      <trackRevisions>false</trackRevisions>
    </reviewItem>
    <reviewItem>
      <errorID>3238378d-dd70-428f-b867-8af08a11d324</errorID>
      <errorWord>GB8978</errorWord>
      <group>L1_Word</group>
      <groupName>字词问题</groupName>
      <ability>L2_Typo</ability>
      <abilityName>字词错误</abilityName>
      <candidateList>
        <item>GB 8978</item>
      </candidateList>
      <explain/>
      <paraID>7E539789</paraID>
      <start>44</start>
      <end>50</end>
      <status>unmodified</status>
      <modifiedWord/>
      <trackRevisions>false</trackRevisions>
    </reviewItem>
    <reviewItem>
      <errorID>afd4cffd-c390-4991-80b0-9446b970470d</errorID>
      <errorWord>程</errorWord>
      <group>L1_Word</group>
      <groupName>字词问题</groupName>
      <ability>L2_Typo</ability>
      <abilityName>字词错误</abilityName>
      <candidateList>
        <item>程中</item>
      </candidateList>
      <explain/>
      <paraID>546667D0</paraID>
      <start>10</start>
      <end>11</end>
      <status>unmodified</status>
      <modifiedWord/>
      <trackRevisions>false</trackRevisions>
    </reviewItem>
    <reviewItem>
      <errorID>d93cc588-2a1e-4094-b49a-3082789110f3</errorID>
      <errorWord>:</errorWord>
      <group>L1_Punc</group>
      <groupName>标点问题</groupName>
      <ability>L2_Punc_CN</ability>
      <abilityName>标点符号问题</abilityName>
      <candidateList>
        <item>，</item>
      </candidateList>
      <explain/>
      <paraID>70CB804B</paraID>
      <start>21</start>
      <end>22</end>
      <status>unmodified</status>
      <modifiedWord/>
      <trackRevisions>false</trackRevisions>
    </reviewItem>
    <reviewItem>
      <errorID>19c5d509-9a0c-415e-8d19-b05e4699d64f</errorID>
      <errorWord>。</errorWord>
      <group>L1_Grammar</group>
      <groupName>语法问题</groupName>
      <ability>L2_Grammar</ability>
      <abilityName>语法错误</abilityName>
      <candidateList>
        <item>物质。</item>
      </candidateList>
      <explain/>
      <paraID>6678F57A</paraID>
      <start>30</start>
      <end>31</end>
      <status>unmodified</status>
      <modifiedWord/>
      <trackRevisions>false</trackRevisions>
    </reviewItem>
    <reviewItem>
      <errorID>95e252b4-672a-4648-b1f4-e85cdc99d1ef</errorID>
      <errorWord>/.</errorWord>
      <group>L1_Punc</group>
      <groupName>标点问题</groupName>
      <ability>L2_Punc_CN</ability>
      <abilityName>标点符号问题</abilityName>
      <candidateList>
        <item>/</item>
      </candidateList>
      <explain/>
      <paraID>34ACF3B6</paraID>
      <start>0</start>
      <end>2</end>
      <status>unmodified</status>
      <modifiedWord/>
      <trackRevisions>false</trackRevisions>
    </reviewItem>
    <reviewItem>
      <errorID>fdca7c6e-2ef0-4b2e-bc4c-53799964968f</errorID>
      <errorWord> </errorWord>
      <group>L1_Punc</group>
      <groupName>标点问题</groupName>
      <ability>L2_Punc_CN</ability>
      <abilityName>标点符号问题</abilityName>
      <candidateList>
        <item/>
      </candidateList>
      <explain>此处空格冗余，建议删除。</explain>
      <paraID>5B37BD8A</paraID>
      <start>24</start>
      <end>25</end>
      <status>unmodified</status>
      <modifiedWord/>
      <trackRevisions>false</trackRevisions>
    </reviewItem>
    <reviewItem>
      <errorID>597cdc75-90da-4939-bacb-7ff140209ca8</errorID>
      <errorWord>28m3</errorWord>
      <group>L1_Word</group>
      <groupName>字词问题</groupName>
      <ability>L2_Typo</ability>
      <abilityName>字词错误</abilityName>
      <candidateList>
        <item>28m³</item>
      </candidateList>
      <explain/>
      <paraID>28770DF7</paraID>
      <start>149</start>
      <end>153</end>
      <status>unmodified</status>
      <modifiedWord/>
      <trackRevisions>false</trackRevisions>
    </reviewItem>
    <reviewItem>
      <errorID>fc15eeb4-6063-4482-aa99-143bbba733f7</errorID>
      <errorWord> </errorWord>
      <group>L1_Punc</group>
      <groupName>标点问题</groupName>
      <ability>L2_Punc_CN</ability>
      <abilityName>标点符号问题</abilityName>
      <candidateList>
        <item>·</item>
      </candidateList>
      <explain/>
      <paraID>28770DF7</paraID>
      <start>156</start>
      <end>157</end>
      <status>unmodified</status>
      <modifiedWord/>
      <trackRevisions>false</trackRevisions>
    </reviewItem>
    <reviewItem>
      <errorID>d361f037-eaa5-4f2b-939a-2bc5285e5fdd</errorID>
      <errorWord>28m3</errorWord>
      <group>L1_Word</group>
      <groupName>字词问题</groupName>
      <ability>L2_Typo</ability>
      <abilityName>字词错误</abilityName>
      <candidateList>
        <item>28m³</item>
      </candidateList>
      <explain/>
      <paraID>28770DF7</paraID>
      <start>174</start>
      <end>178</end>
      <status>unmodified</status>
      <modifiedWord/>
      <trackRevisions>false</trackRevisions>
    </reviewItem>
    <reviewItem>
      <errorID>b7dc075e-963b-4e63-a648-f21f1b87ebab</errorID>
      <errorWord>56m3</errorWord>
      <group>L1_Word</group>
      <groupName>字词问题</groupName>
      <ability>L2_Typo</ability>
      <abilityName>字词错误</abilityName>
      <candidateList>
        <item>56m³</item>
      </candidateList>
      <explain/>
      <paraID>28770DF7</paraID>
      <start>185</start>
      <end>189</end>
      <status>unmodified</status>
      <modifiedWord/>
      <trackRevisions>false</trackRevisions>
    </reviewItem>
    <reviewItem>
      <errorID>164ed59b-c74c-4328-b7bd-3d564b20058f</errorID>
      <errorWord>项目</errorWord>
      <group>L1_Word</group>
      <groupName>字词问题</groupName>
      <ability>L2_Typo</ability>
      <abilityName>字词错误</abilityName>
      <candidateList>
        <item> 项目</item>
      </candidateList>
      <explain/>
      <paraID>61B47737</paraID>
      <start>4</start>
      <end>6</end>
      <status>unmodified</status>
      <modifiedWord/>
      <trackRevisions>false</trackRevisions>
    </reviewItem>
    <reviewItem>
      <errorID>32399731-f59c-474f-8171-774bba75d94c</errorID>
      <errorWord>单位</errorWord>
      <group>L1_Word</group>
      <groupName>字词问题</groupName>
      <ability>L2_Typo</ability>
      <abilityName>字词错误</abilityName>
      <candidateList>
        <item> 单位</item>
      </candidateList>
      <explain/>
      <paraID>61B47737</paraID>
      <start>11</start>
      <end>13</end>
      <status>unmodified</status>
      <modifiedWord/>
      <trackRevisions>false</trackRevisions>
    </reviewItem>
    <reviewItem>
      <errorID>6010e989-b44c-4769-a20e-4e489d162f8a</errorID>
      <errorWord>硬化</errorWord>
      <group>L1_Punc</group>
      <groupName>标点问题</groupName>
      <ability>L2_Punc_CN</ability>
      <abilityName>标点符号问题</abilityName>
      <candidateList>
        <item>硬化。</item>
      </candidateList>
      <explain/>
      <paraID>4B154F8A</paraID>
      <start>40</start>
      <end>42</end>
      <status>unmodified</status>
      <modifiedWord/>
      <trackRevisions>false</trackRevisions>
    </reviewItem>
    <reviewItem>
      <errorID>5ed55308-9ee5-4d85-924e-3540f5e96cc1</errorID>
      <errorWord>属</errorWord>
      <group>L1_Word</group>
      <groupName>字词问题</groupName>
      <ability>L2_Typo</ability>
      <abilityName>字词错误</abilityName>
      <candidateList>
        <item>属于</item>
      </candidateList>
      <explain/>
      <paraID>62248B0F</paraID>
      <start>3</start>
      <end>4</end>
      <status>unmodified</status>
      <modifiedWord/>
      <trackRevisions>false</trackRevisions>
    </reviewItem>
    <reviewItem>
      <errorID>19c0dcf2-a03d-48b3-a887-e2005c477510</errorID>
      <errorWord>停产</errorWord>
      <group>L1_Punc</group>
      <groupName>标点问题</groupName>
      <ability>L2_Punc_CN</ability>
      <abilityName>标点符号问题</abilityName>
      <candidateList>
        <item>，停产</item>
      </candidateList>
      <explain/>
      <paraID>14B6B268</paraID>
      <start>166</start>
      <end>168</end>
      <status>unmodified</status>
      <modifiedWord/>
      <trackRevisions>false</trackRevisions>
    </reviewItem>
    <reviewItem>
      <errorID>9803f263-2600-44b8-9900-988117413fbe</errorID>
      <errorWord>[2018]</errorWord>
      <group>L1_Punc</group>
      <groupName>标点问题</groupName>
      <ability>L2_Punc_CN</ability>
      <abilityName>标点符号问题</abilityName>
      <candidateList>
        <item>〔2018〕</item>
      </candidateList>
      <explain/>
      <paraID>70CBD983</paraID>
      <start>3</start>
      <end>39</end>
      <status>unmodified</status>
      <modifiedWord/>
      <trackRevisions>false</trackRevisions>
    </reviewItem>
    <reviewItem>
      <errorID>1d640794-23e6-40fc-a1ad-7ee50c97df18</errorID>
      <errorWord>[2017]</errorWord>
      <group>L1_Punc</group>
      <groupName>标点问题</groupName>
      <ability>L2_Punc_CN</ability>
      <abilityName>标点符号问题</abilityName>
      <candidateList>
        <item>〔2017〕</item>
      </candidateList>
      <explain/>
      <paraID>390448B8</paraID>
      <start>3</start>
      <end>39</end>
      <status>unmodified</status>
      <modifiedWord/>
      <trackRevisions>false</trackRevisions>
    </reviewItem>
    <reviewItem>
      <errorID>96bc4462-1158-4684-a909-d3a0e345a84e</errorID>
      <errorWord>公</errorWord>
      <group>L1_Word</group>
      <groupName>字词问题</groupName>
      <ability>L2_Typo</ability>
      <abilityName>字词错误</abilityName>
      <candidateList>
        <item>公司</item>
      </candidateList>
      <explain/>
      <paraID>139EA9C5</paraID>
      <start>11</start>
      <end>12</end>
      <status>unmodified</status>
      <modifiedWord/>
      <trackRevisions>false</trackRevisions>
    </reviewItem>
    <reviewItem>
      <errorID>3334d39d-55c4-4ac6-845a-8c8d8aa142bf</errorID>
      <errorWord>[2017]</errorWord>
      <group>L1_Punc</group>
      <groupName>标点问题</groupName>
      <ability>L2_Punc_CN</ability>
      <abilityName>标点符号问题</abilityName>
      <candidateList>
        <item>〔2017〕</item>
      </candidateList>
      <explain/>
      <paraID>67FFE11F</paraID>
      <start>3</start>
      <end>39</end>
      <status>unmodified</status>
      <modifiedWord/>
      <trackRevisions>false</trackRevisions>
    </reviewItem>
    <reviewItem>
      <errorID>547a7725-5da0-4004-8eb5-e0764cbfe398</errorID>
      <errorWord>公</errorWord>
      <group>L1_Word</group>
      <groupName>字词问题</groupName>
      <ability>L2_Typo</ability>
      <abilityName>字词错误</abilityName>
      <candidateList>
        <item>公司</item>
      </candidateList>
      <explain/>
      <paraID>37E36C5B</paraID>
      <start>11</start>
      <end>12</end>
      <status>unmodified</status>
      <modifiedWord/>
      <trackRevisions>false</trackRevisions>
    </reviewItem>
    <reviewItem>
      <errorID>4db4622b-379b-4ff2-b9ef-a653d66a38a7</errorID>
      <errorWord>[2017]</errorWord>
      <group>L1_Punc</group>
      <groupName>标点问题</groupName>
      <ability>L2_Punc_CN</ability>
      <abilityName>标点符号问题</abilityName>
      <candidateList>
        <item>〔2017〕</item>
      </candidateList>
      <explain/>
      <paraID>3748BA48</paraID>
      <start>3</start>
      <end>39</end>
      <status>unmodified</status>
      <modifiedWord/>
      <trackRevisions>false</trackRevisions>
    </reviewItem>
    <reviewItem>
      <errorID>949af350-4b98-4fc6-be52-4722621b1397</errorID>
      <errorWord>公</errorWord>
      <group>L1_Word</group>
      <groupName>字词问题</groupName>
      <ability>L2_Typo</ability>
      <abilityName>字词错误</abilityName>
      <candidateList>
        <item>公司</item>
      </candidateList>
      <explain/>
      <paraID> 2849ADC</paraID>
      <start>11</start>
      <end>12</end>
      <status>unmodified</status>
      <modifiedWord/>
      <trackRevisions>false</trackRevisions>
    </reviewItem>
    <reviewItem>
      <errorID>d2802d40-b53d-4e09-8882-0ae3172e4075</errorID>
      <errorWord>[2017]</errorWord>
      <group>L1_Punc</group>
      <groupName>标点问题</groupName>
      <ability>L2_Punc_CN</ability>
      <abilityName>标点符号问题</abilityName>
      <candidateList>
        <item>〔2017〕</item>
      </candidateList>
      <explain/>
      <paraID>320461E0</paraID>
      <start>3</start>
      <end>39</end>
      <status>unmodified</status>
      <modifiedWord/>
      <trackRevisions>false</trackRevisions>
    </reviewItem>
    <reviewItem>
      <errorID>f8eca3c7-8612-4402-989d-60724512935f</errorID>
      <errorWord>公</errorWord>
      <group>L1_Word</group>
      <groupName>字词问题</groupName>
      <ability>L2_Typo</ability>
      <abilityName>字词错误</abilityName>
      <candidateList>
        <item>公司</item>
      </candidateList>
      <explain/>
      <paraID>50ED1917</paraID>
      <start>11</start>
      <end>12</end>
      <status>unmodified</status>
      <modifiedWord/>
      <trackRevisions>false</trackRevisions>
    </reviewItem>
    <reviewItem>
      <errorID>e564924f-e9ad-43d7-95e9-aa6a5e0bc4e0</errorID>
      <errorWord>[2017]</errorWord>
      <group>L1_Punc</group>
      <groupName>标点问题</groupName>
      <ability>L2_Punc_CN</ability>
      <abilityName>标点符号问题</abilityName>
      <candidateList>
        <item>〔2017〕</item>
      </candidateList>
      <explain/>
      <paraID>775BAB9B</paraID>
      <start>3</start>
      <end>39</end>
      <status>unmodified</status>
      <modifiedWord/>
      <trackRevisions>false</trackRevisions>
    </reviewItem>
    <reviewItem>
      <errorID>043f738a-7f27-4926-a154-8bc8eb81a1ef</errorID>
      <errorWord>[2021]</errorWord>
      <group>L1_Punc</group>
      <groupName>标点问题</groupName>
      <ability>L2_Punc_CN</ability>
      <abilityName>标点符号问题</abilityName>
      <candidateList>
        <item>〔2021〕</item>
      </candidateList>
      <explain/>
      <paraID>5BC7417D</paraID>
      <start>0</start>
      <end>36</end>
      <status>unmodified</status>
      <modifiedWord/>
      <trackRevisions>false</trackRevisions>
    </reviewItem>
    <reviewItem>
      <errorID>0abd6e7b-c5ba-407c-b1f9-6cfdaf62f245</errorID>
      <errorWord>[2017]</errorWord>
      <group>L1_Punc</group>
      <groupName>标点问题</groupName>
      <ability>L2_Punc_CN</ability>
      <abilityName>标点符号问题</abilityName>
      <candidateList>
        <item>〔2017〕</item>
      </candidateList>
      <explain/>
      <paraID>1D1F20B0</paraID>
      <start>3</start>
      <end>39</end>
      <status>unmodified</status>
      <modifiedWord/>
      <trackRevisions>false</trackRevisions>
    </reviewItem>
    <reviewItem>
      <errorID>f7a4553a-748a-4fd9-aff3-5aac19e9c4db</errorID>
      <errorWord>公</errorWord>
      <group>L1_Word</group>
      <groupName>字词问题</groupName>
      <ability>L2_Typo</ability>
      <abilityName>字词错误</abilityName>
      <candidateList>
        <item>公司</item>
      </candidateList>
      <explain/>
      <paraID>390E4F8F</paraID>
      <start>11</start>
      <end>12</end>
      <status>unmodified</status>
      <modifiedWord/>
      <trackRevisions>false</trackRevisions>
    </reviewItem>
    <reviewItem>
      <errorID>773e2bee-67de-4644-b797-d31298c7c2b9</errorID>
      <errorWord>[2017]</errorWord>
      <group>L1_Punc</group>
      <groupName>标点问题</groupName>
      <ability>L2_Punc_CN</ability>
      <abilityName>标点符号问题</abilityName>
      <candidateList>
        <item>〔2017〕</item>
      </candidateList>
      <explain/>
      <paraID>76187EBA</paraID>
      <start>3</start>
      <end>39</end>
      <status>unmodified</status>
      <modifiedWord/>
      <trackRevisions>false</trackRevisions>
    </reviewItem>
    <reviewItem>
      <errorID>c2d30523-8071-4290-be85-7cb4a706f0cb</errorID>
      <errorWord>[2017]</errorWord>
      <group>L1_Punc</group>
      <groupName>标点问题</groupName>
      <ability>L2_Punc_CN</ability>
      <abilityName>标点符号问题</abilityName>
      <candidateList>
        <item>〔2017〕</item>
      </candidateList>
      <explain/>
      <paraID> 159FD41</paraID>
      <start>3</start>
      <end>39</end>
      <status>unmodified</status>
      <modifiedWord/>
      <trackRevisions>false</trackRevisions>
    </reviewItem>
    <reviewItem>
      <errorID>494116c6-bff0-46f2-a769-8879722a9e67</errorID>
      <errorWord>公</errorWord>
      <group>L1_Word</group>
      <groupName>字词问题</groupName>
      <ability>L2_Typo</ability>
      <abilityName>字词错误</abilityName>
      <candidateList>
        <item>公司</item>
      </candidateList>
      <explain/>
      <paraID>273D96B6</paraID>
      <start>11</start>
      <end>12</end>
      <status>unmodified</status>
      <modifiedWord/>
      <trackRevisions>false</trackRevisions>
    </reviewItem>
    <reviewItem>
      <errorID>6ffcea91-8739-425c-b03e-10ec8b96e274</errorID>
      <errorWord>[2017]</errorWord>
      <group>L1_Punc</group>
      <groupName>标点问题</groupName>
      <ability>L2_Punc_CN</ability>
      <abilityName>标点符号问题</abilityName>
      <candidateList>
        <item>〔2017〕</item>
      </candidateList>
      <explain/>
      <paraID>6DC1035D</paraID>
      <start>3</start>
      <end>39</end>
      <status>unmodified</status>
      <modifiedWord/>
      <trackRevisions>false</trackRevisions>
    </reviewItem>
    <reviewItem>
      <errorID>478c9e8f-5a9a-4ec2-9031-61756be52fd5</errorID>
      <errorWord>[2022]</errorWord>
      <group>L1_Punc</group>
      <groupName>标点问题</groupName>
      <ability>L2_Punc_CN</ability>
      <abilityName>标点符号问题</abilityName>
      <candidateList>
        <item>〔2022〕</item>
      </candidateList>
      <explain/>
      <paraID>777DD83B</paraID>
      <start>0</start>
      <end>36</end>
      <status>unmodified</status>
      <modifiedWord/>
      <trackRevisions>false</trackRevisions>
    </reviewItem>
    <reviewItem>
      <errorID>c690b5ee-5f3c-4842-9273-49ca0b66b9b4</errorID>
      <errorWord>[2018]</errorWord>
      <group>L1_Punc</group>
      <groupName>标点问题</groupName>
      <ability>L2_Punc_CN</ability>
      <abilityName>标点符号问题</abilityName>
      <candidateList>
        <item>〔2018〕</item>
      </candidateList>
      <explain/>
      <paraID>7ADF2248</paraID>
      <start>3</start>
      <end>39</end>
      <status>unmodified</status>
      <modifiedWord/>
      <trackRevisions>false</trackRevisions>
    </reviewItem>
    <reviewItem>
      <errorID>1a62de60-89d9-4c5e-b001-1cc5296609a4</errorID>
      <errorWord>[2017]</errorWord>
      <group>L1_Punc</group>
      <groupName>标点问题</groupName>
      <ability>L2_Punc_CN</ability>
      <abilityName>标点符号问题</abilityName>
      <candidateList>
        <item>〔2017〕</item>
      </candidateList>
      <explain/>
      <paraID>194C8C21</paraID>
      <start>3</start>
      <end>39</end>
      <status>unmodified</status>
      <modifiedWord/>
      <trackRevisions>false</trackRevisions>
    </reviewItem>
    <reviewItem>
      <errorID>3095f2db-9cb4-41c8-84ef-cb75ee240150</errorID>
      <errorWord>[2018]</errorWord>
      <group>L1_Punc</group>
      <groupName>标点问题</groupName>
      <ability>L2_Punc_CN</ability>
      <abilityName>标点符号问题</abilityName>
      <candidateList>
        <item>〔2018〕</item>
      </candidateList>
      <explain/>
      <paraID>27174CB9</paraID>
      <start>3</start>
      <end>39</end>
      <status>unmodified</status>
      <modifiedWord/>
      <trackRevisions>false</trackRevisions>
    </reviewItem>
    <reviewItem>
      <errorID>19c0c44f-41b1-4993-a0de-fe9e42fab062</errorID>
      <errorWord>[2017]</errorWord>
      <group>L1_Punc</group>
      <groupName>标点问题</groupName>
      <ability>L2_Punc_CN</ability>
      <abilityName>标点符号问题</abilityName>
      <candidateList>
        <item>〔2017〕</item>
      </candidateList>
      <explain/>
      <paraID>7F750E94</paraID>
      <start>3</start>
      <end>39</end>
      <status>unmodified</status>
      <modifiedWord/>
      <trackRevisions>false</trackRevisions>
    </reviewItem>
    <reviewItem>
      <errorID>a36d0324-3ef9-4185-93f3-ed2f21a705c5</errorID>
      <errorWord>[2018]</errorWord>
      <group>L1_Punc</group>
      <groupName>标点问题</groupName>
      <ability>L2_Punc_CN</ability>
      <abilityName>标点符号问题</abilityName>
      <candidateList>
        <item>〔2018〕</item>
      </candidateList>
      <explain/>
      <paraID>7690D667</paraID>
      <start>3</start>
      <end>39</end>
      <status>unmodified</status>
      <modifiedWord/>
      <trackRevisions>false</trackRevisions>
    </reviewItem>
    <reviewItem>
      <errorID>58f29a8e-1193-495b-b8f5-a723f732e28f</errorID>
      <errorWord>[2017]</errorWord>
      <group>L1_Punc</group>
      <groupName>标点问题</groupName>
      <ability>L2_Punc_CN</ability>
      <abilityName>标点符号问题</abilityName>
      <candidateList>
        <item>〔2017〕</item>
      </candidateList>
      <explain/>
      <paraID>1C726050</paraID>
      <start>3</start>
      <end>39</end>
      <status>unmodified</status>
      <modifiedWord/>
      <trackRevisions>false</trackRevisions>
    </reviewItem>
    <reviewItem>
      <errorID>87b2c769-21f6-40ca-9e97-e521d9f27cb6</errorID>
      <errorWord>[2011]</errorWord>
      <group>L1_Punc</group>
      <groupName>标点问题</groupName>
      <ability>L2_Punc_CN</ability>
      <abilityName>标点符号问题</abilityName>
      <candidateList>
        <item>〔2011〕</item>
      </candidateList>
      <explain/>
      <paraID>5F9D38A0</paraID>
      <start>3</start>
      <end>39</end>
      <status>unmodified</status>
      <modifiedWord/>
      <trackRevisions>false</trackRevisions>
    </reviewItem>
    <reviewItem>
      <errorID>b0adbd16-cd95-441d-8bf7-81e2d16c47a7</errorID>
      <errorWord>[2018]</errorWord>
      <group>L1_Punc</group>
      <groupName>标点问题</groupName>
      <ability>L2_Punc_CN</ability>
      <abilityName>标点符号问题</abilityName>
      <candidateList>
        <item>〔2018〕</item>
      </candidateList>
      <explain/>
      <paraID>5F9D38A0</paraID>
      <start>48</start>
      <end>84</end>
      <status>unmodified</status>
      <modifiedWord/>
      <trackRevisions>false</trackRevisions>
    </reviewItem>
    <reviewItem>
      <errorID>0d881f9e-43ff-44ba-be39-6b99daec1da3</errorID>
      <errorWord>[2008]</errorWord>
      <group>L1_Punc</group>
      <groupName>标点问题</groupName>
      <ability>L2_Punc_CN</ability>
      <abilityName>标点符号问题</abilityName>
      <candidateList>
        <item>〔2008〕</item>
      </candidateList>
      <explain/>
      <paraID>4997397F</paraID>
      <start>3</start>
      <end>39</end>
      <status>unmodified</status>
      <modifiedWord/>
      <trackRevisions>false</trackRevisions>
    </reviewItem>
    <reviewItem>
      <errorID>918c502f-17aa-478b-a36f-14edbe02bcc9</errorID>
      <errorWord>[2018]</errorWord>
      <group>L1_Punc</group>
      <groupName>标点问题</groupName>
      <ability>L2_Punc_CN</ability>
      <abilityName>标点符号问题</abilityName>
      <candidateList>
        <item>〔2018〕</item>
      </candidateList>
      <explain/>
      <paraID>76E79E5C</paraID>
      <start>0</start>
      <end>36</end>
      <status>unmodified</status>
      <modifiedWord/>
      <trackRevisions>false</trackRevisions>
    </reviewItem>
    <reviewItem>
      <errorID>0f3de8eb-314c-4065-bee4-55fbaefd9543</errorID>
      <errorWord>呎</errorWord>
      <group>L1_Word</group>
      <groupName>字词问题</groupName>
      <ability>L2_Typo</ability>
      <abilityName>字词错误</abilityName>
      <candidateList>
        <item>英尺</item>
      </candidateList>
      <explain/>
      <paraID>128DD028</paraID>
      <start>14</start>
      <end>15</end>
      <status>unmodified</status>
      <modifiedWord/>
      <trackRevisions>false</trackRevisions>
    </reviewItem>
    <reviewItem>
      <errorID>522bc532-1ff2-400f-82aa-87804eceea3f</errorID>
      <errorWord>[2017]</errorWord>
      <group>L1_Punc</group>
      <groupName>标点问题</groupName>
      <ability>L2_Punc_CN</ability>
      <abilityName>标点符号问题</abilityName>
      <candidateList>
        <item>〔2017〕</item>
      </candidateList>
      <explain/>
      <paraID>7C0538B0</paraID>
      <start>3</start>
      <end>39</end>
      <status>unmodified</status>
      <modifiedWord/>
      <trackRevisions>false</trackRevisions>
    </reviewItem>
    <reviewItem>
      <errorID>87aff203-3690-4eb8-ac80-b11db7adbb20</errorID>
      <errorWord>07</errorWord>
      <group>L1_Word</group>
      <groupName>字词问题</groupName>
      <ability>L2_Typo</ability>
      <abilityName>字词错误</abilityName>
      <candidateList>
        <item>7</item>
      </candidateList>
      <explain/>
      <paraID>7C0538B0</paraID>
      <start>40</start>
      <end>42</end>
      <status>unmodified</status>
      <modifiedWord/>
      <trackRevisions>false</trackRevisions>
    </reviewItem>
    <reviewItem>
      <errorID>09253d0c-df6d-417c-9c73-0ccf4e86bf7c</errorID>
      <errorWord>有限公</errorWord>
      <group>L1_Word</group>
      <groupName>字词问题</groupName>
      <ability>L2_Typo</ability>
      <abilityName>字词错误</abilityName>
      <candidateList>
        <item>有限公司</item>
      </candidateList>
      <explain/>
      <paraID>6FF365CC</paraID>
      <start>9</start>
      <end>12</end>
      <status>unmodified</status>
      <modifiedWord/>
      <trackRevisions>false</trackRevisions>
    </reviewItem>
    <reviewItem>
      <errorID>a60363d1-a5f7-48da-ac89-bac3237908d5</errorID>
      <errorWord>[2017]</errorWord>
      <group>L1_Punc</group>
      <groupName>标点问题</groupName>
      <ability>L2_Punc_CN</ability>
      <abilityName>标点符号问题</abilityName>
      <candidateList>
        <item>〔2017〕</item>
      </candidateList>
      <explain/>
      <paraID>16171823</paraID>
      <start>3</start>
      <end>39</end>
      <status>unmodified</status>
      <modifiedWord/>
      <trackRevisions>false</trackRevisions>
    </reviewItem>
    <reviewItem>
      <errorID>a381fb1a-6685-466d-a9b5-435a523d0d8c</errorID>
      <errorWord>[2011]</errorWord>
      <group>L1_Punc</group>
      <groupName>标点问题</groupName>
      <ability>L2_Punc_CN</ability>
      <abilityName>标点符号问题</abilityName>
      <candidateList>
        <item>〔2011〕</item>
      </candidateList>
      <explain/>
      <paraID>7EBE5785</paraID>
      <start>3</start>
      <end>39</end>
      <status>unmodified</status>
      <modifiedWord/>
      <trackRevisions>false</trackRevisions>
    </reviewItem>
    <reviewItem>
      <errorID>6f782be1-15c9-4e60-b3ed-58ae02ee047c</errorID>
      <errorWord>[2017]</errorWord>
      <group>L1_Punc</group>
      <groupName>标点问题</groupName>
      <ability>L2_Punc_CN</ability>
      <abilityName>标点符号问题</abilityName>
      <candidateList>
        <item>〔2017〕</item>
      </candidateList>
      <explain/>
      <paraID>7EBE5785</paraID>
      <start>51</start>
      <end>87</end>
      <status>unmodified</status>
      <modifiedWord/>
      <trackRevisions>false</trackRevisions>
    </reviewItem>
    <reviewItem>
      <errorID>f66e7eea-8edf-4ddf-a45e-5eaa15f92730</errorID>
      <errorWord>[2018]</errorWord>
      <group>L1_Punc</group>
      <groupName>标点问题</groupName>
      <ability>L2_Punc_CN</ability>
      <abilityName>标点符号问题</abilityName>
      <candidateList>
        <item>〔2018〕</item>
      </candidateList>
      <explain/>
      <paraID>7EBE5785</paraID>
      <start>96</start>
      <end>132</end>
      <status>unmodified</status>
      <modifiedWord/>
      <trackRevisions>false</trackRevisions>
    </reviewItem>
    <reviewItem>
      <errorID>5577ba84-f2f5-4511-8bc4-c229c1db470e</errorID>
      <errorWord>公</errorWord>
      <group>L1_Word</group>
      <groupName>字词问题</groupName>
      <ability>L2_Typo</ability>
      <abilityName>字词错误</abilityName>
      <candidateList>
        <item>公司</item>
      </candidateList>
      <explain/>
      <paraID>4358A338</paraID>
      <start>11</start>
      <end>12</end>
      <status>unmodified</status>
      <modifiedWord/>
      <trackRevisions>false</trackRevisions>
    </reviewItem>
    <reviewItem>
      <errorID>bf36676c-e267-4ffd-aef9-ec51fde69873</errorID>
      <errorWord>[2015]</errorWord>
      <group>L1_Punc</group>
      <groupName>标点问题</groupName>
      <ability>L2_Punc_CN</ability>
      <abilityName>标点符号问题</abilityName>
      <candidateList>
        <item>〔2015〕</item>
      </candidateList>
      <explain/>
      <paraID>60904EEF</paraID>
      <start>3</start>
      <end>39</end>
      <status>unmodified</status>
      <modifiedWord/>
      <trackRevisions>false</trackRevisions>
    </reviewItem>
    <reviewItem>
      <errorID>ccde48ae-5138-4cbb-933e-0f6143bd0a60</errorID>
      <errorWord>公</errorWord>
      <group>L1_Word</group>
      <groupName>字词问题</groupName>
      <ability>L2_Typo</ability>
      <abilityName>字词错误</abilityName>
      <candidateList>
        <item>公司</item>
      </candidateList>
      <explain/>
      <paraID>18CB967F</paraID>
      <start>11</start>
      <end>12</end>
      <status>unmodified</status>
      <modifiedWord/>
      <trackRevisions>false</trackRevisions>
    </reviewItem>
    <reviewItem>
      <errorID>c9fa4fa2-4868-4ac4-a94a-5e8f4701b1bf</errorID>
      <errorWord>[2009]</errorWord>
      <group>L1_Punc</group>
      <groupName>标点问题</groupName>
      <ability>L2_Punc_CN</ability>
      <abilityName>标点符号问题</abilityName>
      <candidateList>
        <item>〔2009〕</item>
      </candidateList>
      <explain/>
      <paraID>1FFA44AB</paraID>
      <start>3</start>
      <end>39</end>
      <status>unmodified</status>
      <modifiedWord/>
      <trackRevisions>false</trackRevisions>
    </reviewItem>
    <reviewItem>
      <errorID>ee1b2a06-348f-49b6-9ee0-33e88823ae88</errorID>
      <errorWord>[2018]</errorWord>
      <group>L1_Punc</group>
      <groupName>标点问题</groupName>
      <ability>L2_Punc_CN</ability>
      <abilityName>标点符号问题</abilityName>
      <candidateList>
        <item>〔2018〕</item>
      </candidateList>
      <explain/>
      <paraID>342A6DC0</paraID>
      <start>3</start>
      <end>39</end>
      <status>unmodified</status>
      <modifiedWord/>
      <trackRevisions>false</trackRevisions>
    </reviewItem>
    <reviewItem>
      <errorID>dca45d41-4fcd-41b2-bb3d-2458fdbc289f</errorID>
      <errorWord>[2009]</errorWord>
      <group>L1_Punc</group>
      <groupName>标点问题</groupName>
      <ability>L2_Punc_CN</ability>
      <abilityName>标点符号问题</abilityName>
      <candidateList>
        <item>〔2009〕</item>
      </candidateList>
      <explain/>
      <paraID>4D2D0BE0</paraID>
      <start>3</start>
      <end>39</end>
      <status>unmodified</status>
      <modifiedWord/>
      <trackRevisions>false</trackRevisions>
    </reviewItem>
    <reviewItem>
      <errorID>3f1b3e79-6f00-4f9b-86c6-0f307d8f0588</errorID>
      <errorWord> </errorWord>
      <group>L1_Punc</group>
      <groupName>标点问题</groupName>
      <ability>L2_Punc_CN</ability>
      <abilityName>标点符号问题</abilityName>
      <candidateList>
        <item/>
      </candidateList>
      <explain>此处空格冗余，建议删除。</explain>
      <paraID>4D2D0BE0</paraID>
      <start>40</start>
      <end>41</end>
      <status>unmodified</status>
      <modifiedWord/>
      <trackRevisions>false</trackRevisions>
    </reviewItem>
    <reviewItem>
      <errorID>e487e475-5d42-4388-8e7d-7fee431b2406</errorID>
      <errorWord>[2011]</errorWord>
      <group>L1_Punc</group>
      <groupName>标点问题</groupName>
      <ability>L2_Punc_CN</ability>
      <abilityName>标点符号问题</abilityName>
      <candidateList>
        <item>〔2011〕</item>
      </candidateList>
      <explain/>
      <paraID>738CB4D8</paraID>
      <start>3</start>
      <end>39</end>
      <status>unmodified</status>
      <modifiedWord/>
      <trackRevisions>false</trackRevisions>
    </reviewItem>
    <reviewItem>
      <errorID>1ff6543f-a32d-434b-8dcc-30445c8dc7f8</errorID>
      <errorWord>[2018]</errorWord>
      <group>L1_Punc</group>
      <groupName>标点问题</groupName>
      <ability>L2_Punc_CN</ability>
      <abilityName>标点符号问题</abilityName>
      <candidateList>
        <item>〔2018〕</item>
      </candidateList>
      <explain/>
      <paraID>2405CE18</paraID>
      <start>3</start>
      <end>39</end>
      <status>unmodified</status>
      <modifiedWord/>
      <trackRevisions>false</trackRevisions>
    </reviewItem>
    <reviewItem>
      <errorID>1f4e52e0-5ee7-434a-b9c8-d69db0843bd8</errorID>
      <errorWord>公</errorWord>
      <group>L1_Word</group>
      <groupName>字词问题</groupName>
      <ability>L2_Typo</ability>
      <abilityName>字词错误</abilityName>
      <candidateList>
        <item>公司</item>
      </candidateList>
      <explain/>
      <paraID>709A3CE6</paraID>
      <start>11</start>
      <end>12</end>
      <status>unmodified</status>
      <modifiedWord/>
      <trackRevisions>false</trackRevisions>
    </reviewItem>
    <reviewItem>
      <errorID>41600cc1-bae1-4ab6-b5bb-d42f54b133a5</errorID>
      <errorWord>[2009]</errorWord>
      <group>L1_Punc</group>
      <groupName>标点问题</groupName>
      <ability>L2_Punc_CN</ability>
      <abilityName>标点符号问题</abilityName>
      <candidateList>
        <item>〔2009〕</item>
      </candidateList>
      <explain/>
      <paraID>494B687A</paraID>
      <start>3</start>
      <end>39</end>
      <status>unmodified</status>
      <modifiedWord/>
      <trackRevisions>false</trackRevisions>
    </reviewItem>
    <reviewItem>
      <errorID>0ddf90dd-16ab-4eb4-b50f-92b12c78b633</errorID>
      <errorWord>公</errorWord>
      <group>L1_Word</group>
      <groupName>字词问题</groupName>
      <ability>L2_Typo</ability>
      <abilityName>字词错误</abilityName>
      <candidateList>
        <item>公司</item>
      </candidateList>
      <explain/>
      <paraID>39FACC54</paraID>
      <start>11</start>
      <end>12</end>
      <status>unmodified</status>
      <modifiedWord/>
      <trackRevisions>false</trackRevisions>
    </reviewItem>
    <reviewItem>
      <errorID>b976dc42-7512-4cec-a705-df860a85b4b1</errorID>
      <errorWord>[2017]</errorWord>
      <group>L1_Punc</group>
      <groupName>标点问题</groupName>
      <ability>L2_Punc_CN</ability>
      <abilityName>标点符号问题</abilityName>
      <candidateList>
        <item>〔2017〕</item>
      </candidateList>
      <explain/>
      <paraID>59A7A0D6</paraID>
      <start>3</start>
      <end>39</end>
      <status>unmodified</status>
      <modifiedWord/>
      <trackRevisions>false</trackRevisions>
    </reviewItem>
    <reviewItem>
      <errorID>002b4355-aa1a-48c0-b178-1f4ce7034257</errorID>
      <errorWord>公</errorWord>
      <group>L1_Word</group>
      <groupName>字词问题</groupName>
      <ability>L2_Typo</ability>
      <abilityName>字词错误</abilityName>
      <candidateList>
        <item>公司</item>
      </candidateList>
      <explain/>
      <paraID>3653A916</paraID>
      <start>11</start>
      <end>12</end>
      <status>unmodified</status>
      <modifiedWord/>
      <trackRevisions>false</trackRevisions>
    </reviewItem>
    <reviewItem>
      <errorID>5ed69701-0f33-4b7d-bfe9-297bca86e482</errorID>
      <errorWord>[2016]</errorWord>
      <group>L1_Punc</group>
      <groupName>标点问题</groupName>
      <ability>L2_Punc_CN</ability>
      <abilityName>标点符号问题</abilityName>
      <candidateList>
        <item>〔2016〕</item>
      </candidateList>
      <explain/>
      <paraID>6AFC6DAF</paraID>
      <start>3</start>
      <end>39</end>
      <status>unmodified</status>
      <modifiedWord/>
      <trackRevisions>false</trackRevisions>
    </reviewItem>
    <reviewItem>
      <errorID>3060e3e0-963c-48b1-910c-5bc963f49fc7</errorID>
      <errorWord>[2018]</errorWord>
      <group>L1_Punc</group>
      <groupName>标点问题</groupName>
      <ability>L2_Punc_CN</ability>
      <abilityName>标点符号问题</abilityName>
      <candidateList>
        <item>〔2018〕</item>
      </candidateList>
      <explain/>
      <paraID>232225B6</paraID>
      <start>3</start>
      <end>39</end>
      <status>unmodified</status>
      <modifiedWord/>
      <trackRevisions>false</trackRevisions>
    </reviewItem>
    <reviewItem>
      <errorID>49bb182a-3105-45fc-8365-442c1fe0c8d7</errorID>
      <errorWord>[2023] </errorWord>
      <group>L1_Punc</group>
      <groupName>标点问题</groupName>
      <ability>L2_Punc_CN</ability>
      <abilityName>标点符号问题</abilityName>
      <candidateList>
        <item>〔2023〕</item>
      </candidateList>
      <explain/>
      <paraID>142EC942</paraID>
      <start>4</start>
      <end>42</end>
      <status>unmodified</status>
      <modifiedWord/>
      <trackRevisions>false</trackRevisions>
    </reviewItem>
    <reviewItem>
      <errorID>88820cbd-caa1-414f-b279-6a91012289c7</errorID>
      <errorWord>公</errorWord>
      <group>L1_Word</group>
      <groupName>字词问题</groupName>
      <ability>L2_Typo</ability>
      <abilityName>字词错误</abilityName>
      <candidateList>
        <item>公司</item>
      </candidateList>
      <explain/>
      <paraID>3C4EA6E3</paraID>
      <start>11</start>
      <end>12</end>
      <status>unmodified</status>
      <modifiedWord/>
      <trackRevisions>false</trackRevisions>
    </reviewItem>
    <reviewItem>
      <errorID>8cf284d2-7a89-4745-b6fa-00b9b5a74ada</errorID>
      <errorWord>公</errorWord>
      <group>L1_Word</group>
      <groupName>字词问题</groupName>
      <ability>L2_Typo</ability>
      <abilityName>字词错误</abilityName>
      <candidateList>
        <item>公司</item>
      </candidateList>
      <explain/>
      <paraID> A5F605A</paraID>
      <start>11</start>
      <end>12</end>
      <status>unmodified</status>
      <modifiedWord/>
      <trackRevisions>false</trackRevisions>
    </reviewItem>
    <reviewItem>
      <errorID>be50caff-0d8a-4b73-ad91-fd6a98614fce</errorID>
      <errorWord>[2011]</errorWord>
      <group>L1_Punc</group>
      <groupName>标点问题</groupName>
      <ability>L2_Punc_CN</ability>
      <abilityName>标点符号问题</abilityName>
      <candidateList>
        <item>〔2011〕</item>
      </candidateList>
      <explain/>
      <paraID>44E5BABF</paraID>
      <start>3</start>
      <end>39</end>
      <status>unmodified</status>
      <modifiedWord/>
      <trackRevisions>false</trackRevisions>
    </reviewItem>
    <reviewItem>
      <errorID>79570b7f-026d-4306-9746-177fba193c01</errorID>
      <errorWord>[2018]</errorWord>
      <group>L1_Punc</group>
      <groupName>标点问题</groupName>
      <ability>L2_Punc_CN</ability>
      <abilityName>标点符号问题</abilityName>
      <candidateList>
        <item>〔2018〕</item>
      </candidateList>
      <explain/>
      <paraID>6A7A805E</paraID>
      <start>0</start>
      <end>36</end>
      <status>unmodified</status>
      <modifiedWord/>
      <trackRevisions>false</trackRevisions>
    </reviewItem>
    <reviewItem>
      <errorID>b4d1a9dc-d867-4e2d-8c90-1ac0a7a89d2e</errorID>
      <errorWord>[2018]</errorWord>
      <group>L1_Punc</group>
      <groupName>标点问题</groupName>
      <ability>L2_Punc_CN</ability>
      <abilityName>标点符号问题</abilityName>
      <candidateList>
        <item>〔2018〕</item>
      </candidateList>
      <explain/>
      <paraID>6A7A805E</paraID>
      <start>45</start>
      <end>81</end>
      <status>unmodified</status>
      <modifiedWord/>
      <trackRevisions>false</trackRevisions>
    </reviewItem>
    <reviewItem>
      <errorID>89016d8c-f8cb-4c17-a6ab-9acdb586a2b9</errorID>
      <errorWord>[2012]</errorWord>
      <group>L1_Punc</group>
      <groupName>标点问题</groupName>
      <ability>L2_Punc_CN</ability>
      <abilityName>标点符号问题</abilityName>
      <candidateList>
        <item>〔2012〕</item>
      </candidateList>
      <explain/>
      <paraID>2EE6275C</paraID>
      <start>3</start>
      <end>39</end>
      <status>unmodified</status>
      <modifiedWord/>
      <trackRevisions>false</trackRevisions>
    </reviewItem>
    <reviewItem>
      <errorID>fa5b514d-083c-41c5-a8b2-07d8aea99f9f</errorID>
      <errorWord>公</errorWord>
      <group>L1_Word</group>
      <groupName>字词问题</groupName>
      <ability>L2_Typo</ability>
      <abilityName>字词错误</abilityName>
      <candidateList>
        <item>公司</item>
      </candidateList>
      <explain/>
      <paraID>3280E30E</paraID>
      <start>11</start>
      <end>12</end>
      <status>unmodified</status>
      <modifiedWord/>
      <trackRevisions>false</trackRevisions>
    </reviewItem>
    <reviewItem>
      <errorID>a12ae421-4183-4cb8-a77f-1acb2aa75f4e</errorID>
      <errorWord>[2011] </errorWord>
      <group>L1_Punc</group>
      <groupName>标点问题</groupName>
      <ability>L2_Punc_CN</ability>
      <abilityName>标点符号问题</abilityName>
      <candidateList>
        <item>〔2011〕</item>
      </candidateList>
      <explain/>
      <paraID> 50DDDA1</paraID>
      <start>3</start>
      <end>41</end>
      <status>unmodified</status>
      <modifiedWord/>
      <trackRevisions>false</trackRevisions>
    </reviewItem>
    <reviewItem>
      <errorID>51986fed-1473-439f-aa5f-961966cb1685</errorID>
      <errorWord>[2012] </errorWord>
      <group>L1_Punc</group>
      <groupName>标点问题</groupName>
      <ability>L2_Punc_CN</ability>
      <abilityName>标点符号问题</abilityName>
      <candidateList>
        <item>〔2012〕</item>
      </candidateList>
      <explain/>
      <paraID>6CAE15B0</paraID>
      <start>3</start>
      <end>41</end>
      <status>unmodified</status>
      <modifiedWord/>
      <trackRevisions>false</trackRevisions>
    </reviewItem>
    <reviewItem>
      <errorID>8485faa9-7615-49a7-9f46-4e39aa0cba59</errorID>
      <errorWord>[2010] </errorWord>
      <group>L1_Punc</group>
      <groupName>标点问题</groupName>
      <ability>L2_Punc_CN</ability>
      <abilityName>标点符号问题</abilityName>
      <candidateList>
        <item>〔2010〕</item>
      </candidateList>
      <explain/>
      <paraID>5CA30A91</paraID>
      <start>3</start>
      <end>41</end>
      <status>unmodified</status>
      <modifiedWord/>
      <trackRevisions>false</trackRevisions>
    </reviewItem>
    <reviewItem>
      <errorID>e414c5d0-2449-4c69-9d39-c50aa086cad5</errorID>
      <errorWord>[2018]</errorWord>
      <group>L1_Punc</group>
      <groupName>标点问题</groupName>
      <ability>L2_Punc_CN</ability>
      <abilityName>标点符号问题</abilityName>
      <candidateList>
        <item>〔2018〕</item>
      </candidateList>
      <explain/>
      <paraID>73514582</paraID>
      <start>3</start>
      <end>39</end>
      <status>unmodified</status>
      <modifiedWord/>
      <trackRevisions>false</trackRevisions>
    </reviewItem>
    <reviewItem>
      <errorID>182f5a18-8960-4f69-ab7e-6cf5e464239c</errorID>
      <errorWord>[2017]</errorWord>
      <group>L1_Punc</group>
      <groupName>标点问题</groupName>
      <ability>L2_Punc_CN</ability>
      <abilityName>标点符号问题</abilityName>
      <candidateList>
        <item>〔2017〕</item>
      </candidateList>
      <explain/>
      <paraID>25C48920</paraID>
      <start>3</start>
      <end>39</end>
      <status>unmodified</status>
      <modifiedWord/>
      <trackRevisions>false</trackRevisions>
    </reviewItem>
    <reviewItem>
      <errorID>6da8f59a-7616-4b04-baf9-44705965fb86</errorID>
      <errorWord>[2018]</errorWord>
      <group>L1_Punc</group>
      <groupName>标点问题</groupName>
      <ability>L2_Punc_CN</ability>
      <abilityName>标点符号问题</abilityName>
      <candidateList>
        <item>〔2018〕</item>
      </candidateList>
      <explain/>
      <paraID>1517E44C</paraID>
      <start>0</start>
      <end>36</end>
      <status>unmodified</status>
      <modifiedWord/>
      <trackRevisions>false</trackRevisions>
    </reviewItem>
    <reviewItem>
      <errorID>94653116-8cbe-48b7-8b42-090bc52abcf4</errorID>
      <errorWord>[2017]</errorWord>
      <group>L1_Punc</group>
      <groupName>标点问题</groupName>
      <ability>L2_Punc_CN</ability>
      <abilityName>标点符号问题</abilityName>
      <candidateList>
        <item>〔2017〕</item>
      </candidateList>
      <explain/>
      <paraID>7ADD418F</paraID>
      <start>3</start>
      <end>39</end>
      <status>unmodified</status>
      <modifiedWord/>
      <trackRevisions>false</trackRevisions>
    </reviewItem>
    <reviewItem>
      <errorID>b2d442b9-9b0e-4d00-a04a-9f42575137d2</errorID>
      <errorWord>[2019]</errorWord>
      <group>L1_Punc</group>
      <groupName>标点问题</groupName>
      <ability>L2_Punc_CN</ability>
      <abilityName>标点符号问题</abilityName>
      <candidateList>
        <item>〔2019〕</item>
      </candidateList>
      <explain/>
      <paraID>24DEE195</paraID>
      <start>3</start>
      <end>39</end>
      <status>unmodified</status>
      <modifiedWord/>
      <trackRevisions>false</trackRevisions>
    </reviewItem>
    <reviewItem>
      <errorID>db9f25fe-27ad-420f-b53d-46c74e50ae0c</errorID>
      <errorWord>[2017]</errorWord>
      <group>L1_Punc</group>
      <groupName>标点问题</groupName>
      <ability>L2_Punc_CN</ability>
      <abilityName>标点符号问题</abilityName>
      <candidateList>
        <item>〔2017〕</item>
      </candidateList>
      <explain/>
      <paraID>31D79C75</paraID>
      <start>3</start>
      <end>39</end>
      <status>unmodified</status>
      <modifiedWord/>
      <trackRevisions>false</trackRevisions>
    </reviewItem>
    <reviewItem>
      <errorID>85f98238-f056-4d37-ae3d-c9b3ecc33829</errorID>
      <errorWord>公</errorWord>
      <group>L1_Word</group>
      <groupName>字词问题</groupName>
      <ability>L2_Typo</ability>
      <abilityName>字词错误</abilityName>
      <candidateList>
        <item>公司</item>
      </candidateList>
      <explain/>
      <paraID>6342E3C2</paraID>
      <start>11</start>
      <end>12</end>
      <status>unmodified</status>
      <modifiedWord/>
      <trackRevisions>false</trackRevisions>
    </reviewItem>
    <reviewItem>
      <errorID>853ed01b-bf4f-422b-a0f6-3ee65454081d</errorID>
      <errorWord>[2018]</errorWord>
      <group>L1_Punc</group>
      <groupName>标点问题</groupName>
      <ability>L2_Punc_CN</ability>
      <abilityName>标点符号问题</abilityName>
      <candidateList>
        <item>〔2018〕</item>
      </candidateList>
      <explain/>
      <paraID> C7A9F98</paraID>
      <start>3</start>
      <end>39</end>
      <status>unmodified</status>
      <modifiedWord/>
      <trackRevisions>false</trackRevisions>
    </reviewItem>
    <reviewItem>
      <errorID>f49f2348-fa63-4e8a-a2bc-41eeb3e9baea</errorID>
      <errorWord>公</errorWord>
      <group>L1_Word</group>
      <groupName>字词问题</groupName>
      <ability>L2_Typo</ability>
      <abilityName>字词错误</abilityName>
      <candidateList>
        <item>公司</item>
      </candidateList>
      <explain/>
      <paraID>671A48EE</paraID>
      <start>11</start>
      <end>12</end>
      <status>unmodified</status>
      <modifiedWord/>
      <trackRevisions>false</trackRevisions>
    </reviewItem>
    <reviewItem>
      <errorID>da55d208-a01a-4122-bb93-1647312f36aa</errorID>
      <errorWord>公</errorWord>
      <group>L1_Word</group>
      <groupName>字词问题</groupName>
      <ability>L2_Typo</ability>
      <abilityName>字词错误</abilityName>
      <candidateList>
        <item>公司</item>
      </candidateList>
      <explain/>
      <paraID>3DC92046</paraID>
      <start>12</start>
      <end>13</end>
      <status>unmodified</status>
      <modifiedWord/>
      <trackRevisions>false</trackRevisions>
    </reviewItem>
    <reviewItem>
      <errorID>ed9175d1-0635-4b0f-90b1-a2796aa5356f</errorID>
      <errorWord>公</errorWord>
      <group>L1_Word</group>
      <groupName>字词问题</groupName>
      <ability>L2_Typo</ability>
      <abilityName>字词错误</abilityName>
      <candidateList>
        <item>公司</item>
      </candidateList>
      <explain/>
      <paraID>40E245BE</paraID>
      <start>11</start>
      <end>12</end>
      <status>unmodified</status>
      <modifiedWord/>
      <trackRevisions>false</trackRevisions>
    </reviewItem>
    <reviewItem>
      <errorID>d5ca3b82-40f5-4a5a-aebc-27cdf63b8b6b</errorID>
      <errorWord>公</errorWord>
      <group>L1_Word</group>
      <groupName>字词问题</groupName>
      <ability>L2_Typo</ability>
      <abilityName>字词错误</abilityName>
      <candidateList>
        <item>公司</item>
      </candidateList>
      <explain/>
      <paraID>1A88F4C9</paraID>
      <start>11</start>
      <end>12</end>
      <status>unmodified</status>
      <modifiedWord/>
      <trackRevisions>false</trackRevisions>
    </reviewItem>
    <reviewItem>
      <errorID>20cc2464-cea9-43aa-9994-fe77e7e82ea2</errorID>
      <errorWord>堂石</errorWord>
      <group>L1_Word</group>
      <groupName>字词问题</groupName>
      <ability>L2_Typo</ability>
      <abilityName>字词错误</abilityName>
      <candidateList>
        <item>萤石</item>
      </candidateList>
      <explain/>
      <paraID>7C3064F9</paraID>
      <start>2</start>
      <end>4</end>
      <status>unmodified</status>
      <modifiedWord/>
      <trackRevisions>false</trackRevisions>
    </reviewItem>
    <reviewItem>
      <errorID>6bcfbb90-9673-45c6-9e9f-30d81cd96dde</errorID>
      <errorWord>公</errorWord>
      <group>L1_Word</group>
      <groupName>字词问题</groupName>
      <ability>L2_Typo</ability>
      <abilityName>字词错误</abilityName>
      <candidateList>
        <item>公司</item>
      </candidateList>
      <explain/>
      <paraID>49C76773</paraID>
      <start>11</start>
      <end>12</end>
      <status>unmodified</status>
      <modifiedWord/>
      <trackRevisions>false</trackRevisions>
    </reviewItem>
    <reviewItem>
      <errorID>18c2586b-c37b-4694-9094-e2d42d29b561</errorID>
      <errorWord>[2017]</errorWord>
      <group>L1_Punc</group>
      <groupName>标点问题</groupName>
      <ability>L2_Punc_CN</ability>
      <abilityName>标点符号问题</abilityName>
      <candidateList>
        <item>〔2017〕</item>
      </candidateList>
      <explain/>
      <paraID> 21A75ED</paraID>
      <start>3</start>
      <end>39</end>
      <status>unmodified</status>
      <modifiedWord/>
      <trackRevisions>false</trackRevisions>
    </reviewItem>
    <reviewItem>
      <errorID>e0121f8d-37e4-413c-9212-8ace8cac6dad</errorID>
      <errorWord>公</errorWord>
      <group>L1_Word</group>
      <groupName>字词问题</groupName>
      <ability>L2_Typo</ability>
      <abilityName>字词错误</abilityName>
      <candidateList>
        <item>公司</item>
      </candidateList>
      <explain/>
      <paraID>2D4266F6</paraID>
      <start>11</start>
      <end>12</end>
      <status>unmodified</status>
      <modifiedWord/>
      <trackRevisions>false</trackRevisions>
    </reviewItem>
    <reviewItem>
      <errorID>d214e25b-cdf4-41f4-bbfc-2b3864c849b5</errorID>
      <errorWord>[2018]</errorWord>
      <group>L1_Punc</group>
      <groupName>标点问题</groupName>
      <ability>L2_Punc_CN</ability>
      <abilityName>标点符号问题</abilityName>
      <candidateList>
        <item>〔2018〕</item>
      </candidateList>
      <explain/>
      <paraID>6CC8BB4F</paraID>
      <start>3</start>
      <end>39</end>
      <status>unmodified</status>
      <modifiedWord/>
      <trackRevisions>false</trackRevisions>
    </reviewItem>
    <reviewItem>
      <errorID>c8ee0ffe-7907-44c3-99c5-6c69811251b8</errorID>
      <errorWord>公</errorWord>
      <group>L1_Word</group>
      <groupName>字词问题</groupName>
      <ability>L2_Typo</ability>
      <abilityName>字词错误</abilityName>
      <candidateList>
        <item>公司</item>
      </candidateList>
      <explain/>
      <paraID>45682454</paraID>
      <start>12</start>
      <end>13</end>
      <status>unmodified</status>
      <modifiedWord/>
      <trackRevisions>false</trackRevisions>
    </reviewItem>
    <reviewItem>
      <errorID>26ff7741-2600-45d5-9fa4-595ba0b38e49</errorID>
      <errorWord>[2017]</errorWord>
      <group>L1_Punc</group>
      <groupName>标点问题</groupName>
      <ability>L2_Punc_CN</ability>
      <abilityName>标点符号问题</abilityName>
      <candidateList>
        <item>〔2017〕</item>
      </candidateList>
      <explain/>
      <paraID>5F17DEF2</paraID>
      <start>3</start>
      <end>39</end>
      <status>unmodified</status>
      <modifiedWord/>
      <trackRevisions>false</trackRevisions>
    </reviewItem>
    <reviewItem>
      <errorID>7e51d705-cfc3-4a37-a53d-33bba7defdc5</errorID>
      <errorWord>[2023]</errorWord>
      <group>L1_Punc</group>
      <groupName>标点问题</groupName>
      <ability>L2_Punc_CN</ability>
      <abilityName>标点符号问题</abilityName>
      <candidateList>
        <item>〔2023〕</item>
      </candidateList>
      <explain/>
      <paraID>77D5C85E</paraID>
      <start>0</start>
      <end>36</end>
      <status>unmodified</status>
      <modifiedWord/>
      <trackRevisions>false</trackRevisions>
    </reviewItem>
    <reviewItem>
      <errorID>398f7c7d-c8ec-4245-ba49-3af6af208328</errorID>
      <errorWord>公</errorWord>
      <group>L1_Word</group>
      <groupName>字词问题</groupName>
      <ability>L2_Typo</ability>
      <abilityName>字词错误</abilityName>
      <candidateList>
        <item>公司</item>
      </candidateList>
      <explain/>
      <paraID>54BD1DDE</paraID>
      <start>11</start>
      <end>12</end>
      <status>unmodified</status>
      <modifiedWord/>
      <trackRevisions>false</trackRevisions>
    </reviewItem>
    <reviewItem>
      <errorID>44b465f0-327c-4aa1-9741-c5c35f7debf5</errorID>
      <errorWord>[2018]</errorWord>
      <group>L1_Punc</group>
      <groupName>标点问题</groupName>
      <ability>L2_Punc_CN</ability>
      <abilityName>标点符号问题</abilityName>
      <candidateList>
        <item>〔2018〕</item>
      </candidateList>
      <explain/>
      <paraID>7E4CF4D6</paraID>
      <start>3</start>
      <end>39</end>
      <status>unmodified</status>
      <modifiedWord/>
      <trackRevisions>false</trackRevisions>
    </reviewItem>
    <reviewItem>
      <errorID>996e62c8-0675-4109-9df9-6b4e36e82a00</errorID>
      <errorWord>[2018]</errorWord>
      <group>L1_Punc</group>
      <groupName>标点问题</groupName>
      <ability>L2_Punc_CN</ability>
      <abilityName>标点符号问题</abilityName>
      <candidateList>
        <item>〔2018〕</item>
      </candidateList>
      <explain/>
      <paraID>3D48A75E</paraID>
      <start>3</start>
      <end>39</end>
      <status>unmodified</status>
      <modifiedWord/>
      <trackRevisions>false</trackRevisions>
    </reviewItem>
    <reviewItem>
      <errorID>c1178232-8a73-4dfc-b4f3-26014790d7f3</errorID>
      <errorWord>[2022]</errorWord>
      <group>L1_Punc</group>
      <groupName>标点问题</groupName>
      <ability>L2_Punc_CN</ability>
      <abilityName>标点符号问题</abilityName>
      <candidateList>
        <item>〔2022〕</item>
      </candidateList>
      <explain/>
      <paraID> DE24DCA</paraID>
      <start>4</start>
      <end>40</end>
      <status>unmodified</status>
      <modifiedWord/>
      <trackRevisions>false</trackRevisions>
    </reviewItem>
    <reviewItem>
      <errorID>f5b23afd-6f3b-4a56-ab69-c0f79c9d1dea</errorID>
      <errorWord>[2018]</errorWord>
      <group>L1_Punc</group>
      <groupName>标点问题</groupName>
      <ability>L2_Punc_CN</ability>
      <abilityName>标点符号问题</abilityName>
      <candidateList>
        <item>〔2018〕</item>
      </candidateList>
      <explain/>
      <paraID>29F5501F</paraID>
      <start>3</start>
      <end>39</end>
      <status>unmodified</status>
      <modifiedWord/>
      <trackRevisions>false</trackRevisions>
    </reviewItem>
    <reviewItem>
      <errorID>c7a5e15e-56af-4677-8bc9-b9da281b0944</errorID>
      <errorWord>[2022]</errorWord>
      <group>L1_Punc</group>
      <groupName>标点问题</groupName>
      <ability>L2_Punc_CN</ability>
      <abilityName>标点符号问题</abilityName>
      <candidateList>
        <item>〔2022〕</item>
      </candidateList>
      <explain/>
      <paraID>5D480CBE</paraID>
      <start>0</start>
      <end>36</end>
      <status>unmodified</status>
      <modifiedWord/>
      <trackRevisions>false</trackRevisions>
    </reviewItem>
    <reviewItem>
      <errorID>e470702d-4e21-4bac-a3e8-ef5b8586be0d</errorID>
      <errorWord>均能</errorWord>
      <group>L1_Word</group>
      <groupName>字词问题</groupName>
      <ability>L2_Typo</ability>
      <abilityName>字词错误</abilityName>
      <candidateList>
        <item>均</item>
      </candidateList>
      <explain/>
      <paraID>3FAC2D87</paraID>
      <start>57</start>
      <end>59</end>
      <status>unmodified</status>
      <modifiedWord/>
      <trackRevisions>false</trackRevisions>
    </reviewItem>
    <reviewItem>
      <errorID>894e5a92-0abe-426b-bf0a-3c6106dd89fa</errorID>
      <errorWord>》（试行）</errorWord>
      <group>L1_Word</group>
      <groupName>字词问题</groupName>
      <ability>L2_Typo</ability>
      <abilityName>字词错误</abilityName>
      <candidateList>
        <item>（试行）》</item>
      </candidateList>
      <explain/>
      <paraID>32F7969E</paraID>
      <start>27</start>
      <end>32</end>
      <status>unmodified</status>
      <modifiedWord/>
      <trackRevisions>false</trackRevisions>
    </reviewItem>
    <reviewItem>
      <errorID>04f0a39e-575a-4360-9b61-3a74da75d90d</errorID>
      <errorWord>。。</errorWord>
      <group>L1_Punc</group>
      <groupName>标点问题</groupName>
      <ability>L2_Punc_CN</ability>
      <abilityName>标点符号问题</abilityName>
      <candidateList>
        <item>。</item>
      </candidateList>
      <explain/>
      <paraID>3E8A61FA</paraID>
      <start>166</start>
      <end>168</end>
      <status>unmodified</status>
      <modifiedWord/>
      <trackRevisions>false</trackRevisions>
    </reviewItem>
    <reviewItem>
      <errorID>7dcf6f1f-c673-41f1-a902-e2209fd539a7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24EAC5D2</paraID>
      <start>11</start>
      <end>12</end>
      <status>unmodified</status>
      <modifiedWord/>
      <trackRevisions>false</trackRevisions>
    </reviewItem>
    <reviewItem>
      <errorID>e761fe1f-9332-4fa2-acaf-7682a2802143</errorID>
      <errorWord>III类</errorWord>
      <group>L1_Knowledge</group>
      <groupName>知识性问题</groupName>
      <ability>L2_Knowledge</ability>
      <abilityName>其他知识</abilityName>
      <candidateList>
        <item>Ⅲ类</item>
      </candidateList>
      <explain>中文环境下罗马数字格式错误。</explain>
      <paraID>7A8E2AE6</paraID>
      <start>119</start>
      <end>123</end>
      <status>unmodified</status>
      <modifiedWord/>
      <trackRevisions>false</trackRevisions>
    </reviewItem>
    <reviewItem>
      <errorID>585e4dbc-cc58-4992-acd8-8e763d721c2e</errorID>
      <errorWord>III类</errorWord>
      <group>L1_Knowledge</group>
      <groupName>知识性问题</groupName>
      <ability>L2_Knowledge</ability>
      <abilityName>其他知识</abilityName>
      <candidateList>
        <item>Ⅲ类</item>
      </candidateList>
      <explain>中文环境下罗马数字格式错误。</explain>
      <paraID>7A8E2AE6</paraID>
      <start>157</start>
      <end>161</end>
      <status>unmodified</status>
      <modifiedWord/>
      <trackRevisions>false</trackRevisions>
    </reviewItem>
    <reviewItem>
      <errorID>431b1619-301c-405f-b96c-d67ad967349c</errorID>
      <errorWord>（</errorWord>
      <group>L1_Punc</group>
      <groupName>标点问题</groupName>
      <ability>L2_Punc_CN</ability>
      <abilityName>标点符号问题</abilityName>
      <candidateList/>
      <explain>同一形式括号套用。</explain>
      <paraID>78D7BE71</paraID>
      <start>40</start>
      <end>41</end>
      <status>unmodified</status>
      <modifiedWord/>
      <trackRevisions>false</trackRevisions>
    </reviewItem>
    <reviewItem>
      <errorID>2a97e822-cb13-43bb-8c21-03e772686ffc</errorID>
      <errorWord>）</errorWord>
      <group>L1_Punc</group>
      <groupName>标点问题</groupName>
      <ability>L2_Punc_CN</ability>
      <abilityName>标点符号问题</abilityName>
      <candidateList/>
      <explain>同一形式括号套用。</explain>
      <paraID>78D7BE71</paraID>
      <start>60</start>
      <end>61</end>
      <status>unmodified</status>
      <modifiedWord/>
      <trackRevisions>false</trackRevisions>
    </reviewItem>
    <reviewItem>
      <errorID>da45f040-32c9-48cb-a839-ea6184b79f6f</errorID>
      <errorWord>勘踏</errorWord>
      <group>L1_Knowledge</group>
      <groupName>知识性问题</groupName>
      <ability>L2_Knowledge</ability>
      <abilityName>其他知识</abilityName>
      <candidateList>
        <item>勘探</item>
      </candidateList>
      <explain/>
      <paraID>1283FAA1</paraID>
      <start>23</start>
      <end>25</end>
      <status>unmodified</status>
      <modifiedWord/>
      <trackRevisions>false</trackRevisions>
    </reviewItem>
    <reviewItem>
      <errorID>f96baf1f-b457-4649-aebc-51aaa118d260</errorID>
      <errorWord>（</errorWord>
      <group>L1_Format</group>
      <groupName>格式问题</groupName>
      <ability>L2_HalfPunc_CN</ability>
      <abilityName>全半角问题</abilityName>
      <candidateList>
        <item>(</item>
      </candidateList>
      <explain>文本全半角错误。</explain>
      <paraID>19CBDEB3</paraID>
      <start>3</start>
      <end>4</end>
      <status>unmodified</status>
      <modifiedWord/>
      <trackRevisions>false</trackRevisions>
    </reviewItem>
    <reviewItem>
      <errorID>1278825b-be01-470f-b2a2-646375159dad</errorID>
      <errorWord>）</errorWord>
      <group>L1_Format</group>
      <groupName>格式问题</groupName>
      <ability>L2_HalfPunc_CN</ability>
      <abilityName>全半角问题</abilityName>
      <candidateList>
        <item>)</item>
      </candidateList>
      <explain>文本全半角错误。</explain>
      <paraID>19CBDEB3</paraID>
      <start>9</start>
      <end>10</end>
      <status>unmodified</status>
      <modifiedWord/>
      <trackRevisions>false</trackRevisions>
    </reviewItem>
    <reviewItem>
      <errorID>0bf3e81b-9279-44d4-ac15-24fbb4548755</errorID>
      <errorWord>（</errorWord>
      <group>L1_Format</group>
      <groupName>格式问题</groupName>
      <ability>L2_HalfPunc_CN</ability>
      <abilityName>全半角问题</abilityName>
      <candidateList>
        <item>(</item>
      </candidateList>
      <explain>文本全半角错误。</explain>
      <paraID>78BE6F6F</paraID>
      <start>2</start>
      <end>3</end>
      <status>unmodified</status>
      <modifiedWord/>
      <trackRevisions>false</trackRevisions>
    </reviewItem>
    <reviewItem>
      <errorID>a82571cb-be8f-4ef9-b98a-e0c49511802c</errorID>
      <errorWord>）</errorWord>
      <group>L1_Format</group>
      <groupName>格式问题</groupName>
      <ability>L2_HalfPunc_CN</ability>
      <abilityName>全半角问题</abilityName>
      <candidateList>
        <item>)</item>
      </candidateList>
      <explain>文本全半角错误。</explain>
      <paraID>78BE6F6F</paraID>
      <start>4</start>
      <end>5</end>
      <status>unmodified</status>
      <modifiedWord/>
      <trackRevisions>false</trackRevisions>
    </reviewItem>
    <reviewItem>
      <errorID>8e0ce9d5-34ac-49a8-a708-daa48a3dd494</errorID>
      <errorWord>期</errorWord>
      <group>L1_Word</group>
      <groupName>字词问题</groupName>
      <ability>L2_Typo</ability>
      <abilityName>字词错误</abilityName>
      <candidateList>
        <item>期间</item>
      </candidateList>
      <explain/>
      <paraID>4467FED7</paraID>
      <start>193</start>
      <end>194</end>
      <status>unmodified</status>
      <modifiedWord/>
      <trackRevisions>false</trackRevisions>
    </reviewItem>
    <reviewItem>
      <errorID>dc4a6933-6890-4385-a18b-8338fab245bd</errorID>
      <errorWord>使用</errorWord>
      <group>L1_Grammar</group>
      <groupName>语法问题</groupName>
      <ability>L2_Grammar</ability>
      <abilityName>语法错误</abilityName>
      <candidateList>
        <item>采取</item>
      </candidateList>
      <explain>“使用～措施”搭配不当，建议修改为“采取～措施”。</explain>
      <paraID> 97691BD</paraID>
      <start>3</start>
      <end>5</end>
      <status>unmodified</status>
      <modifiedWord/>
      <trackRevisions>false</trackRevisions>
    </reviewItem>
    <reviewItem>
      <errorID>4fafa55d-f71b-400a-8dc8-15d24643a487</errorID>
      <errorWord>。</errorWord>
      <group>L1_Format</group>
      <groupName>格式问题</groupName>
      <ability>L2_HalfPunc_CN</ability>
      <abilityName>全半角问题</abilityName>
      <candidateList>
        <item>.</item>
      </candidateList>
      <explain>文本全半角错误。</explain>
      <paraID> 97691BD</paraID>
      <start>75</start>
      <end>76</end>
      <status>unmodified</status>
      <modifiedWord/>
      <trackRevisions>false</trackRevisions>
    </reviewItem>
    <reviewItem>
      <errorID>c578b5ca-0eea-471d-88c2-a3bec038c5db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5DBCE4B1</paraID>
      <start>137</start>
      <end>138</end>
      <status>unmodified</status>
      <modifiedWord/>
      <trackRevisions>false</trackRevisions>
    </reviewItem>
    <reviewItem>
      <errorID>c7c693c1-0b9f-4f46-a1d8-1d516cf6c0c4</errorID>
      <errorWord>采用为</errorWord>
      <group>L1_Word</group>
      <groupName>字词问题</groupName>
      <ability>L2_Typo</ability>
      <abilityName>字词错误</abilityName>
      <candidateList>
        <item>采用</item>
      </candidateList>
      <explain/>
      <paraID>78E4B5D9</paraID>
      <start>11</start>
      <end>14</end>
      <status>unmodified</status>
      <modifiedWord/>
      <trackRevisions>false</trackRevisions>
    </reviewItem>
    <reviewItem>
      <errorID>9c2392f7-2dcc-4129-ad9e-eb1ebcf5b45b</errorID>
      <errorWord>污水厂</errorWord>
      <group>L1_Word</group>
      <groupName>字词问题</groupName>
      <ability>L2_Typo</ability>
      <abilityName>字词错误</abilityName>
      <candidateList>
        <item>污水处理厂</item>
      </candidateList>
      <explain/>
      <paraID>78E4B5D9</paraID>
      <start>77</start>
      <end>80</end>
      <status>unmodified</status>
      <modifiedWord/>
      <trackRevisions>false</trackRevisions>
    </reviewItem>
    <reviewItem>
      <errorID>e0f43b04-082b-4126-a473-d24d6c9328ec</errorID>
      <errorWord>污水厂</errorWord>
      <group>L1_Word</group>
      <groupName>字词问题</groupName>
      <ability>L2_Typo</ability>
      <abilityName>字词错误</abilityName>
      <candidateList>
        <item>污水处理厂</item>
      </candidateList>
      <explain/>
      <paraID>78E4B5D9</paraID>
      <start>157</start>
      <end>160</end>
      <status>unmodified</status>
      <modifiedWord/>
      <trackRevisions>false</trackRevisions>
    </reviewItem>
    <reviewItem>
      <errorID>0822022a-89c1-4f4f-9a0c-3f269c02133f</errorID>
      <errorWord>别</errorWord>
      <group>L1_Word</group>
      <groupName>字词问题</groupName>
      <ability>L2_Typo</ability>
      <abilityName>字词错误</abilityName>
      <candidateList>
        <item>别是</item>
      </candidateList>
      <explain/>
      <paraID>102640D0</paraID>
      <start>42</start>
      <end>43</end>
      <status>unmodified</status>
      <modifiedWord/>
      <trackRevisions>false</trackRevisions>
    </reviewItem>
    <reviewItem>
      <errorID>a687e38b-4619-4252-82cc-f18985d2826a</errorID>
      <errorWord>沙石</errorWord>
      <group>L1_Word</group>
      <groupName>字词问题</groupName>
      <ability>L2_Typo</ability>
      <abilityName>字词错误</abilityName>
      <candidateList>
        <item>砂石</item>
      </candidateList>
      <explain>存在发音相同字词的误用。</explain>
      <paraID>137D4E35</paraID>
      <start>44</start>
      <end>46</end>
      <status>unmodified</status>
      <modifiedWord/>
      <trackRevisions>false</trackRevisions>
    </reviewItem>
    <reviewItem>
      <errorID>bfa485c7-45a3-4b60-97c5-40e0ea0a969c</errorID>
      <errorWord>（</errorWord>
      <group>L1_Punc</group>
      <groupName>标点问题</groupName>
      <ability>L2_Punc_CN</ability>
      <abilityName>标点符号问题</abilityName>
      <candidateList/>
      <explain>同一形式括号套用。</explain>
      <paraID>137D4E35</paraID>
      <start>63</start>
      <end>64</end>
      <status>unmodified</status>
      <modifiedWord/>
      <trackRevisions>false</trackRevisions>
    </reviewItem>
    <reviewItem>
      <errorID>ba3ea58f-38f5-4ffe-b52a-8f73e1c1742e</errorID>
      <errorWord>）</errorWord>
      <group>L1_Punc</group>
      <groupName>标点问题</groupName>
      <ability>L2_Punc_CN</ability>
      <abilityName>标点符号问题</abilityName>
      <candidateList/>
      <explain>同一形式括号套用。</explain>
      <paraID>137D4E35</paraID>
      <start>66</start>
      <end>67</end>
      <status>unmodified</status>
      <modifiedWord/>
      <trackRevisions>false</trackRevisions>
    </reviewItem>
    <reviewItem>
      <errorID>08106ecf-48e9-4c87-89d8-850be748aae2</errorID>
      <errorWord>油油</errorWord>
      <group>L1_Word</group>
      <groupName>字词问题</groupName>
      <ability>L2_Typo</ability>
      <abilityName>字词错误</abilityName>
      <candidateList>
        <item>油</item>
      </candidateList>
      <explain/>
      <paraID>2BEB02A3</paraID>
      <start>102</start>
      <end>104</end>
      <status>unmodified</status>
      <modifiedWord/>
      <trackRevisions>false</trackRevisions>
    </reviewItem>
    <reviewItem>
      <errorID>530d9466-79ba-4aee-83bf-5b4979152d06</errorID>
      <errorWord>程</errorWord>
      <group>L1_Word</group>
      <groupName>字词问题</groupName>
      <ability>L2_Typo</ability>
      <abilityName>字词错误</abilityName>
      <candidateList>
        <item>程中</item>
      </candidateList>
      <explain/>
      <paraID>278B0737</paraID>
      <start>368</start>
      <end>369</end>
      <status>unmodified</status>
      <modifiedWord/>
      <trackRevisions>false</trackRevisions>
    </reviewItem>
    <reviewItem>
      <errorID>fb089a73-ef40-482a-8da5-1f5173557213</errorID>
      <errorWord>（</errorWord>
      <group>L1_Punc</group>
      <groupName>标点问题</groupName>
      <ability>L2_Punc_CN</ability>
      <abilityName>标点符号问题</abilityName>
      <candidateList/>
      <explain>同一形式括号套用。</explain>
      <paraID>7952B881</paraID>
      <start>170</start>
      <end>171</end>
      <status>unmodified</status>
      <modifiedWord/>
      <trackRevisions>false</trackRevisions>
    </reviewItem>
    <reviewItem>
      <errorID>aef3018d-7a80-4424-ab2c-662881e9fa40</errorID>
      <errorWord>）</errorWord>
      <group>L1_Punc</group>
      <groupName>标点问题</groupName>
      <ability>L2_Punc_CN</ability>
      <abilityName>标点符号问题</abilityName>
      <candidateList/>
      <explain>同一形式括号套用。</explain>
      <paraID>7952B881</paraID>
      <start>185</start>
      <end>186</end>
      <status>unmodified</status>
      <modifiedWord/>
      <trackRevisions>false</trackRevisions>
    </reviewItem>
    <reviewItem>
      <errorID>e1d93f9b-dedb-4e29-96de-b64a901831cc</errorID>
      <errorWord>下</errorWord>
      <group>L1_Word</group>
      <groupName>字词问题</groupName>
      <ability>L2_Typo</ability>
      <abilityName>字词错误</abilityName>
      <candidateList>
        <item>所</item>
      </candidateList>
      <explain>存在字形相近字词的误用。</explain>
      <paraID>502D5FA2</paraID>
      <start>44</start>
      <end>45</end>
      <status>unmodified</status>
      <modifiedWord/>
      <trackRevisions>false</trackRevisions>
    </reviewItem>
    <reviewItem>
      <errorID>71ef7c9d-ff44-4f29-95d7-87e8f6c8e367</errorID>
      <errorWord>（</errorWord>
      <group>L1_Format</group>
      <groupName>格式问题</groupName>
      <ability>L2_HalfPunc_CN</ability>
      <abilityName>全半角问题</abilityName>
      <candidateList>
        <item>(</item>
      </candidateList>
      <explain>文本全半角错误。</explain>
      <paraID>1F26F871</paraID>
      <start>5</start>
      <end>6</end>
      <status>unmodified</status>
      <modifiedWord/>
      <trackRevisions>false</trackRevisions>
    </reviewItem>
    <reviewItem>
      <errorID>86d92d3a-3b27-473f-8e98-0ebe01b02fcb</errorID>
      <errorWord>）</errorWord>
      <group>L1_Format</group>
      <groupName>格式问题</groupName>
      <ability>L2_HalfPunc_CN</ability>
      <abilityName>全半角问题</abilityName>
      <candidateList>
        <item>)</item>
      </candidateList>
      <explain>文本全半角错误。</explain>
      <paraID>1F26F871</paraID>
      <start>9</start>
      <end>10</end>
      <status>unmodified</status>
      <modifiedWord/>
      <trackRevisions>false</trackRevisions>
    </reviewItem>
    <reviewItem>
      <errorID>27d1d39b-3c24-4dcc-91bd-a833f24f376d</errorID>
      <errorWord>（</errorWord>
      <group>L1_Format</group>
      <groupName>格式问题</groupName>
      <ability>L2_HalfPunc_CN</ability>
      <abilityName>全半角问题</abilityName>
      <candidateList>
        <item>(</item>
      </candidateList>
      <explain>文本全半角错误。</explain>
      <paraID>5A4754C8</paraID>
      <start>4</start>
      <end>5</end>
      <status>unmodified</status>
      <modifiedWord/>
      <trackRevisions>false</trackRevisions>
    </reviewItem>
    <reviewItem>
      <errorID>aec7ae7a-87af-4dbb-82a0-ef8c798d503d</errorID>
      <errorWord>）</errorWord>
      <group>L1_Format</group>
      <groupName>格式问题</groupName>
      <ability>L2_HalfPunc_CN</ability>
      <abilityName>全半角问题</abilityName>
      <candidateList>
        <item>)</item>
      </candidateList>
      <explain>文本全半角错误。</explain>
      <paraID>5A4754C8</paraID>
      <start>8</start>
      <end>9</end>
      <status>unmodified</status>
      <modifiedWord/>
      <trackRevisions>false</trackRevisions>
    </reviewItem>
    <reviewItem>
      <errorID>3e822f83-81fe-4825-ae68-5886ace12292</errorID>
      <errorWord>（</errorWord>
      <group>L1_Format</group>
      <groupName>格式问题</groupName>
      <ability>L2_HalfPunc_CN</ability>
      <abilityName>全半角问题</abilityName>
      <candidateList>
        <item>(</item>
      </candidateList>
      <explain>文本全半角错误。</explain>
      <paraID>45271220</paraID>
      <start>2</start>
      <end>3</end>
      <status>unmodified</status>
      <modifiedWord/>
      <trackRevisions>false</trackRevisions>
    </reviewItem>
    <reviewItem>
      <errorID>bdd65d67-4a56-40fc-ad92-2e14f20b8cd8</errorID>
      <errorWord>）</errorWord>
      <group>L1_Format</group>
      <groupName>格式问题</groupName>
      <ability>L2_HalfPunc_CN</ability>
      <abilityName>全半角问题</abilityName>
      <candidateList>
        <item>)</item>
      </candidateList>
      <explain>文本全半角错误。</explain>
      <paraID>45271220</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4d1aee-91e9-4760-83ad-a48291fe8e91}">
  <ds:schemaRefs/>
</ds:datastoreItem>
</file>

<file path=customXml/itemProps3.xml><?xml version="1.0" encoding="utf-8"?>
<ds:datastoreItem xmlns:ds="http://schemas.openxmlformats.org/officeDocument/2006/customXml" ds:itemID="{eee1ee8d-06fb-4a7d-bc1d-133b210c0fd6}">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17503</Words>
  <Characters>18476</Characters>
  <Paragraphs>3817</Paragraphs>
  <TotalTime>6</TotalTime>
  <ScaleCrop>false</ScaleCrop>
  <LinksUpToDate>false</LinksUpToDate>
  <CharactersWithSpaces>18603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2022-04-28T02:26:00Z</dcterms:created>
  <dc:creator>O</dc:creator>
  <cp:lastModifiedBy>＇夜归郎＇</cp:lastModifiedBy>
  <cp:lastPrinted>2024-10-17T02:17:00Z</cp:lastPrinted>
  <dcterms:modified xsi:type="dcterms:W3CDTF">2026-10-19T07:09:38Z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B2D24CAACB3348AAA9133E93964E2842_13</vt:lpwstr>
  </property>
  <property fmtid="{D5CDD505-2E9C-101B-9397-08002B2CF9AE}" pid="4" name="KSOTemplateDocerSaveRecord">
    <vt:lpwstr>eyJoZGlkIjoiZjdjMmQwNzZhNTFhMjFkZmQ0OThlNzhhYjlmZjg3YmIiLCJ1c2VySWQiOiIzNTExNzk0NTAifQ==</vt:lpwstr>
  </property>
</Properties>
</file>